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3"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62"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740" w:hanging="280"/>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720" w:hanging="264"/>
        <w:spacing w:after="0"/>
        <w:tabs>
          <w:tab w:leader="none" w:pos="1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159"/>
        <w:spacing w:after="0"/>
        <w:tabs>
          <w:tab w:leader="none" w:pos="2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158115</wp:posOffset>
            </wp:positionV>
            <wp:extent cx="412496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496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5440" w:type="dxa"/>
            <w:vAlign w:val="bottom"/>
          </w:tcPr>
          <w:p>
            <w:pPr>
              <w:jc w:val="center"/>
              <w:ind w:right="229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17"/>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right"/>
              <w:ind w:right="539"/>
              <w:spacing w:after="0"/>
              <w:rPr>
                <w:sz w:val="20"/>
                <w:szCs w:val="20"/>
                <w:color w:val="auto"/>
              </w:rPr>
            </w:pPr>
            <w:r>
              <w:rPr>
                <w:rFonts w:ascii="Arial" w:cs="Arial" w:eastAsia="Arial" w:hAnsi="Arial"/>
                <w:sz w:val="18"/>
                <w:szCs w:val="18"/>
                <w:b w:val="1"/>
                <w:bCs w:val="1"/>
                <w:color w:val="auto"/>
              </w:rPr>
              <w:t>16-1387013</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7"/>
              </w:rPr>
              <w:t>(I.R.S. Employer Identification No.)</w:t>
            </w:r>
          </w:p>
        </w:tc>
      </w:tr>
      <w:tr>
        <w:trPr>
          <w:trHeight w:val="439"/>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2000 Technology Parkway</w:t>
            </w:r>
          </w:p>
        </w:tc>
        <w:tc>
          <w:tcPr>
            <w:tcW w:w="5440" w:type="dxa"/>
            <w:vAlign w:val="bottom"/>
          </w:tcPr>
          <w:p>
            <w:pPr>
              <w:jc w:val="right"/>
              <w:ind w:right="739"/>
              <w:spacing w:after="0"/>
              <w:rPr>
                <w:sz w:val="20"/>
                <w:szCs w:val="20"/>
                <w:color w:val="auto"/>
              </w:rPr>
            </w:pPr>
            <w:r>
              <w:rPr>
                <w:rFonts w:ascii="Arial" w:cs="Arial" w:eastAsia="Arial" w:hAnsi="Arial"/>
                <w:sz w:val="18"/>
                <w:szCs w:val="18"/>
                <w:b w:val="1"/>
                <w:bCs w:val="1"/>
                <w:color w:val="auto"/>
              </w:rPr>
              <w:t>14513</w:t>
            </w: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Newark, New York</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3"/>
              </w:rPr>
              <w:t>(Zip Code)</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440" w:type="dxa"/>
            <w:vAlign w:val="bottom"/>
          </w:tcPr>
          <w:p>
            <w:pPr>
              <w:spacing w:after="0"/>
              <w:rPr>
                <w:sz w:val="16"/>
                <w:szCs w:val="16"/>
                <w:color w:val="auto"/>
              </w:rPr>
            </w:pPr>
          </w:p>
        </w:tc>
      </w:tr>
      <w:tr>
        <w:trPr>
          <w:trHeight w:val="242"/>
        </w:trPr>
        <w:tc>
          <w:tcPr>
            <w:tcW w:w="2580" w:type="dxa"/>
            <w:vAlign w:val="bottom"/>
          </w:tcPr>
          <w:p>
            <w:pPr>
              <w:spacing w:after="0"/>
              <w:rPr>
                <w:sz w:val="21"/>
                <w:szCs w:val="21"/>
                <w:color w:val="auto"/>
              </w:rPr>
            </w:pPr>
          </w:p>
        </w:tc>
        <w:tc>
          <w:tcPr>
            <w:tcW w:w="5440" w:type="dxa"/>
            <w:vAlign w:val="bottom"/>
          </w:tcPr>
          <w:p>
            <w:pPr>
              <w:jc w:val="right"/>
              <w:ind w:right="2979"/>
              <w:spacing w:after="0"/>
              <w:rPr>
                <w:sz w:val="20"/>
                <w:szCs w:val="20"/>
                <w:color w:val="auto"/>
              </w:rPr>
            </w:pPr>
            <w:r>
              <w:rPr>
                <w:rFonts w:ascii="Arial" w:cs="Arial" w:eastAsia="Arial" w:hAnsi="Arial"/>
                <w:sz w:val="18"/>
                <w:szCs w:val="18"/>
                <w:color w:val="auto"/>
              </w:rPr>
              <w:t>___________________</w:t>
            </w:r>
          </w:p>
        </w:tc>
      </w:tr>
    </w:tbl>
    <w:p>
      <w:pPr>
        <w:spacing w:after="0" w:line="21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(315) 332-7100</w:t>
      </w:r>
    </w:p>
    <w:p>
      <w:pPr>
        <w:spacing w:after="0" w:line="2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35" w:lineRule="exact"/>
        <w:rPr>
          <w:sz w:val="24"/>
          <w:szCs w:val="24"/>
          <w:color w:val="auto"/>
        </w:rPr>
      </w:pPr>
    </w:p>
    <w:p>
      <w:pPr>
        <w:ind w:right="4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6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ind w:left="80" w:firstLine="405"/>
        <w:spacing w:after="0" w:line="23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number of shares outstanding of the registrant's common stock was 17,189,473, net of 1,784,738 treasury shares, as of April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324" w:right="379" w:bottom="1440" w:gutter="0" w:footer="0" w:header="0"/>
        </w:sectPr>
      </w:pPr>
    </w:p>
    <w:bookmarkStart w:id="1" w:name="page2"/>
    <w:bookmarkEnd w:id="1"/>
    <w:p>
      <w:pPr>
        <w:jc w:val="center"/>
        <w:ind w:right="-399"/>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800" w:type="dxa"/>
            <w:vAlign w:val="bottom"/>
            <w:gridSpan w:val="16"/>
            <w:vMerge w:val="restart"/>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60" w:type="dxa"/>
            <w:vAlign w:val="bottom"/>
            <w:gridSpan w:val="4"/>
          </w:tcPr>
          <w:p>
            <w:pPr>
              <w:ind w:left="22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6"/>
        </w:trPr>
        <w:tc>
          <w:tcPr>
            <w:tcW w:w="660" w:type="dxa"/>
            <w:vAlign w:val="bottom"/>
            <w:gridSpan w:val="2"/>
            <w:vMerge w:val="continue"/>
          </w:tcPr>
          <w:p>
            <w:pPr>
              <w:spacing w:after="0"/>
              <w:rPr>
                <w:sz w:val="17"/>
                <w:szCs w:val="17"/>
                <w:color w:val="auto"/>
              </w:rPr>
            </w:pPr>
          </w:p>
        </w:tc>
        <w:tc>
          <w:tcPr>
            <w:tcW w:w="9800" w:type="dxa"/>
            <w:vAlign w:val="bottom"/>
            <w:gridSpan w:val="16"/>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29, 2015 and December 31, 2014 (unaudited)</w:t>
              </w:r>
            </w:hyperlink>
          </w:p>
        </w:tc>
        <w:tc>
          <w:tcPr>
            <w:tcW w:w="2420" w:type="dxa"/>
            <w:vAlign w:val="bottom"/>
            <w:gridSpan w:val="4"/>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(Loss) for the Three Months Ended March 29,</w:t>
              </w:r>
            </w:hyperlink>
          </w:p>
        </w:tc>
        <w:tc>
          <w:tcPr>
            <w:tcW w:w="48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2015 and March 30, 2014 (unaudited)</w:t>
              </w:r>
            </w:hyperlink>
          </w:p>
        </w:tc>
        <w:tc>
          <w:tcPr>
            <w:tcW w:w="600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Cash Flows for the Three Months Ended March 29, 2015 and March 30, 2014 (unaudited)</w:t>
              </w:r>
            </w:hyperlink>
          </w:p>
        </w:tc>
        <w:tc>
          <w:tcPr>
            <w:tcW w:w="2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w:t>
              </w:r>
            </w:hyperlink>
          </w:p>
        </w:tc>
        <w:tc>
          <w:tcPr>
            <w:tcW w:w="5580" w:type="dxa"/>
            <w:vAlign w:val="bottom"/>
            <w:gridSpan w:val="7"/>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w:t>
              </w:r>
            </w:hyperlink>
          </w:p>
        </w:tc>
        <w:tc>
          <w:tcPr>
            <w:tcW w:w="2020" w:type="dxa"/>
            <w:vAlign w:val="bottom"/>
            <w:tcBorders>
              <w:bottom w:val="single" w:sz="8" w:color="0000EE"/>
            </w:tcBorders>
            <w:gridSpan w:val="4"/>
          </w:tcPr>
          <w:p>
            <w:pPr>
              <w:ind w:left="120"/>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OTHER INFORMATION</w:t>
              </w:r>
            </w:hyperlink>
          </w:p>
        </w:tc>
        <w:tc>
          <w:tcPr>
            <w:tcW w:w="778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120" w:type="dxa"/>
            <w:vAlign w:val="bottom"/>
            <w:tcBorders>
              <w:left w:val="single" w:sz="8" w:color="0000EE"/>
            </w:tcBorders>
            <w:gridSpan w:val="6"/>
            <w:shd w:val="clear" w:color="auto" w:fill="0000EE"/>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Index to Exhibits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810" w:right="639" w:bottom="1440" w:gutter="0" w:footer="0" w:header="0"/>
        </w:sectPr>
      </w:pPr>
    </w:p>
    <w:bookmarkStart w:id="2" w:name="page3"/>
    <w:bookmarkEnd w:id="2"/>
    <w:p>
      <w:pPr>
        <w:ind w:left="1960"/>
        <w:spacing w:after="0"/>
        <w:rPr>
          <w:sz w:val="20"/>
          <w:szCs w:val="20"/>
          <w:color w:val="auto"/>
        </w:rPr>
      </w:pPr>
      <w:r>
        <w:rPr>
          <w:rFonts w:ascii="Arial" w:cs="Arial" w:eastAsia="Arial" w:hAnsi="Arial"/>
          <w:sz w:val="14"/>
          <w:szCs w:val="14"/>
          <w:b w:val="1"/>
          <w:bCs w:val="1"/>
          <w:color w:val="auto"/>
        </w:rPr>
        <w:t>PART I. FINANCIAL INFORMATION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500"/>
              <w:spacing w:after="0"/>
              <w:rPr>
                <w:sz w:val="20"/>
                <w:szCs w:val="20"/>
                <w:color w:val="auto"/>
              </w:rPr>
            </w:pPr>
            <w:r>
              <w:rPr>
                <w:rFonts w:ascii="Arial" w:cs="Arial" w:eastAsia="Arial" w:hAnsi="Arial"/>
                <w:sz w:val="14"/>
                <w:szCs w:val="14"/>
                <w:b w:val="1"/>
                <w:bCs w:val="1"/>
                <w:color w:val="auto"/>
              </w:rPr>
              <w:t>ITEM 1. CONDENSED CONSOLIDATED FINANCIAL STATEMENTS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jc w:val="center"/>
              <w:ind w:left="3748"/>
              <w:spacing w:after="0"/>
              <w:rPr>
                <w:sz w:val="20"/>
                <w:szCs w:val="20"/>
                <w:color w:val="auto"/>
              </w:rPr>
            </w:pPr>
            <w:r>
              <w:rPr>
                <w:rFonts w:ascii="Arial" w:cs="Arial" w:eastAsia="Arial" w:hAnsi="Arial"/>
                <w:sz w:val="14"/>
                <w:szCs w:val="14"/>
                <w:b w:val="1"/>
                <w:bCs w:val="1"/>
                <w:color w:val="auto"/>
              </w:rPr>
              <w:t>ULTRALIFE CORPORATION AND SUBSIDIARIES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320" w:type="dxa"/>
            <w:vAlign w:val="bottom"/>
          </w:tcPr>
          <w:p>
            <w:pPr>
              <w:jc w:val="center"/>
              <w:ind w:left="3988"/>
              <w:spacing w:after="0" w:line="149" w:lineRule="exact"/>
              <w:rPr>
                <w:sz w:val="20"/>
                <w:szCs w:val="20"/>
                <w:color w:val="auto"/>
              </w:rPr>
            </w:pPr>
            <w:r>
              <w:rPr>
                <w:rFonts w:ascii="Arial" w:cs="Arial" w:eastAsia="Arial" w:hAnsi="Arial"/>
                <w:sz w:val="14"/>
                <w:szCs w:val="14"/>
                <w:b w:val="1"/>
                <w:bCs w:val="1"/>
                <w:color w:val="auto"/>
              </w:rPr>
              <w:t>CONSOLIDATED BALANCE SHEETS</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jc w:val="center"/>
              <w:ind w:left="4048"/>
              <w:spacing w:after="0" w:line="149" w:lineRule="exact"/>
              <w:rPr>
                <w:sz w:val="20"/>
                <w:szCs w:val="20"/>
                <w:color w:val="auto"/>
              </w:rPr>
            </w:pPr>
            <w:r>
              <w:rPr>
                <w:rFonts w:ascii="Arial" w:cs="Arial" w:eastAsia="Arial" w:hAnsi="Arial"/>
                <w:sz w:val="14"/>
                <w:szCs w:val="14"/>
                <w:b w:val="1"/>
                <w:bCs w:val="1"/>
                <w:color w:val="auto"/>
                <w:w w:val="92"/>
              </w:rPr>
              <w:t>(Dollars in Thousands)</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320" w:type="dxa"/>
            <w:vAlign w:val="bottom"/>
          </w:tcPr>
          <w:p>
            <w:pPr>
              <w:jc w:val="center"/>
              <w:ind w:left="4048"/>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320" w:type="dxa"/>
            <w:vAlign w:val="bottom"/>
          </w:tcPr>
          <w:p>
            <w:pPr>
              <w:jc w:val="center"/>
              <w:ind w:left="4028"/>
              <w:spacing w:after="0"/>
              <w:rPr>
                <w:sz w:val="20"/>
                <w:szCs w:val="20"/>
                <w:color w:val="auto"/>
              </w:rPr>
            </w:pPr>
            <w:r>
              <w:rPr>
                <w:rFonts w:ascii="Arial" w:cs="Arial" w:eastAsia="Arial" w:hAnsi="Arial"/>
                <w:sz w:val="14"/>
                <w:szCs w:val="14"/>
                <w:b w:val="1"/>
                <w:bCs w:val="1"/>
                <w:color w:val="auto"/>
                <w:w w:val="96"/>
              </w:rPr>
              <w:t>ASSETS</w:t>
            </w:r>
          </w:p>
        </w:tc>
        <w:tc>
          <w:tcPr>
            <w:tcW w:w="280" w:type="dxa"/>
            <w:vAlign w:val="bottom"/>
          </w:tcPr>
          <w:p>
            <w:pPr>
              <w:spacing w:after="0"/>
              <w:rPr>
                <w:sz w:val="24"/>
                <w:szCs w:val="24"/>
                <w:color w:val="auto"/>
              </w:rPr>
            </w:pPr>
          </w:p>
        </w:tc>
        <w:tc>
          <w:tcPr>
            <w:tcW w:w="22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March 29,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4"/>
        </w:trPr>
        <w:tc>
          <w:tcPr>
            <w:tcW w:w="7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4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20,133</w:t>
            </w:r>
          </w:p>
        </w:tc>
        <w:tc>
          <w:tcPr>
            <w:tcW w:w="900" w:type="dxa"/>
            <w:vAlign w:val="bottom"/>
          </w:tcPr>
          <w:p>
            <w:pPr>
              <w:spacing w:after="0"/>
              <w:rPr>
                <w:sz w:val="12"/>
                <w:szCs w:val="12"/>
                <w:color w:val="auto"/>
              </w:rPr>
            </w:pP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20"/>
              <w:spacing w:after="0" w:line="149" w:lineRule="exact"/>
              <w:rPr>
                <w:sz w:val="20"/>
                <w:szCs w:val="20"/>
                <w:color w:val="auto"/>
              </w:rPr>
            </w:pPr>
            <w:r>
              <w:rPr>
                <w:rFonts w:ascii="Arial" w:cs="Arial" w:eastAsia="Arial" w:hAnsi="Arial"/>
                <w:sz w:val="14"/>
                <w:szCs w:val="14"/>
                <w:color w:val="auto"/>
              </w:rPr>
              <w:t>Trade accounts receivable, net of allowance for doubtful accounts of $347 and $340, respectively</w:t>
            </w:r>
          </w:p>
        </w:tc>
        <w:tc>
          <w:tcPr>
            <w:tcW w:w="2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11,698</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24,775</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1,514</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Due from insurance company</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current assets</w:t>
            </w:r>
          </w:p>
        </w:tc>
        <w:tc>
          <w:tcPr>
            <w:tcW w:w="2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58,549</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56,850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100"/>
              <w:spacing w:after="0" w:line="149" w:lineRule="exact"/>
              <w:rPr>
                <w:sz w:val="20"/>
                <w:szCs w:val="20"/>
                <w:color w:val="auto"/>
              </w:rPr>
            </w:pPr>
            <w:r>
              <w:rPr>
                <w:rFonts w:ascii="Arial" w:cs="Arial" w:eastAsia="Arial" w:hAnsi="Arial"/>
                <w:sz w:val="14"/>
                <w:szCs w:val="14"/>
                <w:color w:val="auto"/>
              </w:rPr>
              <w:t>Property, equipment and improvements, net</w:t>
            </w:r>
          </w:p>
        </w:tc>
        <w:tc>
          <w:tcPr>
            <w:tcW w:w="2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9,643</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16,416</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100"/>
              <w:spacing w:after="0" w:line="149" w:lineRule="exact"/>
              <w:rPr>
                <w:sz w:val="20"/>
                <w:szCs w:val="20"/>
                <w:color w:val="auto"/>
              </w:rPr>
            </w:pPr>
            <w:r>
              <w:rPr>
                <w:rFonts w:ascii="Arial" w:cs="Arial" w:eastAsia="Arial" w:hAnsi="Arial"/>
                <w:sz w:val="14"/>
                <w:szCs w:val="14"/>
                <w:color w:val="auto"/>
              </w:rPr>
              <w:t>Other intangible assets, net</w:t>
            </w:r>
          </w:p>
        </w:tc>
        <w:tc>
          <w:tcPr>
            <w:tcW w:w="2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4,279</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Security deposits and other non-current assets</w:t>
            </w: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168</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tcPr>
          <w:p>
            <w:pPr>
              <w:ind w:left="460"/>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89,055</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87,642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420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4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7,687</w:t>
            </w:r>
          </w:p>
        </w:tc>
        <w:tc>
          <w:tcPr>
            <w:tcW w:w="900" w:type="dxa"/>
            <w:vAlign w:val="bottom"/>
          </w:tcPr>
          <w:p>
            <w:pPr>
              <w:spacing w:after="0"/>
              <w:rPr>
                <w:sz w:val="12"/>
                <w:szCs w:val="12"/>
                <w:color w:val="auto"/>
              </w:rPr>
            </w:pP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2,076</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2,335</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payable</w:t>
            </w: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Pr>
          <w:p>
            <w:pPr>
              <w:ind w:left="500"/>
              <w:spacing w:after="0" w:line="142" w:lineRule="exact"/>
              <w:rPr>
                <w:sz w:val="20"/>
                <w:szCs w:val="20"/>
                <w:color w:val="auto"/>
              </w:rPr>
            </w:pPr>
            <w:r>
              <w:rPr>
                <w:rFonts w:ascii="Arial" w:cs="Arial" w:eastAsia="Arial" w:hAnsi="Arial"/>
                <w:sz w:val="14"/>
                <w:szCs w:val="14"/>
                <w:color w:val="auto"/>
              </w:rPr>
              <w:t>Total current liabilities</w:t>
            </w: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12,208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11,211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4,517</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00"/>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56</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top w:val="single" w:sz="8" w:color="CCEEFF"/>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16,781</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15,729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Commitments and contingencies</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Shareholders' equity:</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16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280" w:type="dxa"/>
            <w:vAlign w:val="bottom"/>
          </w:tcPr>
          <w:p>
            <w:pPr>
              <w:spacing w:after="0"/>
              <w:rPr>
                <w:sz w:val="12"/>
                <w:szCs w:val="12"/>
                <w:color w:val="auto"/>
              </w:rPr>
            </w:pPr>
          </w:p>
        </w:tc>
        <w:tc>
          <w:tcPr>
            <w:tcW w:w="2240" w:type="dxa"/>
            <w:vAlign w:val="bottom"/>
            <w:gridSpan w:val="3"/>
          </w:tcPr>
          <w:p>
            <w:pPr>
              <w:ind w:left="10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0"/>
        </w:trPr>
        <w:tc>
          <w:tcPr>
            <w:tcW w:w="73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 par value $.10 per share; authorized 40,000,000 shares; issued - 18,974,211 shares at</w:t>
            </w: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March 29, 2015 and 18,941,544 shares at December 31, 2014</w:t>
            </w: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1,897</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1,894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180"/>
              <w:spacing w:after="0" w:line="149" w:lineRule="exact"/>
              <w:rPr>
                <w:sz w:val="20"/>
                <w:szCs w:val="20"/>
                <w:color w:val="auto"/>
              </w:rPr>
            </w:pPr>
            <w:r>
              <w:rPr>
                <w:rFonts w:ascii="Arial" w:cs="Arial" w:eastAsia="Arial" w:hAnsi="Arial"/>
                <w:sz w:val="14"/>
                <w:szCs w:val="14"/>
                <w:color w:val="auto"/>
              </w:rPr>
              <w:t>Capital in excess of par value</w:t>
            </w:r>
          </w:p>
        </w:tc>
        <w:tc>
          <w:tcPr>
            <w:tcW w:w="2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176,089</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175,940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Accumulated deficit</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(96,387)</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(96,920)</w:t>
            </w:r>
          </w:p>
        </w:tc>
        <w:tc>
          <w:tcPr>
            <w:tcW w:w="0" w:type="dxa"/>
            <w:vAlign w:val="bottom"/>
          </w:tcPr>
          <w:p>
            <w:pPr>
              <w:spacing w:after="0"/>
              <w:rPr>
                <w:sz w:val="1"/>
                <w:szCs w:val="1"/>
                <w:color w:val="auto"/>
              </w:rPr>
            </w:pPr>
          </w:p>
        </w:tc>
      </w:tr>
      <w:tr>
        <w:trPr>
          <w:trHeight w:val="149"/>
        </w:trPr>
        <w:tc>
          <w:tcPr>
            <w:tcW w:w="7320" w:type="dxa"/>
            <w:vAlign w:val="bottom"/>
          </w:tcPr>
          <w:p>
            <w:pPr>
              <w:ind w:left="160"/>
              <w:spacing w:after="0" w:line="149" w:lineRule="exact"/>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(445)</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 at cost; 1,691,771 shares at March 29, 2015 and 1,600,731 shares at December 31, 2014</w:t>
            </w: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(8,756)</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(8,420)</w:t>
            </w:r>
          </w:p>
        </w:tc>
        <w:tc>
          <w:tcPr>
            <w:tcW w:w="0" w:type="dxa"/>
            <w:vAlign w:val="bottom"/>
          </w:tcPr>
          <w:p>
            <w:pPr>
              <w:spacing w:after="0"/>
              <w:rPr>
                <w:sz w:val="1"/>
                <w:szCs w:val="1"/>
                <w:color w:val="auto"/>
              </w:rPr>
            </w:pPr>
          </w:p>
        </w:tc>
      </w:tr>
      <w:tr>
        <w:trPr>
          <w:trHeight w:val="142"/>
        </w:trPr>
        <w:tc>
          <w:tcPr>
            <w:tcW w:w="7320" w:type="dxa"/>
            <w:vAlign w:val="bottom"/>
          </w:tcPr>
          <w:p>
            <w:pPr>
              <w:ind w:left="460"/>
              <w:spacing w:after="0" w:line="142" w:lineRule="exact"/>
              <w:rPr>
                <w:sz w:val="20"/>
                <w:szCs w:val="20"/>
                <w:color w:val="auto"/>
              </w:rPr>
            </w:pPr>
            <w:r>
              <w:rPr>
                <w:rFonts w:ascii="Arial" w:cs="Arial" w:eastAsia="Arial" w:hAnsi="Arial"/>
                <w:sz w:val="14"/>
                <w:szCs w:val="14"/>
                <w:color w:val="auto"/>
              </w:rPr>
              <w:t>Total Ultralife equity</w:t>
            </w: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72,398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72,027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w:t>
            </w: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CCEEFF"/>
            </w:tcBorders>
          </w:tcPr>
          <w:p>
            <w:pPr>
              <w:ind w:left="460"/>
              <w:spacing w:after="0" w:line="142" w:lineRule="exact"/>
              <w:rPr>
                <w:sz w:val="20"/>
                <w:szCs w:val="20"/>
                <w:color w:val="auto"/>
              </w:rPr>
            </w:pPr>
            <w:r>
              <w:rPr>
                <w:rFonts w:ascii="Arial" w:cs="Arial" w:eastAsia="Arial" w:hAnsi="Arial"/>
                <w:sz w:val="14"/>
                <w:szCs w:val="14"/>
                <w:color w:val="auto"/>
              </w:rPr>
              <w:t>Total shareholders’ equity</w:t>
            </w:r>
          </w:p>
        </w:tc>
        <w:tc>
          <w:tcPr>
            <w:tcW w:w="2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72,274</w:t>
            </w: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71,913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89,055</w:t>
            </w:r>
          </w:p>
        </w:tc>
        <w:tc>
          <w:tcPr>
            <w:tcW w:w="900" w:type="dxa"/>
            <w:vAlign w:val="bottom"/>
          </w:tcPr>
          <w:p>
            <w:pPr>
              <w:spacing w:after="0"/>
              <w:rPr>
                <w:sz w:val="15"/>
                <w:szCs w:val="15"/>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87,642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57"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360" w:type="dxa"/>
            <w:vAlign w:val="bottom"/>
            <w:gridSpan w:val="3"/>
          </w:tcPr>
          <w:p>
            <w:pPr>
              <w:jc w:val="center"/>
              <w:ind w:left="2988"/>
              <w:spacing w:after="0"/>
              <w:rPr>
                <w:sz w:val="20"/>
                <w:szCs w:val="20"/>
                <w:color w:val="auto"/>
              </w:rPr>
            </w:pPr>
            <w:r>
              <w:rPr>
                <w:rFonts w:ascii="Arial" w:cs="Arial" w:eastAsia="Arial" w:hAnsi="Arial"/>
                <w:sz w:val="14"/>
                <w:szCs w:val="14"/>
                <w:b w:val="1"/>
                <w:bCs w:val="1"/>
                <w:color w:val="auto"/>
              </w:rPr>
              <w:t>ULTRALIFE CORPORATION AND SUBSIDIARIES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40" w:type="dxa"/>
            <w:vAlign w:val="bottom"/>
            <w:gridSpan w:val="6"/>
          </w:tcPr>
          <w:p>
            <w:pPr>
              <w:jc w:val="center"/>
              <w:ind w:left="2368"/>
              <w:spacing w:after="0" w:line="149" w:lineRule="exact"/>
              <w:rPr>
                <w:sz w:val="20"/>
                <w:szCs w:val="20"/>
                <w:color w:val="auto"/>
              </w:rPr>
            </w:pPr>
            <w:r>
              <w:rPr>
                <w:rFonts w:ascii="Arial" w:cs="Arial" w:eastAsia="Arial" w:hAnsi="Arial"/>
                <w:sz w:val="14"/>
                <w:szCs w:val="14"/>
                <w:b w:val="1"/>
                <w:bCs w:val="1"/>
                <w:color w:val="auto"/>
              </w:rPr>
              <w:t>CONSOLIDATED STATEMENTS OF OPERATIONS AND COMPREHENSIVE INCOME (LOSS)</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jc w:val="center"/>
              <w:ind w:left="4188"/>
              <w:spacing w:after="0" w:line="149" w:lineRule="exact"/>
              <w:rPr>
                <w:sz w:val="20"/>
                <w:szCs w:val="20"/>
                <w:color w:val="auto"/>
              </w:rPr>
            </w:pPr>
            <w:r>
              <w:rPr>
                <w:rFonts w:ascii="Arial" w:cs="Arial" w:eastAsia="Arial" w:hAnsi="Arial"/>
                <w:sz w:val="14"/>
                <w:szCs w:val="14"/>
                <w:b w:val="1"/>
                <w:bCs w:val="1"/>
                <w:color w:val="auto"/>
                <w:w w:val="91"/>
              </w:rPr>
              <w:t>(In Thousands except per share amounts)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160" w:type="dxa"/>
            <w:vAlign w:val="bottom"/>
          </w:tcPr>
          <w:p>
            <w:pPr>
              <w:jc w:val="center"/>
              <w:ind w:left="4208"/>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9"/>
              </w:rPr>
              <w:t>Three month periods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7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160" w:type="dxa"/>
            <w:vAlign w:val="bottom"/>
            <w:gridSpan w:val="2"/>
            <w:vMerge w:val="restart"/>
          </w:tcPr>
          <w:p>
            <w:pPr>
              <w:jc w:val="right"/>
              <w:ind w:right="439"/>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March 29,</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Revenues</w:t>
            </w:r>
          </w:p>
        </w:tc>
        <w:tc>
          <w:tcPr>
            <w:tcW w:w="1200" w:type="dxa"/>
            <w:vAlign w:val="bottom"/>
            <w:gridSpan w:val="2"/>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19,177</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15,285</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Cost of products sold</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13,170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10,950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ind w:left="280"/>
              <w:spacing w:after="0" w:line="142" w:lineRule="exact"/>
              <w:rPr>
                <w:sz w:val="20"/>
                <w:szCs w:val="20"/>
                <w:color w:val="auto"/>
              </w:rPr>
            </w:pPr>
            <w:r>
              <w:rPr>
                <w:rFonts w:ascii="Arial" w:cs="Arial" w:eastAsia="Arial" w:hAnsi="Arial"/>
                <w:sz w:val="14"/>
                <w:szCs w:val="14"/>
                <w:b w:val="1"/>
                <w:bCs w:val="1"/>
                <w:color w:val="auto"/>
              </w:rPr>
              <w:t>Gross profit</w:t>
            </w:r>
          </w:p>
        </w:tc>
        <w:tc>
          <w:tcPr>
            <w:tcW w:w="1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6,007</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4,335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Operating expenses: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62"/>
        </w:trPr>
        <w:tc>
          <w:tcPr>
            <w:tcW w:w="7160" w:type="dxa"/>
            <w:vAlign w:val="bottom"/>
          </w:tcPr>
          <w:p>
            <w:pPr>
              <w:ind w:left="2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3,826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142"/>
        </w:trPr>
        <w:tc>
          <w:tcPr>
            <w:tcW w:w="716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5,431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Other (expense) income: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and financing expense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7160" w:type="dxa"/>
            <w:vAlign w:val="bottom"/>
          </w:tcPr>
          <w:p>
            <w:pPr>
              <w:ind w:left="280"/>
              <w:spacing w:after="0"/>
              <w:rPr>
                <w:sz w:val="20"/>
                <w:szCs w:val="20"/>
                <w:color w:val="auto"/>
              </w:rPr>
            </w:pPr>
            <w:r>
              <w:rPr>
                <w:rFonts w:ascii="Arial" w:cs="Arial" w:eastAsia="Arial" w:hAnsi="Arial"/>
                <w:sz w:val="14"/>
                <w:szCs w:val="14"/>
                <w:color w:val="auto"/>
              </w:rPr>
              <w:t>Miscellaneous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(122)</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1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716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Income (loss) from continuing operations before income taxes</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100"/>
              <w:spacing w:after="0"/>
              <w:rPr>
                <w:sz w:val="20"/>
                <w:szCs w:val="20"/>
                <w:color w:val="auto"/>
              </w:rPr>
            </w:pPr>
            <w:r>
              <w:rPr>
                <w:rFonts w:ascii="Arial" w:cs="Arial" w:eastAsia="Arial" w:hAnsi="Arial"/>
                <w:sz w:val="14"/>
                <w:szCs w:val="14"/>
                <w:color w:val="auto"/>
              </w:rPr>
              <w:t>Income tax provision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(111)</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1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7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from discontinued operations, net of tax</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Net income (loss)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 (income) attributable to noncontrolling interest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Net income (loss) attributable to Ultralife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Other comprehensive income: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7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00"/>
              <w:spacing w:after="0"/>
              <w:rPr>
                <w:sz w:val="20"/>
                <w:szCs w:val="20"/>
                <w:color w:val="auto"/>
              </w:rPr>
            </w:pPr>
            <w:r>
              <w:rPr>
                <w:rFonts w:ascii="Arial" w:cs="Arial" w:eastAsia="Arial" w:hAnsi="Arial"/>
                <w:sz w:val="14"/>
                <w:szCs w:val="14"/>
                <w:b w:val="1"/>
                <w:bCs w:val="1"/>
                <w:color w:val="auto"/>
              </w:rPr>
              <w:t>Comprehensive income (loss) attributable to Ultralife</w:t>
            </w:r>
          </w:p>
        </w:tc>
        <w:tc>
          <w:tcPr>
            <w:tcW w:w="120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8"/>
                <w:szCs w:val="18"/>
                <w:color w:val="auto"/>
              </w:rPr>
            </w:pPr>
          </w:p>
        </w:tc>
        <w:tc>
          <w:tcPr>
            <w:tcW w:w="13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9"/>
              <w:spacing w:after="0" w:line="176" w:lineRule="exact"/>
              <w:rPr>
                <w:sz w:val="20"/>
                <w:szCs w:val="20"/>
                <w:color w:val="auto"/>
              </w:rPr>
            </w:pPr>
            <w:r>
              <w:rPr>
                <w:rFonts w:ascii="Arial" w:cs="Arial" w:eastAsia="Arial" w:hAnsi="Arial"/>
                <w:sz w:val="12"/>
                <w:szCs w:val="12"/>
                <w:color w:val="auto"/>
              </w:rPr>
              <w:t>(1,220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7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Net income (loss) per share attributable to Ultralife common shareholders – basic:</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Continuing operations</w:t>
            </w:r>
          </w:p>
        </w:tc>
        <w:tc>
          <w:tcPr>
            <w:tcW w:w="1200" w:type="dxa"/>
            <w:vAlign w:val="bottom"/>
            <w:gridSpan w:val="2"/>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7160" w:type="dxa"/>
            <w:vAlign w:val="bottom"/>
          </w:tcPr>
          <w:p>
            <w:pPr>
              <w:ind w:left="400"/>
              <w:spacing w:after="0"/>
              <w:rPr>
                <w:sz w:val="20"/>
                <w:szCs w:val="20"/>
                <w:color w:val="auto"/>
              </w:rPr>
            </w:pPr>
            <w:r>
              <w:rPr>
                <w:rFonts w:ascii="Arial" w:cs="Arial" w:eastAsia="Arial" w:hAnsi="Arial"/>
                <w:sz w:val="14"/>
                <w:szCs w:val="14"/>
                <w:color w:val="auto"/>
              </w:rPr>
              <w:t>Discontinued operations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6"/>
        </w:trPr>
        <w:tc>
          <w:tcPr>
            <w:tcW w:w="7160" w:type="dxa"/>
            <w:vAlign w:val="bottom"/>
            <w:tcBorders>
              <w:top w:val="single" w:sz="8" w:color="CCEEFF"/>
              <w:bottom w:val="single" w:sz="8" w:color="CCEEFF"/>
            </w:tcBorders>
            <w:shd w:val="clear" w:color="auto" w:fill="CCEEFF"/>
          </w:tcPr>
          <w:p>
            <w:pPr>
              <w:ind w:left="400"/>
              <w:spacing w:after="0" w:line="155" w:lineRule="exact"/>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Net income per share attributable to Ultralife common shareholders – diluted:</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400"/>
              <w:spacing w:after="0" w:line="149" w:lineRule="exact"/>
              <w:rPr>
                <w:sz w:val="20"/>
                <w:szCs w:val="20"/>
                <w:color w:val="auto"/>
              </w:rPr>
            </w:pPr>
            <w:r>
              <w:rPr>
                <w:rFonts w:ascii="Arial" w:cs="Arial" w:eastAsia="Arial" w:hAnsi="Arial"/>
                <w:sz w:val="14"/>
                <w:szCs w:val="14"/>
                <w:color w:val="auto"/>
              </w:rPr>
              <w:t>Continuing operations</w:t>
            </w:r>
          </w:p>
        </w:tc>
        <w:tc>
          <w:tcPr>
            <w:tcW w:w="1200" w:type="dxa"/>
            <w:vAlign w:val="bottom"/>
            <w:gridSpan w:val="2"/>
          </w:tcPr>
          <w:p>
            <w:pPr>
              <w:jc w:val="right"/>
              <w:ind w:right="8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Discontinued operations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CCEEFF"/>
            </w:tcBorders>
          </w:tcPr>
          <w:p>
            <w:pPr>
              <w:ind w:left="400"/>
              <w:spacing w:after="0" w:line="155" w:lineRule="exact"/>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00"/>
              <w:spacing w:after="0"/>
              <w:rPr>
                <w:sz w:val="20"/>
                <w:szCs w:val="20"/>
                <w:color w:val="auto"/>
              </w:rPr>
            </w:pPr>
            <w:r>
              <w:rPr>
                <w:rFonts w:ascii="Arial" w:cs="Arial" w:eastAsia="Arial" w:hAnsi="Arial"/>
                <w:sz w:val="14"/>
                <w:szCs w:val="14"/>
                <w:b w:val="1"/>
                <w:bCs w:val="1"/>
                <w:color w:val="auto"/>
              </w:rPr>
              <w:t>Weighted average shares outstanding – basic</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17,346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17,513</w:t>
            </w:r>
          </w:p>
        </w:tc>
        <w:tc>
          <w:tcPr>
            <w:tcW w:w="0" w:type="dxa"/>
            <w:vAlign w:val="bottom"/>
          </w:tcPr>
          <w:p>
            <w:pPr>
              <w:spacing w:after="0"/>
              <w:rPr>
                <w:sz w:val="1"/>
                <w:szCs w:val="1"/>
                <w:color w:val="auto"/>
              </w:rPr>
            </w:pPr>
          </w:p>
        </w:tc>
      </w:tr>
      <w:tr>
        <w:trPr>
          <w:trHeight w:val="129"/>
        </w:trPr>
        <w:tc>
          <w:tcPr>
            <w:tcW w:w="7160" w:type="dxa"/>
            <w:vAlign w:val="bottom"/>
            <w:tcBorders>
              <w:top w:val="single" w:sz="8" w:color="CCEEFF"/>
            </w:tcBorders>
            <w:shd w:val="clear" w:color="auto" w:fill="CCEEFF"/>
          </w:tcPr>
          <w:p>
            <w:pPr>
              <w:ind w:left="280"/>
              <w:spacing w:after="0" w:line="129" w:lineRule="exact"/>
              <w:rPr>
                <w:sz w:val="20"/>
                <w:szCs w:val="20"/>
                <w:color w:val="auto"/>
              </w:rPr>
            </w:pPr>
            <w:r>
              <w:rPr>
                <w:rFonts w:ascii="Arial" w:cs="Arial" w:eastAsia="Arial" w:hAnsi="Arial"/>
                <w:sz w:val="14"/>
                <w:szCs w:val="14"/>
                <w:color w:val="auto"/>
              </w:rPr>
              <w:t>Potential common shares</w:t>
            </w:r>
          </w:p>
        </w:tc>
        <w:tc>
          <w:tcPr>
            <w:tcW w:w="1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1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Weighted average shares outstanding – diluted</w:t>
            </w:r>
          </w:p>
        </w:tc>
        <w:tc>
          <w:tcPr>
            <w:tcW w:w="160" w:type="dxa"/>
            <w:vAlign w:val="bottom"/>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17,354</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05"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107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240" w:type="dxa"/>
            <w:vAlign w:val="bottom"/>
          </w:tcPr>
          <w:p>
            <w:pPr>
              <w:jc w:val="center"/>
              <w:ind w:left="3108"/>
              <w:spacing w:after="0"/>
              <w:rPr>
                <w:sz w:val="20"/>
                <w:szCs w:val="20"/>
                <w:color w:val="auto"/>
              </w:rPr>
            </w:pPr>
            <w:r>
              <w:rPr>
                <w:rFonts w:ascii="Arial" w:cs="Arial" w:eastAsia="Arial" w:hAnsi="Arial"/>
                <w:sz w:val="14"/>
                <w:szCs w:val="14"/>
                <w:b w:val="1"/>
                <w:bCs w:val="1"/>
                <w:color w:val="auto"/>
              </w:rPr>
              <w:t>ULTRALIFE CORPORATION AND SUBSIDIARIES</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40" w:type="dxa"/>
            <w:vAlign w:val="bottom"/>
          </w:tcPr>
          <w:p>
            <w:pPr>
              <w:jc w:val="center"/>
              <w:ind w:left="3068"/>
              <w:spacing w:after="0" w:line="149" w:lineRule="exact"/>
              <w:rPr>
                <w:sz w:val="20"/>
                <w:szCs w:val="20"/>
                <w:color w:val="auto"/>
              </w:rPr>
            </w:pPr>
            <w:r>
              <w:rPr>
                <w:rFonts w:ascii="Arial" w:cs="Arial" w:eastAsia="Arial" w:hAnsi="Arial"/>
                <w:sz w:val="14"/>
                <w:szCs w:val="14"/>
                <w:b w:val="1"/>
                <w:bCs w:val="1"/>
                <w:color w:val="auto"/>
              </w:rPr>
              <w:t>CONSOLIDATED STATEMENTS OF CASH FLOWS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jc w:val="center"/>
              <w:ind w:left="3108"/>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40" w:type="dxa"/>
            <w:vAlign w:val="bottom"/>
          </w:tcPr>
          <w:p>
            <w:pPr>
              <w:jc w:val="center"/>
              <w:ind w:left="3128"/>
              <w:spacing w:after="0"/>
              <w:rPr>
                <w:sz w:val="20"/>
                <w:szCs w:val="20"/>
                <w:color w:val="auto"/>
              </w:rPr>
            </w:pPr>
            <w:r>
              <w:rPr>
                <w:rFonts w:ascii="Arial" w:cs="Arial" w:eastAsia="Arial" w:hAnsi="Arial"/>
                <w:sz w:val="14"/>
                <w:szCs w:val="14"/>
                <w:b w:val="1"/>
                <w:bCs w:val="1"/>
                <w:color w:val="auto"/>
                <w:w w:val="94"/>
              </w:rPr>
              <w:t>(unaudited)</w:t>
            </w:r>
          </w:p>
        </w:tc>
        <w:tc>
          <w:tcPr>
            <w:tcW w:w="3180" w:type="dxa"/>
            <w:vAlign w:val="bottom"/>
            <w:gridSpan w:val="7"/>
            <w:vMerge w:val="restart"/>
          </w:tcPr>
          <w:p>
            <w:pPr>
              <w:jc w:val="right"/>
              <w:ind w:right="699"/>
              <w:spacing w:after="0"/>
              <w:rPr>
                <w:sz w:val="20"/>
                <w:szCs w:val="20"/>
                <w:color w:val="auto"/>
              </w:rPr>
            </w:pPr>
            <w:r>
              <w:rPr>
                <w:rFonts w:ascii="Arial" w:cs="Arial" w:eastAsia="Arial" w:hAnsi="Arial"/>
                <w:sz w:val="14"/>
                <w:szCs w:val="14"/>
                <w:b w:val="1"/>
                <w:bCs w:val="1"/>
                <w:color w:val="auto"/>
              </w:rPr>
              <w:t>Three month periods ended</w:t>
            </w:r>
          </w:p>
        </w:tc>
        <w:tc>
          <w:tcPr>
            <w:tcW w:w="0" w:type="dxa"/>
            <w:vAlign w:val="bottom"/>
          </w:tcPr>
          <w:p>
            <w:pPr>
              <w:spacing w:after="0"/>
              <w:rPr>
                <w:sz w:val="1"/>
                <w:szCs w:val="1"/>
                <w:color w:val="auto"/>
              </w:rPr>
            </w:pPr>
          </w:p>
        </w:tc>
      </w:tr>
      <w:tr>
        <w:trPr>
          <w:trHeight w:val="111"/>
        </w:trPr>
        <w:tc>
          <w:tcPr>
            <w:tcW w:w="8240" w:type="dxa"/>
            <w:vAlign w:val="bottom"/>
          </w:tcPr>
          <w:p>
            <w:pPr>
              <w:spacing w:after="0"/>
              <w:rPr>
                <w:sz w:val="9"/>
                <w:szCs w:val="9"/>
                <w:color w:val="auto"/>
              </w:rPr>
            </w:pPr>
          </w:p>
        </w:tc>
        <w:tc>
          <w:tcPr>
            <w:tcW w:w="31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3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March 29,</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OPERATING ACTIVITIES:</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80"/>
              <w:spacing w:after="0" w:line="149" w:lineRule="exact"/>
              <w:rPr>
                <w:sz w:val="20"/>
                <w:szCs w:val="20"/>
                <w:color w:val="auto"/>
              </w:rPr>
            </w:pPr>
            <w:r>
              <w:rPr>
                <w:rFonts w:ascii="Arial" w:cs="Arial" w:eastAsia="Arial" w:hAnsi="Arial"/>
                <w:sz w:val="14"/>
                <w:szCs w:val="14"/>
                <w:color w:val="auto"/>
              </w:rPr>
              <w:t>Net income (loss)</w:t>
            </w:r>
          </w:p>
        </w:tc>
        <w:tc>
          <w:tcPr>
            <w:tcW w:w="840" w:type="dxa"/>
            <w:vAlign w:val="bottom"/>
          </w:tcPr>
          <w:p>
            <w:pPr>
              <w:jc w:val="right"/>
              <w:ind w:right="71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12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8240" w:type="dxa"/>
            <w:vAlign w:val="bottom"/>
          </w:tcPr>
          <w:p>
            <w:pPr>
              <w:ind w:left="140"/>
              <w:spacing w:after="0" w:line="149" w:lineRule="exact"/>
              <w:rPr>
                <w:sz w:val="20"/>
                <w:szCs w:val="20"/>
                <w:color w:val="auto"/>
              </w:rPr>
            </w:pPr>
            <w:r>
              <w:rPr>
                <w:rFonts w:ascii="Arial" w:cs="Arial" w:eastAsia="Arial" w:hAnsi="Arial"/>
                <w:sz w:val="14"/>
                <w:szCs w:val="14"/>
                <w:color w:val="auto"/>
              </w:rPr>
              <w:t>Adjustments to reconcile net (loss) income from continuing operations to net cash provided by in operating activities: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Depreciation and amortization of financing fees</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9"/>
        </w:trPr>
        <w:tc>
          <w:tcPr>
            <w:tcW w:w="8240" w:type="dxa"/>
            <w:vAlign w:val="bottom"/>
          </w:tcPr>
          <w:p>
            <w:pPr>
              <w:ind w:left="380"/>
              <w:spacing w:after="0" w:line="149" w:lineRule="exact"/>
              <w:rPr>
                <w:sz w:val="20"/>
                <w:szCs w:val="20"/>
                <w:color w:val="auto"/>
              </w:rPr>
            </w:pPr>
            <w:r>
              <w:rPr>
                <w:rFonts w:ascii="Arial" w:cs="Arial" w:eastAsia="Arial" w:hAnsi="Arial"/>
                <w:sz w:val="14"/>
                <w:szCs w:val="14"/>
                <w:color w:val="auto"/>
              </w:rPr>
              <w:t>Amortization of intangible assets</w:t>
            </w:r>
          </w:p>
        </w:tc>
        <w:tc>
          <w:tcPr>
            <w:tcW w:w="8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Changes in deferred income taxes</w:t>
            </w:r>
          </w:p>
        </w:tc>
        <w:tc>
          <w:tcPr>
            <w:tcW w:w="8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Loss on long-lived asset disposals</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Accounts receivable</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4,183</w:t>
            </w:r>
          </w:p>
        </w:tc>
        <w:tc>
          <w:tcPr>
            <w:tcW w:w="0" w:type="dxa"/>
            <w:vAlign w:val="bottom"/>
          </w:tcPr>
          <w:p>
            <w:pPr>
              <w:spacing w:after="0"/>
              <w:rPr>
                <w:sz w:val="1"/>
                <w:szCs w:val="1"/>
                <w:color w:val="auto"/>
              </w:rPr>
            </w:pPr>
          </w:p>
        </w:tc>
      </w:tr>
      <w:tr>
        <w:trPr>
          <w:trHeight w:val="149"/>
        </w:trPr>
        <w:tc>
          <w:tcPr>
            <w:tcW w:w="8240" w:type="dxa"/>
            <w:vAlign w:val="bottom"/>
          </w:tcPr>
          <w:p>
            <w:pPr>
              <w:ind w:left="500"/>
              <w:spacing w:after="0" w:line="149" w:lineRule="exact"/>
              <w:rPr>
                <w:sz w:val="20"/>
                <w:szCs w:val="20"/>
                <w:color w:val="auto"/>
              </w:rPr>
            </w:pPr>
            <w:r>
              <w:rPr>
                <w:rFonts w:ascii="Arial" w:cs="Arial" w:eastAsia="Arial" w:hAnsi="Arial"/>
                <w:sz w:val="14"/>
                <w:szCs w:val="14"/>
                <w:color w:val="auto"/>
              </w:rPr>
              <w:t>Inventories</w:t>
            </w:r>
          </w:p>
        </w:tc>
        <w:tc>
          <w:tcPr>
            <w:tcW w:w="84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1,326</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Prepaid expenses and other assets</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2"/>
        </w:trPr>
        <w:tc>
          <w:tcPr>
            <w:tcW w:w="8240" w:type="dxa"/>
            <w:vAlign w:val="bottom"/>
          </w:tcPr>
          <w:p>
            <w:pPr>
              <w:ind w:left="500"/>
              <w:spacing w:after="0"/>
              <w:rPr>
                <w:sz w:val="20"/>
                <w:szCs w:val="20"/>
                <w:color w:val="auto"/>
              </w:rPr>
            </w:pPr>
            <w:r>
              <w:rPr>
                <w:rFonts w:ascii="Arial" w:cs="Arial" w:eastAsia="Arial" w:hAnsi="Arial"/>
                <w:sz w:val="14"/>
                <w:szCs w:val="14"/>
                <w:color w:val="auto"/>
              </w:rPr>
              <w:t>Accounts payable and other liabilities</w:t>
            </w: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3,160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INVESTING ACTIVITIES:</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8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8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(470)</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restricted cash</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used in investing activities</w:t>
            </w:r>
          </w:p>
        </w:tc>
        <w:tc>
          <w:tcPr>
            <w:tcW w:w="8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(454</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4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FINANCING ACTIVITIES: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to repurchase treasury stock</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8240" w:type="dxa"/>
            <w:vAlign w:val="bottom"/>
          </w:tcPr>
          <w:p>
            <w:pPr>
              <w:ind w:left="180"/>
              <w:spacing w:after="0" w:line="149" w:lineRule="exact"/>
              <w:rPr>
                <w:sz w:val="20"/>
                <w:szCs w:val="20"/>
                <w:color w:val="auto"/>
              </w:rPr>
            </w:pPr>
            <w:r>
              <w:rPr>
                <w:rFonts w:ascii="Arial" w:cs="Arial" w:eastAsia="Arial" w:hAnsi="Arial"/>
                <w:sz w:val="14"/>
                <w:szCs w:val="14"/>
                <w:color w:val="auto"/>
              </w:rPr>
              <w:t>Return of security deposit</w:t>
            </w:r>
          </w:p>
        </w:tc>
        <w:tc>
          <w:tcPr>
            <w:tcW w:w="8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w:t>
            </w:r>
          </w:p>
        </w:tc>
        <w:tc>
          <w:tcPr>
            <w:tcW w:w="8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used in financing activities</w:t>
            </w:r>
          </w:p>
        </w:tc>
        <w:tc>
          <w:tcPr>
            <w:tcW w:w="8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4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00"/>
              <w:spacing w:after="0"/>
              <w:rPr>
                <w:sz w:val="20"/>
                <w:szCs w:val="20"/>
                <w:color w:val="auto"/>
              </w:rPr>
            </w:pPr>
            <w:r>
              <w:rPr>
                <w:rFonts w:ascii="Arial" w:cs="Arial" w:eastAsia="Arial" w:hAnsi="Arial"/>
                <w:sz w:val="14"/>
                <w:szCs w:val="14"/>
                <w:color w:val="auto"/>
              </w:rPr>
              <w:t>Effect of exchange rate changes on cash and cash equivalents</w:t>
            </w:r>
          </w:p>
        </w:tc>
        <w:tc>
          <w:tcPr>
            <w:tcW w:w="8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INCREASE IN CASH AND CASH EQUIVALENTS</w:t>
            </w:r>
          </w:p>
        </w:tc>
        <w:tc>
          <w:tcPr>
            <w:tcW w:w="84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2,422</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17,711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4"/>
                <w:szCs w:val="14"/>
                <w:color w:val="auto"/>
              </w:rPr>
              <w:t>16,066</w:t>
            </w:r>
          </w:p>
        </w:tc>
        <w:tc>
          <w:tcPr>
            <w:tcW w:w="0" w:type="dxa"/>
            <w:vAlign w:val="bottom"/>
          </w:tcPr>
          <w:p>
            <w:pPr>
              <w:spacing w:after="0"/>
              <w:rPr>
                <w:sz w:val="1"/>
                <w:szCs w:val="1"/>
                <w:color w:val="auto"/>
              </w:rPr>
            </w:pPr>
          </w:p>
        </w:tc>
      </w:tr>
      <w:tr>
        <w:trPr>
          <w:trHeight w:val="156"/>
        </w:trPr>
        <w:tc>
          <w:tcPr>
            <w:tcW w:w="8240" w:type="dxa"/>
            <w:vAlign w:val="bottom"/>
            <w:tcBorders>
              <w:top w:val="single" w:sz="8" w:color="CCEEFF"/>
              <w:bottom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Cash and cash equivalents, end of period</w:t>
            </w:r>
          </w:p>
        </w:tc>
        <w:tc>
          <w:tcPr>
            <w:tcW w:w="84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20,133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18,744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5</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9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2014.</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December 31, 2014 condensed consolidated balance sheet data was derived from audited financial statements, but does not include all disclosures required by GAAP.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3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has the authorization to repurchase up to 1.8 million shares of its outstanding common stock over a period not to exceed twelve months.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Board of Directors has authorized an extension of the Company’s share repurchase program for an additional twelve month period beginning May 1, 2015 and ending April 30, 2016, subject, for the entire period as extended, to the 1.8 million share aggregate limit established in the initial authorization.</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 period ended March 29, 2015, the Company repurchased 78,401 shares under this program, for a total cost of $298. From the inception of the share repurchase program on May 1, 2014 through April 29, 2015, the Company has repurchased 388,122 shares for an aggregate cost of $1,387.</w:t>
      </w:r>
    </w:p>
    <w:p>
      <w:pPr>
        <w:spacing w:after="0" w:line="181"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6" w:name="page7"/>
    <w:bookmarkEnd w:id="6"/>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RELOCATION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2014, we were informed by local government authorities in Shenzhen, China that the lease for our facility there would not be extended, and we commenced a search for an alternate site to relocate our facility. In July 2014, our subsidiary in China entered into a lease for a replacement facility, also located in Shenzhen. During the fourth quarter of 2014, our subsidiary in China vacated its former facility premises and substantially completed a move and transition to this new facility.</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received compensation from the local government authorities for leasehold improvements and moving-related costs totaling $815, of which $596 was recognized as a reduction of expenses incurred during 2014, which were $841. It is the Company’s policy to recognize this compensation as a reduction of expenses as the expenses are recognized. An additional $61 of this government compensation was recognized during the first quarter of 2015 as a reduction of expenses which totaled $109. We estimate that approximately $158 of expenses remain to be incurred, primarily consisting of employee labor retention payments, and we have deferred the balance of government compensation to fully offset these expenses.</w:t>
      </w:r>
    </w:p>
    <w:p>
      <w:pPr>
        <w:spacing w:after="0" w:line="37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Inventories are stated at the lower of cost or market with cost determined under the first-in, first-out (FIFO) method. The composition of inventories was: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3"/>
              </w:rPr>
              <w:t>March 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1,953</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8,766</w:t>
            </w: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9,497</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EQUIPMENT AND IMPROVEMENTS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Major classes of property, equipment and improvements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29,</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7,456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7,437</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48,082</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48,054</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1,979</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hardware and software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Construction in process</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1,354</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1,351</w:t>
            </w: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Less-accumulated depreciation</w:t>
            </w:r>
          </w:p>
        </w:tc>
        <w:tc>
          <w:tcPr>
            <w:tcW w:w="2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(53,811)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(53,416)</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property, equipment and improvements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Depreciation expense for property, equipment and improvements was $596 and $666 for the three-month periods ended March 29, 2015 and March 30, 2014, respectively.</w:t>
      </w:r>
    </w:p>
    <w:p>
      <w:pPr>
        <w:spacing w:after="0" w:line="170" w:lineRule="exact"/>
        <w:rPr>
          <w:sz w:val="20"/>
          <w:szCs w:val="20"/>
          <w:color w:val="auto"/>
        </w:rPr>
      </w:pPr>
    </w:p>
    <w:p>
      <w:pPr>
        <w:ind w:left="568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7</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sectPr>
      </w:pPr>
    </w:p>
    <w:bookmarkStart w:id="7" w:name="page8"/>
    <w:bookmarkEnd w:id="7"/>
    <w:p>
      <w:pPr>
        <w:ind w:left="340" w:right="6020" w:hanging="332"/>
        <w:spacing w:after="0" w:line="501" w:lineRule="auto"/>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GOODWILL, INTANGIBLE ASSETS AND LONG TERM ASSETS </w:t>
      </w:r>
      <w:r>
        <w:rPr>
          <w:rFonts w:ascii="Arial" w:cs="Arial" w:eastAsia="Arial" w:hAnsi="Arial"/>
          <w:sz w:val="18"/>
          <w:szCs w:val="18"/>
          <w:color w:val="auto"/>
        </w:rPr>
        <w:t>a. Goodwill</w:t>
      </w:r>
    </w:p>
    <w:p>
      <w:pPr>
        <w:ind w:left="260"/>
        <w:spacing w:after="0"/>
        <w:rPr>
          <w:sz w:val="20"/>
          <w:szCs w:val="20"/>
          <w:color w:val="auto"/>
        </w:rPr>
      </w:pPr>
      <w:r>
        <w:rPr>
          <w:rFonts w:ascii="Arial" w:cs="Arial" w:eastAsia="Arial" w:hAnsi="Arial"/>
          <w:sz w:val="18"/>
          <w:szCs w:val="18"/>
          <w:color w:val="auto"/>
        </w:rPr>
        <w:t>The following table summarizes the goodwill activity by segment for the three-month periods ended March 29, 2015 and March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7"/>
              </w:rPr>
              <w:t>Battery &amp;</w:t>
            </w:r>
          </w:p>
        </w:tc>
        <w:tc>
          <w:tcPr>
            <w:tcW w:w="200" w:type="dxa"/>
            <w:vAlign w:val="bottom"/>
          </w:tcPr>
          <w:p>
            <w:pPr>
              <w:spacing w:after="0"/>
              <w:rPr>
                <w:sz w:val="18"/>
                <w:szCs w:val="18"/>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4"/>
              </w:rPr>
              <w:t>Communi-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Energy</w:t>
            </w:r>
          </w:p>
        </w:tc>
        <w:tc>
          <w:tcPr>
            <w:tcW w:w="200" w:type="dxa"/>
            <w:vAlign w:val="bottom"/>
          </w:tcPr>
          <w:p>
            <w:pPr>
              <w:spacing w:after="0"/>
              <w:rPr>
                <w:sz w:val="19"/>
                <w:szCs w:val="19"/>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5"/>
              </w:rPr>
              <w:t>cations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3"/>
              </w:rPr>
              <w:t>Systems</w:t>
            </w:r>
          </w:p>
        </w:tc>
        <w:tc>
          <w:tcPr>
            <w:tcW w:w="3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30, 2014</w:t>
            </w:r>
          </w:p>
        </w:tc>
        <w:tc>
          <w:tcPr>
            <w:tcW w:w="1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29, 2015</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Intangible Assets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composition of intangible assets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Patents and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Distributor relationships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at March 29,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ind w:left="60"/>
              <w:spacing w:after="0" w:line="205" w:lineRule="exact"/>
              <w:rPr>
                <w:sz w:val="20"/>
                <w:szCs w:val="20"/>
                <w:color w:val="auto"/>
              </w:rPr>
            </w:pPr>
            <w:r>
              <w:rPr>
                <w:rFonts w:ascii="Arial" w:cs="Arial" w:eastAsia="Arial" w:hAnsi="Arial"/>
                <w:sz w:val="18"/>
                <w:szCs w:val="18"/>
                <w:b w:val="1"/>
                <w:bCs w:val="1"/>
                <w:color w:val="auto"/>
              </w:rPr>
              <w:t>Accumulated</w:t>
            </w: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amortization</w:t>
            </w:r>
          </w:p>
        </w:tc>
        <w:tc>
          <w:tcPr>
            <w:tcW w:w="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00" w:type="dxa"/>
            <w:vAlign w:val="bottom"/>
            <w:tcBorders>
              <w:bottom w:val="single" w:sz="8" w:color="auto"/>
            </w:tcBorders>
          </w:tcPr>
          <w:p>
            <w:pPr>
              <w:spacing w:after="0"/>
              <w:rPr>
                <w:sz w:val="20"/>
                <w:szCs w:val="20"/>
                <w:color w:val="auto"/>
              </w:rPr>
            </w:pPr>
          </w:p>
        </w:tc>
      </w:tr>
      <w:tr>
        <w:trPr>
          <w:trHeight w:val="411"/>
        </w:trPr>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4,511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(4,148)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(3,709)</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-736600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881"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at December 31, 2014</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Accumulated</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Cost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amortization</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Patents and technology</w:t>
            </w:r>
          </w:p>
        </w:tc>
        <w:tc>
          <w:tcPr>
            <w:tcW w:w="2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(4,114)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(3,679)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(365)</w:t>
            </w:r>
          </w:p>
        </w:tc>
        <w:tc>
          <w:tcPr>
            <w:tcW w:w="5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680" w:type="dxa"/>
            <w:vAlign w:val="bottom"/>
            <w:tcBorders>
              <w:top w:val="single" w:sz="8" w:color="CCEEFF"/>
              <w:bottom w:val="single" w:sz="8" w:color="CCEEFF"/>
            </w:tcBorders>
            <w:shd w:val="clear" w:color="auto" w:fill="CCEEFF"/>
          </w:tcPr>
          <w:p>
            <w:pPr>
              <w:jc w:val="right"/>
              <w:ind w:right="5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intangible assets was $60 and $74 for the three-month periods ended March 29, 2015 and March 30, 2014, respectively. Amortization included in research and development expenses was $32 and $42 for the three-month periods ended March 29, 2015 and March 30, 2014, respectively. Amortization included in selling, general and administrative expenses was $28 and $32 for the three-month periods ended March 29, 2015 and March 30, 2014,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change in the cost value of total intangible assets from December 31, 2014 to March 29, 2015 is a result of the effect of foreign currency translations.</w:t>
      </w:r>
    </w:p>
    <w:p>
      <w:pPr>
        <w:spacing w:after="0" w:line="248" w:lineRule="exact"/>
        <w:rPr>
          <w:sz w:val="20"/>
          <w:szCs w:val="20"/>
          <w:color w:val="auto"/>
        </w:rPr>
      </w:pPr>
    </w:p>
    <w:p>
      <w:pPr>
        <w:ind w:left="568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8</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type w:val="continuous"/>
        </w:sectPr>
      </w:pPr>
    </w:p>
    <w:bookmarkStart w:id="8" w:name="page9"/>
    <w:bookmarkEnd w:id="8"/>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a Revolving Credit, Guaranty and Security Agreement (the “Credit Agreement”) and related security agreements with PNC Bank, National Association (“PNC Bank”), which provides a $20 million secured asset-based revolving credit facility that includes a $1 million letter of credit sub-facility (the “Credit Facility”). The Credit Agreement provides that the Credit Facility may be increased with PNC Bank’s concurrence to an amount not to exceed $35 million prior to the last six months of the term and expires on May 24,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29, 2015, we had approximately $11,067 of borrowing capacity in addition to our unrestricted cash on hand of $20,133, and we had no outstanding borrowings or outstanding letters of credit under the Credit Facility at either March 29, 2015 or March 30, 2014.</w:t>
      </w:r>
    </w:p>
    <w:p>
      <w:pPr>
        <w:sectPr>
          <w:pgSz w:w="11900" w:h="16838" w:orient="portrait"/>
          <w:cols w:equalWidth="0" w:num="1">
            <w:col w:w="11420"/>
          </w:cols>
          <w:pgMar w:left="240" w:top="881" w:right="239" w:bottom="1440" w:gutter="0" w:footer="0" w:header="0"/>
        </w:sectPr>
      </w:pPr>
    </w:p>
    <w:p>
      <w:pPr>
        <w:spacing w:after="0" w:line="38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SHAREHOLDERS’ EQUITY</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We recorded non-cash stock compensation expense in each period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Restricted stock grants: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Board of directors compensation – stock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are more fully discussed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5"/>
          </w:tcPr>
          <w:p>
            <w:pPr>
              <w:jc w:val="right"/>
              <w:ind w:right="537"/>
              <w:spacing w:after="0"/>
              <w:rPr>
                <w:sz w:val="20"/>
                <w:szCs w:val="20"/>
                <w:color w:val="auto"/>
              </w:rPr>
            </w:pPr>
            <w:r>
              <w:rPr>
                <w:rFonts w:ascii="Arial" w:cs="Arial" w:eastAsia="Arial" w:hAnsi="Arial"/>
                <w:sz w:val="18"/>
                <w:szCs w:val="18"/>
                <w:b w:val="1"/>
                <w:bCs w:val="1"/>
                <w:color w:val="auto"/>
              </w:rPr>
              <w:t>Three month periods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3"/>
              </w:rPr>
              <w:t>March 29,</w:t>
            </w: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March 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gridSpan w:val="2"/>
          </w:tcPr>
          <w:p>
            <w:pPr>
              <w:jc w:val="right"/>
              <w:ind w:right="157"/>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120</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top w:val="single" w:sz="8" w:color="auto"/>
            </w:tcBorders>
          </w:tcPr>
          <w:p>
            <w:pPr>
              <w:jc w:val="right"/>
              <w:ind w:right="105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123</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57"/>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6600" w:space="720"/>
            <w:col w:w="4100"/>
          </w:cols>
          <w:pgMar w:left="240" w:top="881" w:right="239" w:bottom="1440" w:gutter="0" w:footer="0" w:header="0"/>
          <w:type w:val="continuous"/>
        </w:sectPr>
      </w:pPr>
    </w:p>
    <w:p>
      <w:pPr>
        <w:spacing w:after="0" w:line="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March 29, 2015, there was $545 of total unrecognized compensation cost related to outstanding stock options, which is expected to be recognized over a weighted average period of 1.3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first quarter of 2015:</w:t>
      </w:r>
    </w:p>
    <w:p>
      <w:pPr>
        <w:spacing w:after="0" w:line="200" w:lineRule="exact"/>
        <w:rPr>
          <w:sz w:val="20"/>
          <w:szCs w:val="20"/>
          <w:color w:val="auto"/>
        </w:rPr>
      </w:pPr>
    </w:p>
    <w:p>
      <w:pPr>
        <w:spacing w:after="0" w:line="241"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9</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 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2015</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2,056,122</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277,000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(2,667)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00"/>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(52,999)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March 29,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3"/>
              </w:rPr>
              <w:t>202</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Vested and expected to vest at</w:t>
            </w: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29, 2015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2,126,019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3"/>
              </w:rPr>
              <w:t>168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Exercisable at March 29, 2015</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gridSpan w:val="2"/>
            <w:vMerge w:val="restart"/>
          </w:tcPr>
          <w:p>
            <w:pPr>
              <w:jc w:val="right"/>
              <w:ind w:right="37"/>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5.25</w:t>
            </w: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3.08</w:t>
            </w:r>
          </w:p>
        </w:tc>
        <w:tc>
          <w:tcPr>
            <w:tcW w:w="4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1,338,129</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80" w:type="dxa"/>
            <w:vAlign w:val="bottom"/>
            <w:gridSpan w:val="8"/>
          </w:tcPr>
          <w:p>
            <w:pPr>
              <w:ind w:left="340"/>
              <w:spacing w:after="0"/>
              <w:rPr>
                <w:sz w:val="20"/>
                <w:szCs w:val="20"/>
                <w:color w:val="auto"/>
              </w:rPr>
            </w:pPr>
            <w:r>
              <w:rPr>
                <w:rFonts w:ascii="Arial" w:cs="Arial" w:eastAsia="Arial" w:hAnsi="Arial"/>
                <w:sz w:val="18"/>
                <w:szCs w:val="18"/>
                <w:color w:val="auto"/>
              </w:rPr>
              <w:t>The following assumptions were used to value stock options granted during the first quarter of 2015:</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0"/>
              </w:rPr>
              <w:t>1.35%</w:t>
            </w: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Volatility factor</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670"/>
              <w:spacing w:after="0"/>
              <w:rPr>
                <w:sz w:val="20"/>
                <w:szCs w:val="20"/>
                <w:color w:val="auto"/>
              </w:rPr>
            </w:pPr>
            <w:r>
              <w:rPr>
                <w:rFonts w:ascii="Arial" w:cs="Arial" w:eastAsia="Arial" w:hAnsi="Arial"/>
                <w:sz w:val="18"/>
                <w:szCs w:val="18"/>
                <w:color w:val="auto"/>
                <w:w w:val="90"/>
              </w:rPr>
              <w:t>47.3%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30"/>
        </w:trPr>
        <w:tc>
          <w:tcPr>
            <w:tcW w:w="4940" w:type="dxa"/>
            <w:vAlign w:val="bottom"/>
          </w:tcPr>
          <w:p>
            <w:pPr>
              <w:ind w:left="100"/>
              <w:spacing w:after="0"/>
              <w:rPr>
                <w:sz w:val="20"/>
                <w:szCs w:val="20"/>
                <w:color w:val="auto"/>
              </w:rPr>
            </w:pPr>
            <w:r>
              <w:rPr>
                <w:rFonts w:ascii="Arial" w:cs="Arial" w:eastAsia="Arial" w:hAnsi="Arial"/>
                <w:sz w:val="18"/>
                <w:szCs w:val="18"/>
                <w:color w:val="auto"/>
              </w:rPr>
              <w:t>Weighted average expected life (years)</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three months of 2015 or 2014. Cash received from stock option exercises under our stock-based compensation plans for the three-month periods ended March 29, 2015 and March 30, 2014 was $8 and $0,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Restricted Stock Awards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President and Chief Executive Officer holds 60,000 unearned, unvested restricted stock units at March 29, 2015, and an additional 30,000 of his restricted stock units vested during the three-month period ended March 29, 2015.</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49,200 shares of restricted stock were awarded to certain of our employees in September, 2014. There is $106 of unrecognized compensation cost related to these restricted shares at March 29, 2015.</w:t>
      </w:r>
    </w:p>
    <w:p>
      <w:pPr>
        <w:spacing w:after="0" w:line="38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asset and liability method, prescribed by FASB’s guidance on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three-month periods ended March 29, 2015 and March 30, 2014, we recorded $111 and $60, respectively, in income tax expense, detailed as follows:</w:t>
      </w:r>
    </w:p>
    <w:p>
      <w:pPr>
        <w:spacing w:after="0" w:line="170"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10</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72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rPr>
              <w:t>Three month periods ended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March 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March 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20" w:type="dxa"/>
            <w:vAlign w:val="bottom"/>
          </w:tcPr>
          <w:p>
            <w:pPr>
              <w:spacing w:after="0"/>
              <w:rPr>
                <w:sz w:val="20"/>
                <w:szCs w:val="20"/>
                <w:color w:val="auto"/>
              </w:rPr>
            </w:pPr>
          </w:p>
        </w:tc>
        <w:tc>
          <w:tcPr>
            <w:tcW w:w="37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income tax provision:</w:t>
            </w:r>
          </w:p>
        </w:tc>
        <w:tc>
          <w:tcPr>
            <w:tcW w:w="25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4820" w:type="dxa"/>
            <w:vAlign w:val="bottom"/>
          </w:tcPr>
          <w:p>
            <w:pPr>
              <w:jc w:val="center"/>
              <w:ind w:right="3690"/>
              <w:spacing w:after="0"/>
              <w:rPr>
                <w:sz w:val="20"/>
                <w:szCs w:val="20"/>
                <w:color w:val="auto"/>
              </w:rPr>
            </w:pPr>
            <w:r>
              <w:rPr>
                <w:rFonts w:ascii="Arial" w:cs="Arial" w:eastAsia="Arial" w:hAnsi="Arial"/>
                <w:sz w:val="18"/>
                <w:szCs w:val="18"/>
                <w:color w:val="auto"/>
                <w:w w:val="91"/>
              </w:rPr>
              <w:t>Foreign</w:t>
            </w:r>
          </w:p>
        </w:tc>
        <w:tc>
          <w:tcPr>
            <w:tcW w:w="372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18"/>
                <w:szCs w:val="18"/>
                <w:color w:val="auto"/>
              </w:rPr>
            </w:pPr>
          </w:p>
        </w:tc>
        <w:tc>
          <w:tcPr>
            <w:tcW w:w="1200" w:type="dxa"/>
            <w:vAlign w:val="bottom"/>
            <w:gridSpan w:val="2"/>
          </w:tcPr>
          <w:p>
            <w:pPr>
              <w:jc w:val="right"/>
              <w:ind w:right="1050"/>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jc w:val="center"/>
              <w:ind w:right="3710"/>
              <w:spacing w:after="0"/>
              <w:rPr>
                <w:sz w:val="20"/>
                <w:szCs w:val="20"/>
                <w:color w:val="auto"/>
              </w:rPr>
            </w:pPr>
            <w:r>
              <w:rPr>
                <w:rFonts w:ascii="Arial" w:cs="Arial" w:eastAsia="Arial" w:hAnsi="Arial"/>
                <w:sz w:val="18"/>
                <w:szCs w:val="18"/>
                <w:color w:val="auto"/>
                <w:w w:val="88"/>
              </w:rPr>
              <w:t>Federal</w:t>
            </w:r>
          </w:p>
        </w:tc>
        <w:tc>
          <w:tcPr>
            <w:tcW w:w="2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4820" w:type="dxa"/>
            <w:vAlign w:val="bottom"/>
          </w:tcPr>
          <w:p>
            <w:pPr>
              <w:ind w:left="200"/>
              <w:spacing w:after="0"/>
              <w:rPr>
                <w:sz w:val="20"/>
                <w:szCs w:val="20"/>
                <w:color w:val="auto"/>
              </w:rPr>
            </w:pPr>
            <w:r>
              <w:rPr>
                <w:rFonts w:ascii="Arial" w:cs="Arial" w:eastAsia="Arial" w:hAnsi="Arial"/>
                <w:sz w:val="18"/>
                <w:szCs w:val="18"/>
                <w:color w:val="auto"/>
              </w:rPr>
              <w:t>State</w:t>
            </w:r>
          </w:p>
        </w:tc>
        <w:tc>
          <w:tcPr>
            <w:tcW w:w="2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30"/>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 provision</w:t>
            </w:r>
          </w:p>
        </w:tc>
        <w:tc>
          <w:tcPr>
            <w:tcW w:w="2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r>
      <w:tr>
        <w:trPr>
          <w:trHeight w:val="223"/>
        </w:trPr>
        <w:tc>
          <w:tcPr>
            <w:tcW w:w="4820" w:type="dxa"/>
            <w:vAlign w:val="bottom"/>
          </w:tcPr>
          <w:p>
            <w:pPr>
              <w:jc w:val="center"/>
              <w:ind w:right="3710"/>
              <w:spacing w:after="0"/>
              <w:rPr>
                <w:sz w:val="20"/>
                <w:szCs w:val="20"/>
                <w:color w:val="auto"/>
              </w:rPr>
            </w:pPr>
            <w:r>
              <w:rPr>
                <w:rFonts w:ascii="Arial" w:cs="Arial" w:eastAsia="Arial" w:hAnsi="Arial"/>
                <w:sz w:val="18"/>
                <w:szCs w:val="18"/>
                <w:color w:val="auto"/>
                <w:w w:val="94"/>
              </w:rPr>
              <w:t>Total</w:t>
            </w:r>
          </w:p>
        </w:tc>
        <w:tc>
          <w:tcPr>
            <w:tcW w:w="25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 provision is primarily due to the recognition of deferred tax liabilities relating to goodwill and certain intangible assets that cannot be predicted to reverse for book purposes during our loss carryforward periods.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consolidated tax rates for the three-month periods ended March 29, 2015 and March 30, 2014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 periods ended</w:t>
            </w:r>
          </w:p>
        </w:tc>
      </w:tr>
      <w:tr>
        <w:trPr>
          <w:trHeight w:val="230"/>
        </w:trPr>
        <w:tc>
          <w:tcPr>
            <w:tcW w:w="7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29,</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30,</w:t>
            </w:r>
          </w:p>
        </w:tc>
      </w:tr>
      <w:tr>
        <w:trPr>
          <w:trHeight w:val="234"/>
        </w:trPr>
        <w:tc>
          <w:tcPr>
            <w:tcW w:w="7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10"/>
        </w:trPr>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(loss) from continuing operations before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200" w:type="dxa"/>
            <w:vAlign w:val="bottom"/>
          </w:tcPr>
          <w:p>
            <w:pPr>
              <w:ind w:left="240"/>
              <w:spacing w:after="0"/>
              <w:rPr>
                <w:sz w:val="20"/>
                <w:szCs w:val="20"/>
                <w:color w:val="auto"/>
              </w:rPr>
            </w:pPr>
            <w:r>
              <w:rPr>
                <w:rFonts w:ascii="Arial" w:cs="Arial" w:eastAsia="Arial" w:hAnsi="Arial"/>
                <w:sz w:val="18"/>
                <w:szCs w:val="18"/>
                <w:color w:val="auto"/>
              </w:rPr>
              <w:t>income taxes (a)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634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(1,159)</w:t>
            </w:r>
          </w:p>
        </w:tc>
      </w:tr>
      <w:tr>
        <w:trPr>
          <w:trHeight w:val="216"/>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20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26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16"/>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200" w:type="dxa"/>
            <w:vAlign w:val="bottom"/>
          </w:tcPr>
          <w:p>
            <w:pPr>
              <w:ind w:left="100"/>
              <w:spacing w:after="0"/>
              <w:rPr>
                <w:sz w:val="20"/>
                <w:szCs w:val="20"/>
                <w:color w:val="auto"/>
              </w:rPr>
            </w:pPr>
            <w:r>
              <w:rPr>
                <w:rFonts w:ascii="Arial" w:cs="Arial" w:eastAsia="Arial" w:hAnsi="Arial"/>
                <w:sz w:val="18"/>
                <w:szCs w:val="18"/>
                <w:color w:val="auto"/>
              </w:rPr>
              <w:t>Effective income tax rate (b/a)</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our U.K. subsidiary, as management does not believe, at this time, that it is more likely than not that we will realize the benefit of these losses.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29, 2015, we have foreign and domestic net operating loss (“NOL”) and credit carryforwards totaling approximately $65,600 and $1,400 available to reduce future taxable income. Included in our NOL carryforwards are foreign loss carryforwards of approximately $12,400 that can be carried forward indefinitely. The domestic NOL carryforward of $53,200 expires from 2019 through 2035. The domestic NOL carryforward includes approximately $2,900 for which a benefit will be recorded in capital in excess of par value when realized.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March 29, 2015 relate to Federal and various state jurisdictions. The following table summarizes the activity related to our unrecognized tax benefits:</w:t>
      </w:r>
    </w:p>
    <w:p>
      <w:pPr>
        <w:spacing w:after="0" w:line="170"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11</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gridSpan w:val="6"/>
          </w:tcPr>
          <w:p>
            <w:pPr>
              <w:ind w:left="740"/>
              <w:spacing w:after="0"/>
              <w:rPr>
                <w:sz w:val="20"/>
                <w:szCs w:val="20"/>
                <w:color w:val="auto"/>
              </w:rPr>
            </w:pPr>
            <w:r>
              <w:rPr>
                <w:rFonts w:ascii="Arial" w:cs="Arial" w:eastAsia="Arial" w:hAnsi="Arial"/>
                <w:sz w:val="18"/>
                <w:szCs w:val="18"/>
                <w:b w:val="1"/>
                <w:bCs w:val="1"/>
                <w:color w:val="auto"/>
              </w:rPr>
              <w:t>Three month periods ended</w:t>
            </w:r>
          </w:p>
        </w:tc>
      </w:tr>
      <w:tr>
        <w:trPr>
          <w:trHeight w:val="230"/>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29,</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30,</w:t>
            </w:r>
          </w:p>
        </w:tc>
      </w:t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 beginning of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7,296</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93"/>
              </w:rPr>
              <w:t>7,296</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Increases related to current year tax positions</w:t>
            </w:r>
          </w:p>
        </w:tc>
        <w:tc>
          <w:tcPr>
            <w:tcW w:w="26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Increases related to prior year tax positions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Decreases related to prior year tax positions</w:t>
            </w:r>
          </w:p>
        </w:tc>
        <w:tc>
          <w:tcPr>
            <w:tcW w:w="26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Expiration of statute of limitations for assessment of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4"/>
              </w:rPr>
              <w:t>7,296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3"/>
              </w:rPr>
              <w:t>7,296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unrecognized tax benefits balance has been recorded as a decrease in the deferred tax asset relating to our NOL carryforward. Because we have recorded a full valuation allowance against our deferred tax assets, the unrecognized tax benefits balance has no effect on our net income (loss) or financial position, as presented. Interest and penalties would begin to accrue in the period in which the NOL carryforwards related to the uncertain tax positions are utilized. We do not expect our unrecognized tax benefits to change significantly over the next twelve months.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file income tax returns in various jurisdictions including U.S. federal, U.S. state and foreign jurisdictions. We are routinely subject to examination by taxing authorities in these various jurisdictions. Our U.S. tax matters for the years 2000 through 2014 remain subject to examination by the Internal Revenue Service (“IRS”) and by various state and local tax jurisdictions due to our NOL carryforwards. Our tax matters for the years 2007 through 2014 remain subject to examination by the respective foreign tax jurisdiction authorities. The IRS has completed the examination of our 2009 U.S. federal income tax return, with no resulting material effect to our financial position or results of operations, and is examining our U.S. federal income tax returns for 2011 through 2013.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EARNINGS PER SHARE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March 29, 2015, 97,700 stock options were included in the calculation of Diluted EPS as such securities are dilutive. Inclusion of these securities resulted in 8,101 additional shares in the calculation of fully diluted earnings per share. Due to our net loss in the three-month period ended March 30, 2014, no dilutive securities were considered.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2,179,756 and 2,315,457 outstanding stock options for the three-month periods ended March 29 2015 and March 30, 2014, respectively, that were not included in EPS as the effect would be anti-dilutive.</w:t>
      </w:r>
    </w:p>
    <w:p>
      <w:pPr>
        <w:spacing w:after="0" w:line="387" w:lineRule="exact"/>
        <w:rPr>
          <w:sz w:val="20"/>
          <w:szCs w:val="20"/>
          <w:color w:val="auto"/>
        </w:rPr>
      </w:pPr>
    </w:p>
    <w:p>
      <w:pPr>
        <w:ind w:left="340" w:right="7760" w:hanging="332"/>
        <w:spacing w:after="0" w:line="530" w:lineRule="auto"/>
        <w:tabs>
          <w:tab w:leader="none" w:pos="3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COMMITMENTS AND CONTINGENCIES </w:t>
      </w:r>
      <w:r>
        <w:rPr>
          <w:rFonts w:ascii="Arial" w:cs="Arial" w:eastAsia="Arial" w:hAnsi="Arial"/>
          <w:sz w:val="17"/>
          <w:szCs w:val="17"/>
          <w:color w:val="auto"/>
        </w:rPr>
        <w:t>a. Purchase Commitments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29, 2015, we have made commitments to purchase approximately $412 of production machinery and equipment.</w:t>
      </w:r>
    </w:p>
    <w:p>
      <w:pPr>
        <w:spacing w:after="0" w:line="200" w:lineRule="exact"/>
        <w:rPr>
          <w:sz w:val="20"/>
          <w:szCs w:val="20"/>
          <w:color w:val="auto"/>
        </w:rPr>
      </w:pPr>
    </w:p>
    <w:p>
      <w:pPr>
        <w:spacing w:after="0" w:line="241"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12</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2015 and 2014 were as follows: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Accrued warranty obligations – beginning</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Accruals for warranties issued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Settlements made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Accrued warranty obligations – ending</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 Contingencies and Legal Matters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4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Three month periods ended</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29,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30, 2014</w:t>
            </w: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376</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513</w:t>
            </w:r>
          </w:p>
        </w:tc>
        <w:tc>
          <w:tcPr>
            <w:tcW w:w="1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-608330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600" w:space="720"/>
            <w:col w:w="4100"/>
          </w:cols>
          <w:pgMar w:left="240" w:top="881" w:right="239" w:bottom="1440" w:gutter="0" w:footer="0" w:header="0"/>
          <w:type w:val="continuous"/>
        </w:sectPr>
      </w:pPr>
    </w:p>
    <w:p>
      <w:pPr>
        <w:spacing w:after="0" w:line="3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September 2011, we initiated an action against Arista Power, Inc. (“Arista”) and our former senior sales and engineering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breached the terms of his Employee Confidentiality, Non-Disclosure, Non-Compete, Non-Disparagement and Assignment Agreement with us; (ii) Modeen breached certain agreements, duties and obligations he owed us, including to protect and refrain from disclosing our trade secrets and confidential and proprietary information;</w:t>
      </w:r>
    </w:p>
    <w:p>
      <w:pPr>
        <w:spacing w:after="0" w:line="5" w:lineRule="exact"/>
        <w:rPr>
          <w:sz w:val="20"/>
          <w:szCs w:val="20"/>
          <w:color w:val="auto"/>
        </w:rPr>
      </w:pPr>
    </w:p>
    <w:p>
      <w:pPr>
        <w:jc w:val="both"/>
        <w:ind w:firstLine="8"/>
        <w:spacing w:after="0" w:line="275" w:lineRule="auto"/>
        <w:tabs>
          <w:tab w:leader="none" w:pos="34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breached a subcontract between Arista and us. We seek damages as determined at trial and preliminary and permanent injunctive relief. The defendants answered the allegations set forth in the Complaint and asserted claims against us which have since been dropped</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initiated the September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Discovery in this action is ongoing, and we plan to continue to pursue our complaint against Arista. It is not possible to predict the outcome of this action, whether we will be granted the injunctive relief we seek, nor the monetary amount, if any, which we may be awarded should we prevail.</w:t>
      </w:r>
    </w:p>
    <w:p>
      <w:pPr>
        <w:spacing w:after="0" w:line="147"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13</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type w:val="continuous"/>
        </w:sectPr>
      </w:pPr>
    </w:p>
    <w:bookmarkStart w:id="13" w:name="page14"/>
    <w:bookmarkEnd w:id="13"/>
    <w:p>
      <w:pPr>
        <w:ind w:left="780" w:hanging="772"/>
        <w:spacing w:after="0"/>
        <w:tabs>
          <w:tab w:leader="none" w:pos="7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segment performance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March 29, 2015:</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19,177</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822</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Net income attributable to</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Ultralife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37,299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29,062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22,694</w:t>
            </w: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89,055</w:t>
            </w:r>
          </w:p>
        </w:tc>
      </w:tr>
      <w:tr>
        <w:trPr>
          <w:trHeight w:val="418"/>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March 30, 2014: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15,285</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 to</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Ultralife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21,485</w:t>
            </w: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88,369</w:t>
            </w:r>
          </w:p>
        </w:tc>
      </w:tr>
      <w:tr>
        <w:trPr>
          <w:trHeight w:val="392"/>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r>
    </w:tbl>
    <w:p>
      <w:pPr>
        <w:sectPr>
          <w:pgSz w:w="11900" w:h="16838" w:orient="portrait"/>
          <w:cols w:equalWidth="0" w:num="1">
            <w:col w:w="11420"/>
          </w:cols>
          <w:pgMar w:left="240" w:top="881" w:right="239" w:bottom="1440" w:gutter="0" w:footer="0" w:header="0"/>
        </w:sectPr>
      </w:pPr>
    </w:p>
    <w:bookmarkStart w:id="14" w:name="page15"/>
    <w:bookmarkEnd w:id="14"/>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fair value of financial instruments approximated their carrying values at March 29, 2015 and December 31, 2014. The fair value of cash, trade accounts receivable, trade accounts payable and accrued liabilities approximates carrying value due to the short-term nature of these instruments.</w:t>
      </w:r>
    </w:p>
    <w:p>
      <w:pPr>
        <w:spacing w:after="0" w:line="3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FIRE AT MANUFACTURING FACILITY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total amount of the loss pertaining to assets and the related expenses was approximately $1,589. We have pursued a claim against our insurance policy, with the majority of our insurance claim related to the recovery of damaged inventory. We have received payments in June 2012 and April 2013 totaling approximately $1,286 as a partial payment on our insurance claim, which resulted in no gain or loss being recognized. As of March 29, 2015 and December 31, 2014, we reflect a receivable from the insurance company relating to this claim of $184, which is net of our deductible of approximately $132, and represents additional proceeds expected to be received.</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We are required to adopt this ASU on January 1, 2017 and we are evaluating what impact this standard may have on our consolidated financial statements and disclosures.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possible reduced or further delayed U.S. and foreign defense spending, including the uncertainty of government budget approvals; possible delays or lack of success in our efforts to develop new commercial applications for our products; possible declines in demand for products using our batteries or communications systems; general domestic and global economic conditions; variability in our quarterly and annual results and price of our common stock; the unique risks associated with our Chinese operations; the possibility of impairment of our intangible assets; potential breaches in security and other disruptions; the possibility that our resources could be overwhelmed by our growth prospects; residual effects of negative news related to our industries; potential significant costs from our warranties; loss of top management; possible disruptions in our supply of raw materials and components; failure of customers to meet the volume expectations in our supply agreements; our inability to adequately protect our proprietary and intellectual property; the possibility that our ability to use our NOL carryforwards in the future may be limited; possible adverse effects from violations of the U.S. Foreign Corrupt Practices Act and other anti-corruption laws; variability of foreign currencies; the process of U.S. defense procurement; possible effects of audits of our contracts by the U.S. and foreign governments; our compliance with the regulations for the shipment of our products; business disruptions and other safety risks including those caused by fires; government and environmental regulations;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2014.</w:t>
      </w:r>
    </w:p>
    <w:p>
      <w:pPr>
        <w:spacing w:after="0" w:line="190"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15</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15" w:name="page16"/>
    <w:bookmarkEnd w:id="15"/>
    <w:p>
      <w:pPr>
        <w:jc w:val="both"/>
        <w:ind w:right="20" w:firstLine="324"/>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2014 to reflect new information or risks, future events or other developments.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the Risk Factors and our Consolidated Financial Statements and Notes thereto contained in our Form 10-K for the year ended December 31, 2014.</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 (See Note 12 in the 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revenues of $19,177 for the three-month period ended March 29, 2015, increased by $3,892 or 25.5%, from $15,285 during the three-month period ended March 30, 2014, due to increased orders from U.S. government &amp; defense customers for both our Battery &amp; Energy Products business and Communications Systems business.</w:t>
      </w:r>
    </w:p>
    <w:p>
      <w:pPr>
        <w:spacing w:after="0" w:line="181"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16" w:name="page17"/>
    <w:bookmarkEnd w:id="16"/>
    <w:p>
      <w:pPr>
        <w:jc w:val="both"/>
        <w:ind w:firstLine="324"/>
        <w:spacing w:after="0" w:line="264" w:lineRule="auto"/>
        <w:rPr>
          <w:sz w:val="20"/>
          <w:szCs w:val="20"/>
          <w:color w:val="auto"/>
        </w:rPr>
      </w:pPr>
      <w:r>
        <w:rPr>
          <w:rFonts w:ascii="Arial" w:cs="Arial" w:eastAsia="Arial" w:hAnsi="Arial"/>
          <w:sz w:val="18"/>
          <w:szCs w:val="18"/>
          <w:color w:val="auto"/>
        </w:rPr>
        <w:t>Gross profit for the three-month period ended March 29, 2015 was $6,007, or 31.3% of revenues, compared to $4,335, or 28.4% of revenues, for the same quarter a year ago. The 290 basis points improvement is due primarily to favorable product mix, higher production volume increasing the absorption of factory overhead and continued productivity improvements.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expenses decreased to $5,185 during the three-month period ended March 29, 2015, compared to $5,431 during the three-month period ended March 30, 2014, resulting primarily from continued actions to reduce discretionary spending while focusing on the development of new products and revenue growth.</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increased revenue and resulting leverage on gross profit along with lower operating expenses resulted in an operating profit of $822 for the three-month period ended March 29, 2015, compared to an operating loss of $1,096 for the three-month period ended March 30, 2014. The year-over-year improvement in operating profit of $1,918 resulted from the $3,892 increase in sales that contributed $1,104 to the improvement in operating profit, the 290 basis point improvement in gross margin which contributed $568 and the lower operating expenses which contributed $246.</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income from continuing operations was $523, or $0.03 per share, for the three-month period ended March 29, 2015, compared to a net loss of $(1,219) or $(0.07) per share, for the three-month period ended March 30, 2014. Net income (loss) from discontinued operations was $0 or $0.00 per share for the three-month period ended March 29, 2014 versus a net loss of $(61), or $(0.00) per share, for the three-month period ended March 30, 2014.</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$1,510 in the first quarter of 2015 compared to $(45) for the first quarter of 2014. See the section “Adjusted EBITDA from continuing operations” beginning on page 20 for a reconciliation of Adjusted EBITDA from continuing operations to net income (loss) attributable to Ultralife.</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a result of careful working capital management and cash generated from operations, our liquidity remains solid with no debt, and cash and cash equivalents of $20,272, a $2,406 or 13.5% improvement over the cash position of $17,866 at December 31, 2014. The increase in cash and cash equivalents from year-end 2014 is primarily attributable to our financial performance and cash generated from our 5.0% inventory reduction which amounted to $1,311.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Having started the year on a solid note, we remain positioned to generate top-line growth and profitable results for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March 29, 2015 and March 30, 2014</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March 29, 2015 amounted to $19,177, an increase of $3,892, or 25.5%,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$15,285 reported for the three-month period ended March 30, 2014.</w:t>
      </w:r>
    </w:p>
    <w:p>
      <w:pPr>
        <w:spacing w:after="0" w:line="382"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17</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17" w:name="page18"/>
    <w:bookmarkEnd w:id="17"/>
    <w:p>
      <w:pPr>
        <w:jc w:val="both"/>
        <w:ind w:firstLine="324"/>
        <w:spacing w:after="0" w:line="254" w:lineRule="auto"/>
        <w:rPr>
          <w:sz w:val="20"/>
          <w:szCs w:val="20"/>
          <w:color w:val="auto"/>
        </w:rPr>
      </w:pPr>
      <w:r>
        <w:rPr>
          <w:rFonts w:ascii="Arial" w:cs="Arial" w:eastAsia="Arial" w:hAnsi="Arial"/>
          <w:sz w:val="18"/>
          <w:szCs w:val="18"/>
          <w:color w:val="auto"/>
        </w:rPr>
        <w:t>Battery &amp; Energy Products revenues increased $2,354, or 16.9%, from $13,922 for the three-month period ended March 30, 2014 to $16,276 for the three-month period ended March 29, 2015. The increase was fully attributable to higher shipments of batteries and chargers to U.S. government and defense customers, which helped to increase government and defense shipments by 45.5% over the 2014 period and now comprise 50% of total Battery &amp; Energy Products revenues versus 40% for the first quarter of 2014. Commercial revenues for the first quarter of 2015 were essentially flat with the year-earlier period. Shipments of 9-volt batteries increased by 42.1% over the prior year driven by demand from large international smoke detector OEM’s to comply with legislation and trends in certain European Union countries for products lasting ten years. The effect of this increase was offset with revenues in the first quarter of 2014 for the launch of new products in certain medical channels as well as the timing of primary battery pack and charger orders which did not recur in the first quarter of 2015.</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Communications Systems revenues increased $1,538, or 112.8%, from $1,363 during the three-month period ended March 30, 2014 to $2,901 for the three-month period ended March 29, 2015, reflecting higher sales of new products, including our Universal Vehicle Adaptors to a large international prime contractor, as well as an overall increase in the day-to-day flow business.</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$13,170 for the quarter ended March 29, 2015, an increase of $2,220, or 20.3%, from the $10,950</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for the same three-month period a year ago. Consolidated cost of products sold as a percentage of total revenue decreased from 71.6% for the three-month period ended March 30, 2014 to 68.7% for the three-month period ended March 29, 2015. Correspondingly, consolidated gross margin was 31.3% for the three-month period ended March 29, 2015, compared with 28.4% for the three-month period ended March 30, 2014, reflecting favorable product mix, higher production volume increasing the absorption of factory overhead and continued productivity improvements.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our Battery &amp; Energy Products segment, the cost of products sold increased $1,371, or 13.5% of revenues, from $10,121 during the three-month period ended March 30, 2014 to $11,492 during the three-month period ended March 29, 2015. Battery &amp; Energy Products’ gross profit for the first quarter of 2015 was $4,784, or 29.4% of revenues, an increase of $983 from gross profit of $3,801, or 27.3% of revenues, for the first quarter of 2014. Battery &amp; Energy Products’ gross margin as a percentage of revenues increased for the three-month period ended March 29, 2015 by 210 basis points, reflecting favorable mix, higher production volumes and ongoing productivity improvements through the Lean process.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Communications Systems segment, the cost of products sold increased by $849 or 102.4% from $829 during the three-month period ended March 30, 2014 to $1,678 during the three-month period ended March 29, 2015. Communications Systems’ gross profit for the first quarter of 2015 was $1,223, or 42.2% of revenues, an increase of $689 or 129.0%, from gross profit of $534, or 39.2% of revenues, for the first quarter of 2014. The 300 basis points improvement in gross margin as a percentage of revenue during 2015 is driven by a higher mix of higher-margin new products and increased manufacturing throughput.</w:t>
      </w:r>
    </w:p>
    <w:p>
      <w:pPr>
        <w:spacing w:after="0" w:line="184"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three-month period ended March 29, 2015 totaled $5,185, a decrease of $246 or 4.5%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$5,431 recorded during the three-month period ended March 30, 2014, resulting primarily from continued tight control over all discretionary spending.</w:t>
      </w:r>
    </w:p>
    <w:p>
      <w:pPr>
        <w:spacing w:after="0" w:line="336"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18</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18" w:name="page19"/>
    <w:bookmarkEnd w:id="18"/>
    <w:p>
      <w:pPr>
        <w:jc w:val="both"/>
        <w:ind w:firstLine="324"/>
        <w:spacing w:after="0" w:line="291" w:lineRule="auto"/>
        <w:rPr>
          <w:sz w:val="20"/>
          <w:szCs w:val="20"/>
          <w:color w:val="auto"/>
        </w:rPr>
      </w:pPr>
      <w:r>
        <w:rPr>
          <w:rFonts w:ascii="Arial" w:cs="Arial" w:eastAsia="Arial" w:hAnsi="Arial"/>
          <w:sz w:val="16"/>
          <w:szCs w:val="16"/>
          <w:color w:val="auto"/>
        </w:rPr>
        <w:t>Overall, operating expenses as a percentage of revenues were 27.0% for the quarter ended March 29, 2015 compared to 35.5% for the quarter ended March 30, 2014. Amortization expense associated with intangible assets related to our acquisitions was $60 for the first quarter of 2015 ($28 in selling, general and administrative expenses and $32 in research and development costs), compared with $74 for the first quarter of 2014 ($32 in selling, general, and administrative expenses and $42 in research and development costs). Research and development costs were $1,359 for the three-month period ended March 29, 2015, a decrease of $77, or 5.4%, from $1,436 for the three-months ended March 30, 2014, as we continued to focus our spending on the development of new products with the highest estimated return on investment. Selling, general, and administrative expenses decreased $169, or 4.2%, to $3,826 during the first quarter of 2015 from $3,995 during the first quarter of 2014, reflecting continued actions to reduce discretionary general and administrative expenses.</w:t>
      </w:r>
    </w:p>
    <w:p>
      <w:pPr>
        <w:spacing w:after="0" w:line="16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(Expense) Income. </w:t>
      </w:r>
      <w:r>
        <w:rPr>
          <w:rFonts w:ascii="Arial" w:cs="Arial" w:eastAsia="Arial" w:hAnsi="Arial"/>
          <w:sz w:val="18"/>
          <w:szCs w:val="18"/>
          <w:color w:val="auto"/>
        </w:rPr>
        <w:t>Other (expense) totaled $(188) for the three-month period ended March 29, 2015 compared to $(63) for the three-month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March 30, 2014. Interest and financing expense, net of interest income, increased $19, to $66 for the first quarter of 2015 from $47 for the comparable period in 2014, as a result of costs to insure certain non-US accounts receivable consistent with our Credit Agreement with PNC Bank. Miscellaneous expense amounted to $(122) for the first quarter of 2015 compared with $(16) for the first quarter of 2014, primarily due to transactions impacted by the strengthening of the U.S. dollar relative to the Euro and Pounds Sterling.</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$111 for the first quarter of 2015 compared with a tax provision of $60 for the first quarter of 2014.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consolidated tax rate for the three-month periods ended March 29, 2015 and March 30, 2014 was: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 periods ended</w:t>
            </w:r>
          </w:p>
        </w:tc>
      </w:tr>
      <w:tr>
        <w:trPr>
          <w:trHeight w:val="230"/>
        </w:trPr>
        <w:tc>
          <w:tcPr>
            <w:tcW w:w="7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29,</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30,</w:t>
            </w:r>
          </w:p>
        </w:tc>
      </w:tr>
      <w:tr>
        <w:trPr>
          <w:trHeight w:val="234"/>
        </w:trPr>
        <w:tc>
          <w:tcPr>
            <w:tcW w:w="7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10"/>
        </w:trPr>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income from continuing operations before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200" w:type="dxa"/>
            <w:vAlign w:val="bottom"/>
          </w:tcPr>
          <w:p>
            <w:pPr>
              <w:ind w:left="240"/>
              <w:spacing w:after="0"/>
              <w:rPr>
                <w:sz w:val="20"/>
                <w:szCs w:val="20"/>
                <w:color w:val="auto"/>
              </w:rPr>
            </w:pPr>
            <w:r>
              <w:rPr>
                <w:rFonts w:ascii="Arial" w:cs="Arial" w:eastAsia="Arial" w:hAnsi="Arial"/>
                <w:sz w:val="18"/>
                <w:szCs w:val="18"/>
                <w:color w:val="auto"/>
              </w:rPr>
              <w:t>income taxes (a)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634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(1,159)</w:t>
            </w:r>
          </w:p>
        </w:tc>
      </w:tr>
      <w:tr>
        <w:trPr>
          <w:trHeight w:val="216"/>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20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26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16"/>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200" w:type="dxa"/>
            <w:vAlign w:val="bottom"/>
          </w:tcPr>
          <w:p>
            <w:pPr>
              <w:ind w:left="100"/>
              <w:spacing w:after="0"/>
              <w:rPr>
                <w:sz w:val="20"/>
                <w:szCs w:val="20"/>
                <w:color w:val="auto"/>
              </w:rPr>
            </w:pPr>
            <w:r>
              <w:rPr>
                <w:rFonts w:ascii="Arial" w:cs="Arial" w:eastAsia="Arial" w:hAnsi="Arial"/>
                <w:sz w:val="18"/>
                <w:szCs w:val="18"/>
                <w:color w:val="auto"/>
              </w:rPr>
              <w:t>Effective income tax rate (b/a)</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in the Notes to Condensed Consolidated Financial Statements for additional information regarding our income taxes.</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Loss from discontinued operations, net of tax, totaled $0 for the first quarter for 2015 compared to $(61)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2014. The 2014 loss resulted from our final adjustments relating to the sale of RedBlack.</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Net Income (Loss) Attributable to Ultralife. </w:t>
      </w:r>
      <w:r>
        <w:rPr>
          <w:rFonts w:ascii="Arial" w:cs="Arial" w:eastAsia="Arial" w:hAnsi="Arial"/>
          <w:sz w:val="18"/>
          <w:szCs w:val="18"/>
          <w:color w:val="auto"/>
        </w:rPr>
        <w:t>Net income (loss) attributable to Ultralife and income (loss) attributable to Ultralife common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per diluted share was $533 and $.03, respectively, for the three months ended March 29, 2015 compared to $(1,286) and $(0.07), respectively, for the three months ended March 30, 2014. Average common shares outstanding used to compute diluted earnings per share decreased from 17,513,000 in the first quarter of 2014 to 17,354,000 in the first quarter of 2015, mainly due to the repurchase of shares under the Company’s share repurchase program, offset partially by common stock issued to our non-employee directors and stock option exercises.</w:t>
      </w:r>
    </w:p>
    <w:p>
      <w:pPr>
        <w:spacing w:after="0" w:line="188"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19</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8" w:lineRule="exact"/>
        <w:rPr>
          <w:sz w:val="20"/>
          <w:szCs w:val="20"/>
          <w:color w:val="auto"/>
        </w:rPr>
      </w:pPr>
    </w:p>
    <w:p>
      <w:pPr>
        <w:jc w:val="both"/>
        <w:ind w:left="1080" w:hanging="316"/>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7"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20</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20" w:name="page21"/>
    <w:bookmarkEnd w:id="20"/>
    <w:p>
      <w:pPr>
        <w:jc w:val="both"/>
        <w:ind w:left="1080" w:hanging="316"/>
        <w:spacing w:after="0" w:line="26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81" w:lineRule="exact"/>
        <w:rPr>
          <w:rFonts w:ascii="Arial" w:cs="Arial" w:eastAsia="Arial" w:hAnsi="Arial"/>
          <w:sz w:val="18"/>
          <w:szCs w:val="18"/>
          <w:color w:val="auto"/>
        </w:rPr>
      </w:pPr>
    </w:p>
    <w:p>
      <w:pPr>
        <w:ind w:left="1080" w:right="20" w:hanging="316"/>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may calculate Adjusted EBITDA from continuing operations differently than we do, limiting its usefulness as a comparative measure.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Three month periods ended</w:t>
            </w:r>
          </w:p>
        </w:tc>
      </w:tr>
      <w:tr>
        <w:trPr>
          <w:trHeight w:val="234"/>
        </w:trPr>
        <w:tc>
          <w:tcPr>
            <w:tcW w:w="7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5"/>
              </w:rPr>
              <w:t>March 29, 2015</w:t>
            </w:r>
          </w:p>
        </w:tc>
        <w:tc>
          <w:tcPr>
            <w:tcW w:w="9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5"/>
              </w:rPr>
              <w:t>March 30, 2014</w:t>
            </w: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Ultralife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Add (subtract):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and financing expense, net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7320" w:type="dxa"/>
            <w:vAlign w:val="bottom"/>
          </w:tcPr>
          <w:p>
            <w:pPr>
              <w:ind w:left="28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r>
      <w:tr>
        <w:trPr>
          <w:trHeight w:val="216"/>
        </w:trPr>
        <w:tc>
          <w:tcPr>
            <w:tcW w:w="7320" w:type="dxa"/>
            <w:vAlign w:val="bottom"/>
          </w:tcPr>
          <w:p>
            <w:pPr>
              <w:ind w:left="28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r>
      <w:tr>
        <w:trPr>
          <w:trHeight w:val="230"/>
        </w:trPr>
        <w:tc>
          <w:tcPr>
            <w:tcW w:w="732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March 29, 2015, cash and cash equivalents totaled $20,272, an increase of $2,406 from the beginning of the year. During the three-month period ended March 29, 2015, we generated $3,160 of cash from our operating activities as compared to $2,704 for the three-month period ended March 30, 2014, an increase of $456. Cash generated from operations in 2015 resulted from net income attributable to Ultralife of $533, non-cash expenses (depreciation, amortization, stock-based compensation and loss on long-lived asset disposals) totaling $854, a $1,326 decrease in inventories and a $996 increase in accounts payable and other liabilities, offset partially by increases in accounts receivable and prepaid expenses totaling $594. The Company generated cash from operations in 2014 despite the net loss attributable to Ultralife of $1,286, as the loss was largely offset by non-cash expenses (depreciation, amortization and stock-based compensation) totaling $1,073 and a $4,183 decrease in accounts receivable, less a decrease in accounts payable and other liabilities of $862 and an increase in inventories which totaled $627.</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used $454 in cash for investing activities during the first three months of 2015 compared with $44 in cash used for investing activities in the same period in 2014. Cash paid for capital expenditures totaled $470 and $312 in the first three months of 2015 and 2014, respectively.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Inventory turnover for the first three months of 2015 was an annualized rate of approximately 1.8 turns per year, virtually unchanged from our turns for the first three months of 2014.</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29, 2015, we had made commitments to purchase approximately $412 of production machinery and equipment, which we expect to fund through operating cash flows.</w:t>
      </w:r>
    </w:p>
    <w:p>
      <w:pPr>
        <w:spacing w:after="0" w:line="170"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21</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21" w:name="page22"/>
    <w:bookmarkEnd w:id="21"/>
    <w:p>
      <w:pPr>
        <w:jc w:val="both"/>
        <w:ind w:firstLine="324"/>
        <w:spacing w:after="0" w:line="257"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has the authorization to repurchase up to 1.8 million shares of its outstanding common stock over a period not to exceed twelve months. Our Board of Directors has authorized an extension of the Company’s share repurchase program for an additional twelve month period beginning May 1, 2015 and ending April 30, 2016, subject, for the entire period as extended, to the 1.8 million share aggregate limit established in the initial authorization.</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 period ended March 29, 2015, the Company repurchased 78,401 shares under this program, for a total cost of $298. From the inception of the share repurchase program on May 1, 2014 through April 29, 2015, the Company has repurchased 388,122 shares for an aggregate cost of $1,387.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our Credit Facility with PNC Bank, which provides a $20 million secured asset-based revolving credit facility that includes a $1 million letter of credit sub-facility. As of March 29, 2015, we had approximately $11,067 of borrowing capacity under our $20 million Credit Facility with PNC Bank, in addition to our unrestricted cash on hand of $20,133, and we had no outstanding borrowings or outstanding letters of credit under the Credit Facility at either March 29, 2015 or March 30, 2014.</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were informed by local government authorities in Shenzhen, China that the lease for our facility there would not be extended, and we commenced a search for an alternate site to relocate our facility. In July 2014, our subsidiary in China entered into a lease for a replacement facility, also located in Shenzhen. During the fourth quarter of 2014, our subsidiary in China vacated its former facility premises and substantially completed a move and transition to this new facility.</w:t>
      </w:r>
    </w:p>
    <w:p>
      <w:pPr>
        <w:spacing w:after="0" w:line="16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received compensation from the local government authorities for leasehold improvements and moving-related costs totaling $815, of which $596 was recognized as a reduction of expenses incurred during 2014, which were $841. It is the Company’s policy to recognize this compensation as a reduction of expenses as the expenses are recognized. An additional $61 of this government compensation was recognized during the first quarter of 2015 as a reduction of expenses which totaled $109. We estimate that approximately $158 of expenses remain to be incurred, primarily consisting of employee labor retention payments, and we have deferred the balance of government compensation to fully offset these expenses.</w:t>
      </w:r>
    </w:p>
    <w:p>
      <w:pPr>
        <w:spacing w:after="0" w:line="374"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22</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22" w:name="page23"/>
    <w:bookmarkEnd w:id="22"/>
    <w:p>
      <w:pPr>
        <w:jc w:val="both"/>
        <w:ind w:firstLine="324"/>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2014 Annual Report on Form 10-K should be reviewed for a greater understanding of how our financial performance is recorded and reported.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three months of 2015, there were no significant changes in the manner in which our significant accounting policies were applied or in which related assumptions and estimates were developed.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23</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September 2011, we initiated an action against Arista Power, Inc. (“Arista”) and our former senior sales and engineering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breached the terms of his Employee Confidentiality, Non-Disclosure, Non-Compete, Non-Disparagement and Assignment Agreement with us; (ii) Modeen breached certain agreements, duties and obligations he owed us, including to protect and refrain from disclosing our trade secrets and confidential and proprietary information;</w:t>
      </w:r>
    </w:p>
    <w:p>
      <w:pPr>
        <w:spacing w:after="0" w:line="5" w:lineRule="exact"/>
        <w:rPr>
          <w:sz w:val="20"/>
          <w:szCs w:val="20"/>
          <w:color w:val="auto"/>
        </w:rPr>
      </w:pPr>
    </w:p>
    <w:p>
      <w:pPr>
        <w:jc w:val="both"/>
        <w:ind w:firstLine="8"/>
        <w:spacing w:after="0" w:line="273" w:lineRule="auto"/>
        <w:tabs>
          <w:tab w:leader="none" w:pos="3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breached a subcontract between Arista and us. We seek damages as determined at trial and preliminary and permanent injunctive relief. The defendants answered the allegations set forth in the Complaint, without asserting any counterclaims.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initiated the September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Discovery in this action is ongoing, and we plan to continue to pursue our complaint against Arista. It is not possible to predict the outcome of this action, whether we will be granted the injunctive relief we seek, nor the monetary amount, if any, which we may be awarded should we prevail.</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 Purchases of Equity Securities by the Issuer and Affiliated Purchasers</w:t>
      </w:r>
    </w:p>
    <w:p>
      <w:pPr>
        <w:spacing w:after="0" w:line="2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following table sets forth information regarding first quarter 2015 purchases of common stock under the Company’s stock repurchase program. Under the repurchase program, the Board of Directors authorized the repurchase of up to 1.8 million shares of the Company’s Common Stock through April 30, 2015, and the program has been extended through April 30, 2016. Since the commencement of this repurchase plan through April 29, 2015, the Company has repurchased 388,122 common shares under this plan for an aggregate dollar amount of $1,380.</w:t>
      </w:r>
    </w:p>
    <w:tbl>
      <w:tblPr>
        <w:tblLayout w:type="fixed"/>
        <w:tblInd w:w="0" w:type="dxa"/>
        <w:tblCellMar>
          <w:top w:w="0" w:type="dxa"/>
          <w:left w:w="0" w:type="dxa"/>
          <w:bottom w:w="0" w:type="dxa"/>
          <w:right w:w="0" w:type="dxa"/>
        </w:tblCellMar>
      </w:tblPr>
      <w:tr>
        <w:trPr>
          <w:trHeight w:val="200"/>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3"/>
          </w:tcPr>
          <w:p>
            <w:pPr>
              <w:jc w:val="center"/>
              <w:ind w:right="160"/>
              <w:spacing w:after="0" w:line="200" w:lineRule="exact"/>
              <w:rPr>
                <w:sz w:val="20"/>
                <w:szCs w:val="20"/>
                <w:color w:val="auto"/>
              </w:rPr>
            </w:pPr>
            <w:r>
              <w:rPr>
                <w:rFonts w:ascii="Arial" w:cs="Arial" w:eastAsia="Arial" w:hAnsi="Arial"/>
                <w:sz w:val="18"/>
                <w:szCs w:val="18"/>
                <w:b w:val="1"/>
                <w:bCs w:val="1"/>
                <w:color w:val="auto"/>
                <w:w w:val="91"/>
              </w:rPr>
              <w:t>Total Number of</w:t>
            </w:r>
          </w:p>
        </w:tc>
        <w:tc>
          <w:tcPr>
            <w:tcW w:w="1980" w:type="dxa"/>
            <w:vAlign w:val="bottom"/>
            <w:gridSpan w:val="3"/>
          </w:tcPr>
          <w:p>
            <w:pPr>
              <w:jc w:val="center"/>
              <w:ind w:right="20"/>
              <w:spacing w:after="0" w:line="200" w:lineRule="exact"/>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Shares Purchased</w:t>
            </w:r>
          </w:p>
        </w:tc>
        <w:tc>
          <w:tcPr>
            <w:tcW w:w="19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Shares That</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Number of Shares</w:t>
            </w:r>
          </w:p>
        </w:tc>
        <w:tc>
          <w:tcPr>
            <w:tcW w:w="140" w:type="dxa"/>
            <w:vAlign w:val="bottom"/>
          </w:tcPr>
          <w:p>
            <w:pPr>
              <w:spacing w:after="0"/>
              <w:rPr>
                <w:sz w:val="18"/>
                <w:szCs w:val="18"/>
                <w:color w:val="auto"/>
              </w:rPr>
            </w:pPr>
          </w:p>
        </w:tc>
        <w:tc>
          <w:tcPr>
            <w:tcW w:w="2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2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as Part of Publicly</w:t>
            </w:r>
          </w:p>
        </w:tc>
        <w:tc>
          <w:tcPr>
            <w:tcW w:w="19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May Yet Be Purchased</w:t>
            </w:r>
          </w:p>
        </w:tc>
      </w:tr>
      <w:tr>
        <w:trPr>
          <w:trHeight w:val="234"/>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ind w:left="680"/>
              <w:spacing w:after="0"/>
              <w:rPr>
                <w:sz w:val="20"/>
                <w:szCs w:val="20"/>
                <w:color w:val="auto"/>
              </w:rPr>
            </w:pPr>
            <w:r>
              <w:rPr>
                <w:rFonts w:ascii="Arial" w:cs="Arial" w:eastAsia="Arial" w:hAnsi="Arial"/>
                <w:sz w:val="18"/>
                <w:szCs w:val="18"/>
                <w:b w:val="1"/>
                <w:bCs w:val="1"/>
                <w:color w:val="auto"/>
              </w:rPr>
              <w:t>Purchased</w:t>
            </w:r>
          </w:p>
        </w:tc>
        <w:tc>
          <w:tcPr>
            <w:tcW w:w="140" w:type="dxa"/>
            <w:vAlign w:val="bottom"/>
          </w:tcPr>
          <w:p>
            <w:pPr>
              <w:spacing w:after="0"/>
              <w:rPr>
                <w:sz w:val="20"/>
                <w:szCs w:val="20"/>
                <w:color w:val="auto"/>
              </w:rPr>
            </w:pPr>
          </w:p>
        </w:tc>
        <w:tc>
          <w:tcPr>
            <w:tcW w:w="2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Announced Program</w:t>
            </w: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Under the Program</w:t>
            </w:r>
          </w:p>
        </w:tc>
      </w:tr>
      <w:tr>
        <w:trPr>
          <w:trHeight w:val="210"/>
        </w:trPr>
        <w:tc>
          <w:tcPr>
            <w:tcW w:w="2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6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1 – January 23</w:t>
            </w:r>
          </w:p>
        </w:tc>
        <w:tc>
          <w:tcPr>
            <w:tcW w:w="2260" w:type="dxa"/>
            <w:vAlign w:val="bottom"/>
            <w:gridSpan w:val="3"/>
          </w:tcPr>
          <w:p>
            <w:pPr>
              <w:ind w:left="1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9"/>
              </w:rPr>
              <w:t>—</w:t>
            </w:r>
          </w:p>
        </w:tc>
        <w:tc>
          <w:tcPr>
            <w:tcW w:w="226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1,583,246</w:t>
            </w:r>
          </w:p>
        </w:tc>
      </w:tr>
      <w:tr>
        <w:trPr>
          <w:trHeight w:val="216"/>
        </w:trPr>
        <w:tc>
          <w:tcPr>
            <w:tcW w:w="2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January 24 – February 22</w:t>
            </w:r>
          </w:p>
        </w:tc>
        <w:tc>
          <w:tcPr>
            <w:tcW w:w="226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9"/>
              </w:rPr>
              <w:t>—</w:t>
            </w:r>
          </w:p>
        </w:tc>
        <w:tc>
          <w:tcPr>
            <w:tcW w:w="226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1,583,246</w:t>
            </w:r>
          </w:p>
        </w:tc>
      </w:tr>
      <w:tr>
        <w:trPr>
          <w:trHeight w:val="230"/>
        </w:trPr>
        <w:tc>
          <w:tcPr>
            <w:tcW w:w="266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23 – March 29</w:t>
            </w:r>
          </w:p>
        </w:tc>
        <w:tc>
          <w:tcPr>
            <w:tcW w:w="2160" w:type="dxa"/>
            <w:vAlign w:val="bottom"/>
            <w:gridSpan w:val="2"/>
          </w:tcPr>
          <w:p>
            <w:pPr>
              <w:ind w:left="1560"/>
              <w:spacing w:after="0"/>
              <w:rPr>
                <w:sz w:val="20"/>
                <w:szCs w:val="20"/>
                <w:color w:val="auto"/>
              </w:rPr>
            </w:pPr>
            <w:r>
              <w:rPr>
                <w:rFonts w:ascii="Arial" w:cs="Arial" w:eastAsia="Arial" w:hAnsi="Arial"/>
                <w:sz w:val="18"/>
                <w:szCs w:val="18"/>
                <w:color w:val="auto"/>
              </w:rPr>
              <w:t>78,401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center"/>
              <w:ind w:left="1370"/>
              <w:spacing w:after="0"/>
              <w:rPr>
                <w:sz w:val="20"/>
                <w:szCs w:val="20"/>
                <w:color w:val="auto"/>
              </w:rPr>
            </w:pPr>
            <w:r>
              <w:rPr>
                <w:rFonts w:ascii="Arial" w:cs="Arial" w:eastAsia="Arial" w:hAnsi="Arial"/>
                <w:sz w:val="18"/>
                <w:szCs w:val="18"/>
                <w:color w:val="auto"/>
                <w:w w:val="91"/>
              </w:rPr>
              <w:t>3.80</w:t>
            </w:r>
          </w:p>
        </w:tc>
        <w:tc>
          <w:tcPr>
            <w:tcW w:w="100" w:type="dxa"/>
            <w:vAlign w:val="bottom"/>
          </w:tcPr>
          <w:p>
            <w:pPr>
              <w:spacing w:after="0"/>
              <w:rPr>
                <w:sz w:val="19"/>
                <w:szCs w:val="19"/>
                <w:color w:val="auto"/>
              </w:rPr>
            </w:pP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78,401</w:t>
            </w:r>
          </w:p>
        </w:tc>
        <w:tc>
          <w:tcPr>
            <w:tcW w:w="120" w:type="dxa"/>
            <w:vAlign w:val="bottom"/>
          </w:tcPr>
          <w:p>
            <w:pPr>
              <w:spacing w:after="0"/>
              <w:rPr>
                <w:sz w:val="19"/>
                <w:szCs w:val="19"/>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1,504,845</w:t>
            </w:r>
          </w:p>
        </w:tc>
      </w:tr>
      <w:tr>
        <w:trPr>
          <w:trHeight w:val="223"/>
        </w:trPr>
        <w:tc>
          <w:tcPr>
            <w:tcW w:w="2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auto"/>
              <w:bottom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w w:val="83"/>
              </w:rPr>
              <w:t>78,401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center"/>
              <w:ind w:left="1490"/>
              <w:spacing w:after="0"/>
              <w:rPr>
                <w:sz w:val="20"/>
                <w:szCs w:val="20"/>
                <w:color w:val="auto"/>
              </w:rPr>
            </w:pPr>
            <w:r>
              <w:rPr>
                <w:rFonts w:ascii="Arial" w:cs="Arial" w:eastAsia="Arial" w:hAnsi="Arial"/>
                <w:sz w:val="18"/>
                <w:szCs w:val="18"/>
                <w:color w:val="auto"/>
                <w:w w:val="91"/>
              </w:rPr>
              <w:t>3.80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1,504,845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jc w:val="right"/>
              <w:ind w:right="10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Borders>
              <w:bottom w:val="single" w:sz="8" w:color="0000EE"/>
            </w:tcBorders>
            <w:gridSpan w:val="2"/>
          </w:tcPr>
          <w:p>
            <w:pPr>
              <w:jc w:val="right"/>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r>
    </w:tbl>
    <w:p>
      <w:pPr>
        <w:sectPr>
          <w:pgSz w:w="11900" w:h="16838" w:orient="portrait"/>
          <w:cols w:equalWidth="0" w:num="1">
            <w:col w:w="11420"/>
          </w:cols>
          <w:pgMar w:left="240" w:top="877"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740" w:type="dxa"/>
            <w:vAlign w:val="bottom"/>
          </w:tcPr>
          <w:p>
            <w:pPr>
              <w:spacing w:after="0"/>
              <w:rPr>
                <w:sz w:val="20"/>
                <w:szCs w:val="20"/>
                <w:color w:val="auto"/>
              </w:rPr>
            </w:pPr>
          </w:p>
        </w:tc>
      </w:tr>
      <w:tr>
        <w:trPr>
          <w:trHeight w:val="418"/>
        </w:trPr>
        <w:tc>
          <w:tcPr>
            <w:tcW w:w="1080" w:type="dxa"/>
            <w:vAlign w:val="bottom"/>
          </w:tcPr>
          <w:p>
            <w:pPr>
              <w:ind w:left="100"/>
              <w:spacing w:after="0"/>
              <w:rPr>
                <w:sz w:val="20"/>
                <w:szCs w:val="20"/>
                <w:color w:val="auto"/>
              </w:rPr>
            </w:pPr>
            <w:r>
              <w:rPr>
                <w:rFonts w:ascii="Arial" w:cs="Arial" w:eastAsia="Arial" w:hAnsi="Arial"/>
                <w:sz w:val="18"/>
                <w:szCs w:val="18"/>
                <w:color w:val="auto"/>
              </w:rPr>
              <w:t>Exhibit</w:t>
            </w:r>
          </w:p>
        </w:tc>
        <w:tc>
          <w:tcPr>
            <w:tcW w:w="53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Index</w:t>
            </w:r>
          </w:p>
        </w:tc>
        <w:tc>
          <w:tcPr>
            <w:tcW w:w="5340" w:type="dxa"/>
            <w:vAlign w:val="bottom"/>
          </w:tcPr>
          <w:p>
            <w:pPr>
              <w:ind w:left="280"/>
              <w:spacing w:after="0"/>
              <w:rPr>
                <w:sz w:val="20"/>
                <w:szCs w:val="20"/>
                <w:color w:val="auto"/>
              </w:rPr>
            </w:pPr>
            <w:r>
              <w:rPr>
                <w:rFonts w:ascii="Arial" w:cs="Arial" w:eastAsia="Arial" w:hAnsi="Arial"/>
                <w:sz w:val="18"/>
                <w:szCs w:val="18"/>
                <w:color w:val="auto"/>
              </w:rPr>
              <w:t>Description of Document</w:t>
            </w:r>
          </w:p>
        </w:tc>
        <w:tc>
          <w:tcPr>
            <w:tcW w:w="3740" w:type="dxa"/>
            <w:vAlign w:val="bottom"/>
          </w:tcPr>
          <w:p>
            <w:pPr>
              <w:ind w:left="1340"/>
              <w:spacing w:after="0"/>
              <w:rPr>
                <w:sz w:val="20"/>
                <w:szCs w:val="20"/>
                <w:color w:val="auto"/>
              </w:rPr>
            </w:pPr>
            <w:r>
              <w:rPr>
                <w:rFonts w:ascii="Arial" w:cs="Arial" w:eastAsia="Arial" w:hAnsi="Arial"/>
                <w:sz w:val="18"/>
                <w:szCs w:val="18"/>
                <w:color w:val="auto"/>
                <w:w w:val="91"/>
              </w:rPr>
              <w:t>Incorporated By Reference from:</w:t>
            </w:r>
          </w:p>
        </w:tc>
      </w:tr>
      <w:tr>
        <w:trPr>
          <w:trHeight w:val="418"/>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5340" w:type="dxa"/>
            <w:vAlign w:val="bottom"/>
          </w:tcPr>
          <w:p>
            <w:pPr>
              <w:ind w:left="280"/>
              <w:spacing w:after="0"/>
              <w:rPr>
                <w:sz w:val="20"/>
                <w:szCs w:val="20"/>
                <w:color w:val="auto"/>
              </w:rPr>
            </w:pPr>
            <w:r>
              <w:rPr>
                <w:rFonts w:ascii="Arial" w:cs="Arial" w:eastAsia="Arial" w:hAnsi="Arial"/>
                <w:sz w:val="18"/>
                <w:szCs w:val="18"/>
                <w:color w:val="auto"/>
              </w:rPr>
              <w:t>Rule 13a-14(a) / 15d-14(a) CEO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5340" w:type="dxa"/>
            <w:vAlign w:val="bottom"/>
          </w:tcPr>
          <w:p>
            <w:pPr>
              <w:ind w:left="280"/>
              <w:spacing w:after="0"/>
              <w:rPr>
                <w:sz w:val="20"/>
                <w:szCs w:val="20"/>
                <w:color w:val="auto"/>
              </w:rPr>
            </w:pPr>
            <w:r>
              <w:rPr>
                <w:rFonts w:ascii="Arial" w:cs="Arial" w:eastAsia="Arial" w:hAnsi="Arial"/>
                <w:sz w:val="18"/>
                <w:szCs w:val="18"/>
                <w:color w:val="auto"/>
              </w:rPr>
              <w:t>Rule 13a-14(a) / 15d-14(a) CFO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32</w:t>
            </w:r>
          </w:p>
        </w:tc>
        <w:tc>
          <w:tcPr>
            <w:tcW w:w="534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101.INS</w:t>
            </w:r>
          </w:p>
        </w:tc>
        <w:tc>
          <w:tcPr>
            <w:tcW w:w="5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101.SCH</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101.CAL</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101.LAB</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101.PRE</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Presentation Linkbase Document</w:t>
            </w:r>
          </w:p>
        </w:tc>
        <w:tc>
          <w:tcPr>
            <w:tcW w:w="3740" w:type="dxa"/>
            <w:vAlign w:val="bottom"/>
          </w:tcPr>
          <w:p>
            <w:pPr>
              <w:spacing w:after="0"/>
              <w:rPr>
                <w:sz w:val="18"/>
                <w:szCs w:val="18"/>
                <w:color w:val="auto"/>
              </w:rPr>
            </w:pP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101.DEF</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Definition Document</w:t>
            </w:r>
          </w:p>
        </w:tc>
        <w:tc>
          <w:tcPr>
            <w:tcW w:w="3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25</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ULTRALIFE CORPORATION</w:t>
            </w:r>
          </w:p>
        </w:tc>
      </w:tr>
      <w:tr>
        <w:trPr>
          <w:trHeight w:val="237"/>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(Registrant)</w:t>
            </w:r>
          </w:p>
        </w:tc>
      </w:tr>
      <w:tr>
        <w:trPr>
          <w:trHeight w:val="392"/>
        </w:trPr>
        <w:tc>
          <w:tcPr>
            <w:tcW w:w="1540" w:type="dxa"/>
            <w:vAlign w:val="bottom"/>
            <w:gridSpan w:val="2"/>
          </w:tcPr>
          <w:p>
            <w:pPr>
              <w:spacing w:after="0"/>
              <w:rPr>
                <w:sz w:val="20"/>
                <w:szCs w:val="20"/>
                <w:color w:val="auto"/>
              </w:rPr>
            </w:pPr>
            <w:r>
              <w:rPr>
                <w:rFonts w:ascii="Arial" w:cs="Arial" w:eastAsia="Arial" w:hAnsi="Arial"/>
                <w:sz w:val="18"/>
                <w:szCs w:val="18"/>
                <w:color w:val="auto"/>
                <w:w w:val="95"/>
              </w:rPr>
              <w:t>Date: April 30, 2015</w:t>
            </w:r>
          </w:p>
        </w:tc>
        <w:tc>
          <w:tcPr>
            <w:tcW w:w="2920" w:type="dxa"/>
            <w:vAlign w:val="bottom"/>
          </w:tcPr>
          <w:p>
            <w:pPr>
              <w:ind w:left="2580"/>
              <w:spacing w:after="0"/>
              <w:rPr>
                <w:sz w:val="20"/>
                <w:szCs w:val="20"/>
                <w:color w:val="auto"/>
              </w:rPr>
            </w:pPr>
            <w:r>
              <w:rPr>
                <w:rFonts w:ascii="Arial" w:cs="Arial" w:eastAsia="Arial" w:hAnsi="Arial"/>
                <w:sz w:val="18"/>
                <w:szCs w:val="18"/>
                <w:color w:val="auto"/>
              </w:rPr>
              <w:t>By:</w:t>
            </w:r>
          </w:p>
        </w:tc>
        <w:tc>
          <w:tcPr>
            <w:tcW w:w="3680" w:type="dxa"/>
            <w:vAlign w:val="bottom"/>
            <w:gridSpan w:val="5"/>
          </w:tcPr>
          <w:p>
            <w:pPr>
              <w:ind w:left="60"/>
              <w:spacing w:after="0"/>
              <w:rPr>
                <w:sz w:val="20"/>
                <w:szCs w:val="20"/>
                <w:color w:val="auto"/>
              </w:rPr>
            </w:pPr>
            <w:r>
              <w:rPr>
                <w:rFonts w:ascii="Arial" w:cs="Arial" w:eastAsia="Arial" w:hAnsi="Arial"/>
                <w:sz w:val="18"/>
                <w:szCs w:val="18"/>
                <w:color w:val="auto"/>
              </w:rPr>
              <w:t>/s/ Michael D. Popielec</w:t>
            </w:r>
          </w:p>
        </w:tc>
      </w:tr>
      <w:tr>
        <w:trPr>
          <w:trHeight w:val="20"/>
        </w:trPr>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0" w:type="dxa"/>
            <w:vAlign w:val="bottom"/>
            <w:gridSpan w:val="6"/>
          </w:tcPr>
          <w:p>
            <w:pPr>
              <w:ind w:left="2580"/>
              <w:spacing w:after="0"/>
              <w:rPr>
                <w:sz w:val="20"/>
                <w:szCs w:val="20"/>
                <w:color w:val="auto"/>
              </w:rPr>
            </w:pPr>
            <w:r>
              <w:rPr>
                <w:rFonts w:ascii="Arial" w:cs="Arial" w:eastAsia="Arial" w:hAnsi="Arial"/>
                <w:sz w:val="18"/>
                <w:szCs w:val="18"/>
                <w:color w:val="auto"/>
              </w:rPr>
              <w:t>Michael D. Popielec</w:t>
            </w:r>
          </w:p>
        </w:tc>
      </w:tr>
      <w:tr>
        <w:trPr>
          <w:trHeight w:val="216"/>
        </w:trPr>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0" w:type="dxa"/>
            <w:vAlign w:val="bottom"/>
            <w:gridSpan w:val="6"/>
          </w:tcPr>
          <w:p>
            <w:pPr>
              <w:ind w:left="25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0" w:type="dxa"/>
            <w:vAlign w:val="bottom"/>
            <w:gridSpan w:val="6"/>
          </w:tcPr>
          <w:p>
            <w:pPr>
              <w:ind w:left="258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1540" w:type="dxa"/>
            <w:vAlign w:val="bottom"/>
            <w:gridSpan w:val="2"/>
          </w:tcPr>
          <w:p>
            <w:pPr>
              <w:spacing w:after="0"/>
              <w:rPr>
                <w:sz w:val="20"/>
                <w:szCs w:val="20"/>
                <w:color w:val="auto"/>
              </w:rPr>
            </w:pPr>
            <w:r>
              <w:rPr>
                <w:rFonts w:ascii="Arial" w:cs="Arial" w:eastAsia="Arial" w:hAnsi="Arial"/>
                <w:sz w:val="18"/>
                <w:szCs w:val="18"/>
                <w:color w:val="auto"/>
                <w:w w:val="95"/>
              </w:rPr>
              <w:t>Date: April 30, 2015</w:t>
            </w:r>
          </w:p>
        </w:tc>
        <w:tc>
          <w:tcPr>
            <w:tcW w:w="2920" w:type="dxa"/>
            <w:vAlign w:val="bottom"/>
          </w:tcPr>
          <w:p>
            <w:pPr>
              <w:ind w:left="2580"/>
              <w:spacing w:after="0"/>
              <w:rPr>
                <w:sz w:val="20"/>
                <w:szCs w:val="20"/>
                <w:color w:val="auto"/>
              </w:rPr>
            </w:pPr>
            <w:r>
              <w:rPr>
                <w:rFonts w:ascii="Arial" w:cs="Arial" w:eastAsia="Arial" w:hAnsi="Arial"/>
                <w:sz w:val="18"/>
                <w:szCs w:val="18"/>
                <w:color w:val="auto"/>
              </w:rPr>
              <w:t>By:</w:t>
            </w:r>
          </w:p>
        </w:tc>
        <w:tc>
          <w:tcPr>
            <w:tcW w:w="3680" w:type="dxa"/>
            <w:vAlign w:val="bottom"/>
            <w:gridSpan w:val="5"/>
          </w:tcPr>
          <w:p>
            <w:pPr>
              <w:ind w:left="60"/>
              <w:spacing w:after="0"/>
              <w:rPr>
                <w:sz w:val="20"/>
                <w:szCs w:val="20"/>
                <w:color w:val="auto"/>
              </w:rPr>
            </w:pPr>
            <w:r>
              <w:rPr>
                <w:rFonts w:ascii="Arial" w:cs="Arial" w:eastAsia="Arial" w:hAnsi="Arial"/>
                <w:sz w:val="18"/>
                <w:szCs w:val="18"/>
                <w:color w:val="auto"/>
              </w:rPr>
              <w:t>/s/ Philip A. Fain</w:t>
            </w:r>
          </w:p>
        </w:tc>
      </w:tr>
      <w:tr>
        <w:trPr>
          <w:trHeight w:val="20"/>
        </w:trPr>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0" w:type="dxa"/>
            <w:vAlign w:val="bottom"/>
            <w:gridSpan w:val="6"/>
          </w:tcPr>
          <w:p>
            <w:pPr>
              <w:ind w:left="2580"/>
              <w:spacing w:after="0"/>
              <w:rPr>
                <w:sz w:val="20"/>
                <w:szCs w:val="20"/>
                <w:color w:val="auto"/>
              </w:rPr>
            </w:pPr>
            <w:r>
              <w:rPr>
                <w:rFonts w:ascii="Arial" w:cs="Arial" w:eastAsia="Arial" w:hAnsi="Arial"/>
                <w:sz w:val="18"/>
                <w:szCs w:val="18"/>
                <w:color w:val="auto"/>
              </w:rPr>
              <w:t>Philip A. Fain</w:t>
            </w:r>
          </w:p>
        </w:tc>
      </w:tr>
      <w:tr>
        <w:trPr>
          <w:trHeight w:val="216"/>
        </w:trPr>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0" w:type="dxa"/>
            <w:vAlign w:val="bottom"/>
            <w:gridSpan w:val="6"/>
          </w:tcPr>
          <w:p>
            <w:pPr>
              <w:ind w:left="258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0" w:type="dxa"/>
            <w:vAlign w:val="bottom"/>
            <w:gridSpan w:val="6"/>
          </w:tcPr>
          <w:p>
            <w:pPr>
              <w:ind w:left="258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0" w:type="dxa"/>
            <w:vAlign w:val="bottom"/>
            <w:gridSpan w:val="6"/>
          </w:tcPr>
          <w:p>
            <w:pPr>
              <w:ind w:left="276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20"/>
          </w:cols>
          <w:pgMar w:left="900" w:top="1111" w:right="579" w:bottom="1440" w:gutter="0" w:footer="0" w:header="0"/>
        </w:sectPr>
      </w:pPr>
    </w:p>
    <w:bookmarkStart w:id="27" w:name="page28"/>
    <w:bookmarkEnd w:id="27"/>
    <w:p>
      <w:pPr>
        <w:jc w:val="right"/>
        <w:spacing w:after="0"/>
        <w:rPr>
          <w:sz w:val="20"/>
          <w:szCs w:val="20"/>
          <w:color w:val="auto"/>
        </w:rPr>
      </w:pPr>
      <w:r>
        <w:rPr>
          <w:rFonts w:ascii="Arial" w:cs="Arial" w:eastAsia="Arial" w:hAnsi="Arial"/>
          <w:sz w:val="20"/>
          <w:szCs w:val="20"/>
          <w:color w:val="auto"/>
        </w:rPr>
        <w:t>Exhibit 31.1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Michael D. Popielec, certify that:</w:t>
      </w:r>
    </w:p>
    <w:p>
      <w:pPr>
        <w:spacing w:after="0" w:line="229"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2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880" w:type="dxa"/>
            <w:vAlign w:val="bottom"/>
            <w:gridSpan w:val="3"/>
          </w:tcPr>
          <w:p>
            <w:pPr>
              <w:spacing w:after="0"/>
              <w:rPr>
                <w:sz w:val="20"/>
                <w:szCs w:val="20"/>
                <w:color w:val="auto"/>
              </w:rPr>
            </w:pPr>
            <w:r>
              <w:rPr>
                <w:rFonts w:ascii="Arial" w:cs="Arial" w:eastAsia="Arial" w:hAnsi="Arial"/>
                <w:sz w:val="20"/>
                <w:szCs w:val="20"/>
                <w:color w:val="auto"/>
              </w:rPr>
              <w:t>Date: April 30, 2015</w:t>
            </w:r>
          </w:p>
        </w:tc>
        <w:tc>
          <w:tcPr>
            <w:tcW w:w="4900" w:type="dxa"/>
            <w:vAlign w:val="bottom"/>
            <w:gridSpan w:val="3"/>
          </w:tcPr>
          <w:p>
            <w:pPr>
              <w:ind w:left="124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70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Michael D. Popielec</w:t>
            </w:r>
          </w:p>
        </w:tc>
        <w:tc>
          <w:tcPr>
            <w:tcW w:w="52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20" w:type="dxa"/>
            <w:vAlign w:val="bottom"/>
            <w:gridSpan w:val="2"/>
          </w:tcPr>
          <w:p>
            <w:pPr>
              <w:ind w:left="200"/>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0"/>
          <w:szCs w:val="20"/>
          <w:color w:val="auto"/>
        </w:rPr>
        <w:t>Exhibit 31.2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Philip A. Fain, certify that:</w:t>
      </w:r>
    </w:p>
    <w:p>
      <w:pPr>
        <w:spacing w:after="0" w:line="229"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22"/>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2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2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640" w:type="dxa"/>
            <w:vAlign w:val="bottom"/>
            <w:gridSpan w:val="2"/>
          </w:tcPr>
          <w:p>
            <w:pPr>
              <w:spacing w:after="0"/>
              <w:rPr>
                <w:sz w:val="20"/>
                <w:szCs w:val="20"/>
                <w:color w:val="auto"/>
              </w:rPr>
            </w:pPr>
            <w:r>
              <w:rPr>
                <w:rFonts w:ascii="Arial" w:cs="Arial" w:eastAsia="Arial" w:hAnsi="Arial"/>
                <w:sz w:val="20"/>
                <w:szCs w:val="20"/>
                <w:color w:val="auto"/>
                <w:w w:val="91"/>
              </w:rPr>
              <w:t>Date: April 30, 2015</w:t>
            </w:r>
          </w:p>
        </w:tc>
        <w:tc>
          <w:tcPr>
            <w:tcW w:w="6060" w:type="dxa"/>
            <w:vAlign w:val="bottom"/>
            <w:gridSpan w:val="3"/>
          </w:tcPr>
          <w:p>
            <w:pPr>
              <w:ind w:left="248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920" w:type="dxa"/>
            <w:vAlign w:val="bottom"/>
          </w:tcPr>
          <w:p>
            <w:pPr>
              <w:spacing w:after="0"/>
              <w:rPr>
                <w:sz w:val="20"/>
                <w:szCs w:val="20"/>
                <w:color w:val="auto"/>
              </w:rPr>
            </w:pPr>
          </w:p>
        </w:tc>
        <w:tc>
          <w:tcPr>
            <w:tcW w:w="234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Philip A. Fain</w:t>
            </w:r>
          </w:p>
        </w:tc>
        <w:tc>
          <w:tcPr>
            <w:tcW w:w="80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140" w:type="dxa"/>
            <w:vAlign w:val="bottom"/>
            <w:gridSpan w:val="2"/>
          </w:tcPr>
          <w:p>
            <w:pPr>
              <w:ind w:left="160"/>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1350 Certification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29, 2015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640" w:type="dxa"/>
            <w:vAlign w:val="bottom"/>
            <w:gridSpan w:val="2"/>
          </w:tcPr>
          <w:p>
            <w:pPr>
              <w:spacing w:after="0"/>
              <w:rPr>
                <w:sz w:val="20"/>
                <w:szCs w:val="20"/>
                <w:color w:val="auto"/>
              </w:rPr>
            </w:pPr>
            <w:r>
              <w:rPr>
                <w:rFonts w:ascii="Arial" w:cs="Arial" w:eastAsia="Arial" w:hAnsi="Arial"/>
                <w:sz w:val="20"/>
                <w:szCs w:val="20"/>
                <w:color w:val="auto"/>
                <w:w w:val="91"/>
              </w:rPr>
              <w:t>Date: April 30, 2015</w:t>
            </w:r>
          </w:p>
        </w:tc>
        <w:tc>
          <w:tcPr>
            <w:tcW w:w="2840" w:type="dxa"/>
            <w:vAlign w:val="bottom"/>
          </w:tcPr>
          <w:p>
            <w:pPr>
              <w:ind w:left="248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Michael D. Popielec</w:t>
            </w:r>
          </w:p>
        </w:tc>
      </w:tr>
      <w:tr>
        <w:trPr>
          <w:trHeight w:val="20"/>
        </w:trPr>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00" w:type="dxa"/>
            <w:vAlign w:val="bottom"/>
            <w:gridSpan w:val="4"/>
          </w:tcPr>
          <w:p>
            <w:pPr>
              <w:ind w:left="2480"/>
              <w:spacing w:after="0"/>
              <w:rPr>
                <w:sz w:val="20"/>
                <w:szCs w:val="20"/>
                <w:color w:val="auto"/>
              </w:rPr>
            </w:pPr>
            <w:r>
              <w:rPr>
                <w:rFonts w:ascii="Arial" w:cs="Arial" w:eastAsia="Arial" w:hAnsi="Arial"/>
                <w:sz w:val="20"/>
                <w:szCs w:val="20"/>
                <w:color w:val="auto"/>
              </w:rPr>
              <w:t>Michael D. Popielec</w:t>
            </w: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500" w:type="dxa"/>
            <w:vAlign w:val="bottom"/>
            <w:gridSpan w:val="4"/>
          </w:tcPr>
          <w:p>
            <w:pPr>
              <w:ind w:left="2480"/>
              <w:spacing w:after="0"/>
              <w:rPr>
                <w:sz w:val="20"/>
                <w:szCs w:val="20"/>
                <w:color w:val="auto"/>
              </w:rPr>
            </w:pPr>
            <w:r>
              <w:rPr>
                <w:rFonts w:ascii="Arial" w:cs="Arial" w:eastAsia="Arial" w:hAnsi="Arial"/>
                <w:sz w:val="20"/>
                <w:szCs w:val="20"/>
                <w:color w:val="auto"/>
                <w:w w:val="90"/>
              </w:rPr>
              <w:t>President and Chief Executive Officer</w:t>
            </w:r>
          </w:p>
        </w:tc>
      </w:tr>
      <w:tr>
        <w:trPr>
          <w:trHeight w:val="415"/>
        </w:trPr>
        <w:tc>
          <w:tcPr>
            <w:tcW w:w="1640" w:type="dxa"/>
            <w:vAlign w:val="bottom"/>
            <w:gridSpan w:val="2"/>
          </w:tcPr>
          <w:p>
            <w:pPr>
              <w:spacing w:after="0"/>
              <w:rPr>
                <w:sz w:val="20"/>
                <w:szCs w:val="20"/>
                <w:color w:val="auto"/>
              </w:rPr>
            </w:pPr>
            <w:r>
              <w:rPr>
                <w:rFonts w:ascii="Arial" w:cs="Arial" w:eastAsia="Arial" w:hAnsi="Arial"/>
                <w:sz w:val="20"/>
                <w:szCs w:val="20"/>
                <w:color w:val="auto"/>
                <w:w w:val="91"/>
              </w:rPr>
              <w:t>Date: April 30, 2015</w:t>
            </w:r>
          </w:p>
        </w:tc>
        <w:tc>
          <w:tcPr>
            <w:tcW w:w="2840" w:type="dxa"/>
            <w:vAlign w:val="bottom"/>
          </w:tcPr>
          <w:p>
            <w:pPr>
              <w:ind w:left="248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Philip A. Fain</w:t>
            </w:r>
          </w:p>
        </w:tc>
      </w:tr>
      <w:tr>
        <w:trPr>
          <w:trHeight w:val="20"/>
        </w:trPr>
        <w:tc>
          <w:tcPr>
            <w:tcW w:w="480" w:type="dxa"/>
            <w:vAlign w:val="bottom"/>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3"/>
        </w:trPr>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gridSpan w:val="4"/>
          </w:tcPr>
          <w:p>
            <w:pPr>
              <w:ind w:left="2480"/>
              <w:spacing w:after="0" w:line="213" w:lineRule="exact"/>
              <w:rPr>
                <w:sz w:val="20"/>
                <w:szCs w:val="20"/>
                <w:color w:val="auto"/>
              </w:rPr>
            </w:pPr>
            <w:r>
              <w:rPr>
                <w:rFonts w:ascii="Arial" w:cs="Arial" w:eastAsia="Arial" w:hAnsi="Arial"/>
                <w:sz w:val="20"/>
                <w:szCs w:val="20"/>
                <w:color w:val="auto"/>
              </w:rPr>
              <w:t>Philip A. Fain</w:t>
            </w: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500" w:type="dxa"/>
            <w:vAlign w:val="bottom"/>
            <w:gridSpan w:val="4"/>
          </w:tcPr>
          <w:p>
            <w:pPr>
              <w:ind w:left="2480"/>
              <w:spacing w:after="0"/>
              <w:rPr>
                <w:sz w:val="20"/>
                <w:szCs w:val="20"/>
                <w:color w:val="auto"/>
              </w:rPr>
            </w:pPr>
            <w:r>
              <w:rPr>
                <w:rFonts w:ascii="Arial" w:cs="Arial" w:eastAsia="Arial" w:hAnsi="Arial"/>
                <w:sz w:val="20"/>
                <w:szCs w:val="20"/>
                <w:color w:val="auto"/>
                <w:w w:val="91"/>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3"/>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decimal"/>
      <w:start w:val="15"/>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2019-12-29T16:41:00Z</dcterms:created>
  <dcterms:modified xsi:type="dcterms:W3CDTF">2019-12-29T16:41:00Z</dcterms:modified>
</cp:coreProperties>
</file>