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-207645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6"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Washington, D.C. 20549</w:t>
      </w:r>
    </w:p>
    <w:p>
      <w:pPr>
        <w:spacing w:after="0" w:line="33"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210" w:lineRule="exact"/>
        <w:rPr>
          <w:sz w:val="24"/>
          <w:szCs w:val="24"/>
          <w:color w:val="auto"/>
        </w:rPr>
      </w:pPr>
    </w:p>
    <w:p>
      <w:pPr>
        <w:jc w:val="center"/>
        <w:ind w:right="-139"/>
        <w:spacing w:after="0"/>
        <w:rPr>
          <w:sz w:val="20"/>
          <w:szCs w:val="20"/>
          <w:color w:val="auto"/>
        </w:rPr>
      </w:pPr>
      <w:r>
        <w:rPr>
          <w:rFonts w:ascii="Arial" w:cs="Arial" w:eastAsia="Arial" w:hAnsi="Arial"/>
          <w:sz w:val="29"/>
          <w:szCs w:val="29"/>
          <w:b w:val="1"/>
          <w:bCs w:val="1"/>
          <w:color w:val="auto"/>
        </w:rPr>
        <w:t>FORM 10-Q</w:t>
      </w:r>
    </w:p>
    <w:p>
      <w:pPr>
        <w:spacing w:after="0" w:line="62" w:lineRule="exact"/>
        <w:rPr>
          <w:sz w:val="24"/>
          <w:szCs w:val="24"/>
          <w:color w:val="auto"/>
        </w:rPr>
      </w:pPr>
    </w:p>
    <w:p>
      <w:pPr>
        <w:ind w:left="5060"/>
        <w:spacing w:after="0"/>
        <w:rPr>
          <w:sz w:val="20"/>
          <w:szCs w:val="20"/>
          <w:color w:val="auto"/>
        </w:rPr>
      </w:pPr>
      <w:r>
        <w:rPr>
          <w:rFonts w:ascii="Arial" w:cs="Arial" w:eastAsia="Arial" w:hAnsi="Arial"/>
          <w:sz w:val="19"/>
          <w:szCs w:val="19"/>
          <w:b w:val="1"/>
          <w:bCs w:val="1"/>
          <w:color w:val="auto"/>
        </w:rPr>
        <w:t>______________</w:t>
      </w:r>
    </w:p>
    <w:p>
      <w:pPr>
        <w:spacing w:after="0" w:line="62"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(Mark One)</w:t>
      </w:r>
    </w:p>
    <w:p>
      <w:pPr>
        <w:spacing w:after="0" w:line="27" w:lineRule="exact"/>
        <w:rPr>
          <w:sz w:val="24"/>
          <w:szCs w:val="24"/>
          <w:color w:val="auto"/>
        </w:rPr>
      </w:pPr>
    </w:p>
    <w:p>
      <w:pPr>
        <w:ind w:left="1740" w:hanging="280"/>
        <w:spacing w:after="0"/>
        <w:tabs>
          <w:tab w:leader="none" w:pos="17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80" w:lineRule="exact"/>
        <w:rPr>
          <w:sz w:val="24"/>
          <w:szCs w:val="24"/>
          <w:color w:val="auto"/>
        </w:rPr>
      </w:pPr>
    </w:p>
    <w:p>
      <w:pPr>
        <w:ind w:left="1720" w:hanging="264"/>
        <w:spacing w:after="0"/>
        <w:tabs>
          <w:tab w:leader="none" w:pos="172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248" w:lineRule="exact"/>
        <w:rPr>
          <w:sz w:val="24"/>
          <w:szCs w:val="24"/>
          <w:color w:val="auto"/>
        </w:rPr>
      </w:pPr>
    </w:p>
    <w:p>
      <w:pPr>
        <w:jc w:val="center"/>
        <w:ind w:right="-159"/>
        <w:spacing w:after="0"/>
        <w:tabs>
          <w:tab w:leader="none" w:pos="2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48" w:lineRule="exact"/>
        <w:rPr>
          <w:sz w:val="24"/>
          <w:szCs w:val="24"/>
          <w:color w:val="auto"/>
        </w:rPr>
      </w:pPr>
    </w:p>
    <w:p>
      <w:pPr>
        <w:jc w:val="center"/>
        <w:ind w:right="-139"/>
        <w:spacing w:after="0"/>
        <w:rPr>
          <w:sz w:val="20"/>
          <w:szCs w:val="20"/>
          <w:color w:val="auto"/>
        </w:rPr>
      </w:pPr>
      <w:r>
        <w:rPr>
          <w:rFonts w:ascii="Arial" w:cs="Arial" w:eastAsia="Arial" w:hAnsi="Arial"/>
          <w:sz w:val="16"/>
          <w:szCs w:val="16"/>
          <w:b w:val="1"/>
          <w:bCs w:val="1"/>
          <w:color w:val="auto"/>
        </w:rPr>
        <w:t>Commission File Number 0-27460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1548765</wp:posOffset>
            </wp:positionH>
            <wp:positionV relativeFrom="paragraph">
              <wp:posOffset>158115</wp:posOffset>
            </wp:positionV>
            <wp:extent cx="4124960" cy="5918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124960" cy="5918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6" w:lineRule="exact"/>
        <w:rPr>
          <w:sz w:val="24"/>
          <w:szCs w:val="24"/>
          <w:color w:val="auto"/>
        </w:rPr>
      </w:pPr>
    </w:p>
    <w:tbl>
      <w:tblPr>
        <w:tblLayout w:type="fixed"/>
        <w:tblInd w:w="1600" w:type="dxa"/>
        <w:tblCellMar>
          <w:top w:w="0" w:type="dxa"/>
          <w:left w:w="0" w:type="dxa"/>
          <w:bottom w:w="0" w:type="dxa"/>
          <w:right w:w="0" w:type="dxa"/>
        </w:tblCellMar>
      </w:tblPr>
      <w:tr>
        <w:trPr>
          <w:trHeight w:val="182"/>
        </w:trPr>
        <w:tc>
          <w:tcPr>
            <w:tcW w:w="2580" w:type="dxa"/>
            <w:vAlign w:val="bottom"/>
          </w:tcPr>
          <w:p>
            <w:pPr>
              <w:spacing w:after="0"/>
              <w:rPr>
                <w:sz w:val="15"/>
                <w:szCs w:val="15"/>
                <w:color w:val="auto"/>
              </w:rPr>
            </w:pPr>
          </w:p>
        </w:tc>
        <w:tc>
          <w:tcPr>
            <w:tcW w:w="5440" w:type="dxa"/>
            <w:vAlign w:val="bottom"/>
          </w:tcPr>
          <w:p>
            <w:pPr>
              <w:jc w:val="center"/>
              <w:ind w:right="2299"/>
              <w:spacing w:after="0"/>
              <w:rPr>
                <w:sz w:val="20"/>
                <w:szCs w:val="20"/>
                <w:color w:val="auto"/>
              </w:rPr>
            </w:pPr>
            <w:r>
              <w:rPr>
                <w:rFonts w:ascii="Arial" w:cs="Arial" w:eastAsia="Arial" w:hAnsi="Arial"/>
                <w:sz w:val="14"/>
                <w:szCs w:val="14"/>
                <w:color w:val="auto"/>
                <w:w w:val="93"/>
              </w:rPr>
              <w:t>(Exact name of registrant as specified in its charter)</w:t>
            </w:r>
          </w:p>
        </w:tc>
      </w:tr>
      <w:tr>
        <w:trPr>
          <w:trHeight w:val="417"/>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5440" w:type="dxa"/>
            <w:vAlign w:val="bottom"/>
          </w:tcPr>
          <w:p>
            <w:pPr>
              <w:jc w:val="right"/>
              <w:ind w:right="539"/>
              <w:spacing w:after="0"/>
              <w:rPr>
                <w:sz w:val="20"/>
                <w:szCs w:val="20"/>
                <w:color w:val="auto"/>
              </w:rPr>
            </w:pPr>
            <w:r>
              <w:rPr>
                <w:rFonts w:ascii="Arial" w:cs="Arial" w:eastAsia="Arial" w:hAnsi="Arial"/>
                <w:sz w:val="18"/>
                <w:szCs w:val="18"/>
                <w:b w:val="1"/>
                <w:bCs w:val="1"/>
                <w:color w:val="auto"/>
              </w:rPr>
              <w:t>16-1387013</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(State or other jurisdiction of incorporation)</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7"/>
              </w:rPr>
              <w:t>(I.R.S. Employer Identification No.)</w:t>
            </w:r>
          </w:p>
        </w:tc>
      </w:tr>
      <w:tr>
        <w:trPr>
          <w:trHeight w:val="439"/>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0"/>
              </w:rPr>
              <w:t>2000 Technology Parkway</w:t>
            </w:r>
          </w:p>
        </w:tc>
        <w:tc>
          <w:tcPr>
            <w:tcW w:w="5440" w:type="dxa"/>
            <w:vAlign w:val="bottom"/>
          </w:tcPr>
          <w:p>
            <w:pPr>
              <w:jc w:val="right"/>
              <w:ind w:right="739"/>
              <w:spacing w:after="0"/>
              <w:rPr>
                <w:sz w:val="20"/>
                <w:szCs w:val="20"/>
                <w:color w:val="auto"/>
              </w:rPr>
            </w:pPr>
            <w:r>
              <w:rPr>
                <w:rFonts w:ascii="Arial" w:cs="Arial" w:eastAsia="Arial" w:hAnsi="Arial"/>
                <w:sz w:val="18"/>
                <w:szCs w:val="18"/>
                <w:b w:val="1"/>
                <w:bCs w:val="1"/>
                <w:color w:val="auto"/>
              </w:rPr>
              <w:t>14513</w:t>
            </w:r>
          </w:p>
        </w:tc>
      </w:tr>
      <w:tr>
        <w:trPr>
          <w:trHeight w:val="234"/>
        </w:trPr>
        <w:tc>
          <w:tcPr>
            <w:tcW w:w="2580" w:type="dxa"/>
            <w:vAlign w:val="bottom"/>
          </w:tcPr>
          <w:p>
            <w:pPr>
              <w:jc w:val="center"/>
              <w:spacing w:after="0"/>
              <w:rPr>
                <w:sz w:val="20"/>
                <w:szCs w:val="20"/>
                <w:color w:val="auto"/>
              </w:rPr>
            </w:pPr>
            <w:r>
              <w:rPr>
                <w:rFonts w:ascii="Arial" w:cs="Arial" w:eastAsia="Arial" w:hAnsi="Arial"/>
                <w:sz w:val="18"/>
                <w:szCs w:val="18"/>
                <w:b w:val="1"/>
                <w:bCs w:val="1"/>
                <w:color w:val="auto"/>
                <w:w w:val="93"/>
              </w:rPr>
              <w:t>Newark, New York</w:t>
            </w:r>
          </w:p>
        </w:tc>
        <w:tc>
          <w:tcPr>
            <w:tcW w:w="5440" w:type="dxa"/>
            <w:vAlign w:val="bottom"/>
          </w:tcPr>
          <w:p>
            <w:pPr>
              <w:jc w:val="center"/>
              <w:ind w:left="3259"/>
              <w:spacing w:after="0"/>
              <w:rPr>
                <w:sz w:val="20"/>
                <w:szCs w:val="20"/>
                <w:color w:val="auto"/>
              </w:rPr>
            </w:pPr>
            <w:r>
              <w:rPr>
                <w:rFonts w:ascii="Arial" w:cs="Arial" w:eastAsia="Arial" w:hAnsi="Arial"/>
                <w:sz w:val="14"/>
                <w:szCs w:val="14"/>
                <w:color w:val="auto"/>
                <w:w w:val="93"/>
              </w:rPr>
              <w:t>(Zip Code)</w:t>
            </w:r>
          </w:p>
        </w:tc>
      </w:tr>
      <w:tr>
        <w:trPr>
          <w:trHeight w:val="191"/>
        </w:trPr>
        <w:tc>
          <w:tcPr>
            <w:tcW w:w="2580" w:type="dxa"/>
            <w:vAlign w:val="bottom"/>
          </w:tcPr>
          <w:p>
            <w:pPr>
              <w:jc w:val="center"/>
              <w:spacing w:after="0"/>
              <w:rPr>
                <w:sz w:val="20"/>
                <w:szCs w:val="20"/>
                <w:color w:val="auto"/>
              </w:rPr>
            </w:pPr>
            <w:r>
              <w:rPr>
                <w:rFonts w:ascii="Arial" w:cs="Arial" w:eastAsia="Arial" w:hAnsi="Arial"/>
                <w:sz w:val="14"/>
                <w:szCs w:val="14"/>
                <w:color w:val="auto"/>
                <w:w w:val="95"/>
              </w:rPr>
              <w:t>(Address of principal executive offices)</w:t>
            </w:r>
          </w:p>
        </w:tc>
        <w:tc>
          <w:tcPr>
            <w:tcW w:w="5440" w:type="dxa"/>
            <w:vAlign w:val="bottom"/>
          </w:tcPr>
          <w:p>
            <w:pPr>
              <w:spacing w:after="0"/>
              <w:rPr>
                <w:sz w:val="16"/>
                <w:szCs w:val="16"/>
                <w:color w:val="auto"/>
              </w:rPr>
            </w:pPr>
          </w:p>
        </w:tc>
      </w:tr>
      <w:tr>
        <w:trPr>
          <w:trHeight w:val="242"/>
        </w:trPr>
        <w:tc>
          <w:tcPr>
            <w:tcW w:w="2580" w:type="dxa"/>
            <w:vAlign w:val="bottom"/>
          </w:tcPr>
          <w:p>
            <w:pPr>
              <w:spacing w:after="0"/>
              <w:rPr>
                <w:sz w:val="21"/>
                <w:szCs w:val="21"/>
                <w:color w:val="auto"/>
              </w:rPr>
            </w:pPr>
          </w:p>
        </w:tc>
        <w:tc>
          <w:tcPr>
            <w:tcW w:w="5440" w:type="dxa"/>
            <w:vAlign w:val="bottom"/>
          </w:tcPr>
          <w:p>
            <w:pPr>
              <w:jc w:val="right"/>
              <w:ind w:right="2979"/>
              <w:spacing w:after="0"/>
              <w:rPr>
                <w:sz w:val="20"/>
                <w:szCs w:val="20"/>
                <w:color w:val="auto"/>
              </w:rPr>
            </w:pPr>
            <w:r>
              <w:rPr>
                <w:rFonts w:ascii="Arial" w:cs="Arial" w:eastAsia="Arial" w:hAnsi="Arial"/>
                <w:sz w:val="18"/>
                <w:szCs w:val="18"/>
                <w:color w:val="auto"/>
              </w:rPr>
              <w:t>___________________</w:t>
            </w:r>
          </w:p>
        </w:tc>
      </w:tr>
    </w:tbl>
    <w:p>
      <w:pPr>
        <w:spacing w:after="0" w:line="216" w:lineRule="exact"/>
        <w:rPr>
          <w:sz w:val="24"/>
          <w:szCs w:val="24"/>
          <w:color w:val="auto"/>
        </w:rPr>
      </w:pPr>
    </w:p>
    <w:p>
      <w:pPr>
        <w:ind w:left="3840"/>
        <w:spacing w:after="0"/>
        <w:rPr>
          <w:sz w:val="20"/>
          <w:szCs w:val="20"/>
          <w:color w:val="auto"/>
        </w:rPr>
      </w:pPr>
      <w:r>
        <w:rPr>
          <w:rFonts w:ascii="Arial" w:cs="Arial" w:eastAsia="Arial" w:hAnsi="Arial"/>
          <w:sz w:val="16"/>
          <w:szCs w:val="16"/>
          <w:color w:val="auto"/>
        </w:rPr>
        <w:t xml:space="preserve">Registrant's telephone number, including area code: </w:t>
      </w:r>
      <w:r>
        <w:rPr>
          <w:rFonts w:ascii="Arial" w:cs="Arial" w:eastAsia="Arial" w:hAnsi="Arial"/>
          <w:sz w:val="16"/>
          <w:szCs w:val="16"/>
          <w:b w:val="1"/>
          <w:bCs w:val="1"/>
          <w:color w:val="auto"/>
        </w:rPr>
        <w:t>(315) 332-7100</w:t>
      </w:r>
    </w:p>
    <w:p>
      <w:pPr>
        <w:spacing w:after="0" w:line="26" w:lineRule="exact"/>
        <w:rPr>
          <w:sz w:val="24"/>
          <w:szCs w:val="24"/>
          <w:color w:val="auto"/>
        </w:rPr>
      </w:pPr>
    </w:p>
    <w:p>
      <w:pPr>
        <w:ind w:left="4400"/>
        <w:spacing w:after="0"/>
        <w:rPr>
          <w:sz w:val="20"/>
          <w:szCs w:val="20"/>
          <w:color w:val="auto"/>
        </w:rPr>
      </w:pPr>
      <w:r>
        <w:rPr>
          <w:rFonts w:ascii="Arial" w:cs="Arial" w:eastAsia="Arial" w:hAnsi="Arial"/>
          <w:sz w:val="18"/>
          <w:szCs w:val="18"/>
          <w:b w:val="1"/>
          <w:bCs w:val="1"/>
          <w:color w:val="auto"/>
        </w:rPr>
        <w:t>_____________________________</w:t>
      </w:r>
    </w:p>
    <w:p>
      <w:pPr>
        <w:spacing w:after="0" w:line="235" w:lineRule="exact"/>
        <w:rPr>
          <w:sz w:val="24"/>
          <w:szCs w:val="24"/>
          <w:color w:val="auto"/>
        </w:rPr>
      </w:pPr>
    </w:p>
    <w:p>
      <w:pPr>
        <w:ind w:right="4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1" w:lineRule="exact"/>
        <w:rPr>
          <w:sz w:val="24"/>
          <w:szCs w:val="24"/>
          <w:color w:val="auto"/>
        </w:rPr>
      </w:pPr>
    </w:p>
    <w:p>
      <w:pPr>
        <w:ind w:right="260" w:firstLine="486"/>
        <w:spacing w:after="0" w:line="219" w:lineRule="exact"/>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1" w:lineRule="exact"/>
        <w:rPr>
          <w:sz w:val="24"/>
          <w:szCs w:val="24"/>
          <w:color w:val="auto"/>
        </w:rPr>
      </w:pPr>
    </w:p>
    <w:p>
      <w:pPr>
        <w:ind w:left="80" w:firstLine="405"/>
        <w:spacing w:after="0" w:line="235" w:lineRule="exact"/>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Non-accelerated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71" w:lineRule="exact"/>
        <w:rPr>
          <w:sz w:val="24"/>
          <w:szCs w:val="24"/>
          <w:color w:val="auto"/>
        </w:rPr>
      </w:pPr>
    </w:p>
    <w:p>
      <w:pPr>
        <w:ind w:left="500"/>
        <w:spacing w:after="0" w:line="1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359" w:lineRule="exact"/>
        <w:rPr>
          <w:sz w:val="24"/>
          <w:szCs w:val="24"/>
          <w:color w:val="auto"/>
        </w:rPr>
      </w:pPr>
    </w:p>
    <w:p>
      <w:pPr>
        <w:ind w:left="500"/>
        <w:spacing w:after="0"/>
        <w:rPr>
          <w:sz w:val="20"/>
          <w:szCs w:val="20"/>
          <w:color w:val="auto"/>
        </w:rPr>
      </w:pPr>
      <w:r>
        <w:rPr>
          <w:rFonts w:ascii="Arial" w:cs="Arial" w:eastAsia="Arial" w:hAnsi="Arial"/>
          <w:sz w:val="16"/>
          <w:szCs w:val="16"/>
          <w:color w:val="auto"/>
        </w:rPr>
        <w:t>The number of shares outstanding of the registrant's common stock was 17,540,382, net of 1,383,977 treasury shares, as of August 1, 2014.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86360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4"/>
          <w:szCs w:val="24"/>
          <w:color w:val="auto"/>
        </w:rPr>
      </w:pPr>
    </w:p>
    <w:p>
      <w:pPr>
        <w:jc w:val="center"/>
        <w:ind w:right="-139"/>
        <w:spacing w:after="0"/>
        <w:rPr>
          <w:sz w:val="20"/>
          <w:szCs w:val="20"/>
          <w:color w:val="auto"/>
        </w:rPr>
      </w:pPr>
      <w:r>
        <w:rPr>
          <w:rFonts w:ascii="Arial" w:cs="Arial" w:eastAsia="Arial" w:hAnsi="Arial"/>
          <w:sz w:val="16"/>
          <w:szCs w:val="16"/>
          <w:color w:val="auto"/>
        </w:rPr>
        <w:t>1</w:t>
      </w:r>
    </w:p>
    <w:p>
      <w:pPr>
        <w:sectPr>
          <w:pgSz w:w="11900" w:h="16838" w:orient="portrait"/>
          <w:cols w:equalWidth="0" w:num="1">
            <w:col w:w="11280"/>
          </w:cols>
          <w:pgMar w:left="240" w:top="324" w:right="379" w:bottom="1440" w:gutter="0" w:footer="0" w:header="0"/>
        </w:sectPr>
      </w:pPr>
    </w:p>
    <w:bookmarkStart w:id="1" w:name="page2"/>
    <w:bookmarkEnd w:id="1"/>
    <w:p>
      <w:pPr>
        <w:jc w:val="center"/>
        <w:ind w:right="-399"/>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0" w:type="dxa"/>
            <w:vAlign w:val="bottom"/>
            <w:gridSpan w:val="2"/>
            <w:vMerge w:val="restart"/>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w:t>
              </w:r>
            </w:hyperlink>
          </w:p>
        </w:tc>
        <w:tc>
          <w:tcPr>
            <w:tcW w:w="9800" w:type="dxa"/>
            <w:vAlign w:val="bottom"/>
            <w:gridSpan w:val="17"/>
            <w:vMerge w:val="restart"/>
          </w:tcPr>
          <w:p>
            <w:pPr>
              <w:ind w:left="60"/>
              <w:spacing w:after="0"/>
              <w:rPr>
                <w:rFonts w:ascii="Arial" w:cs="Arial" w:eastAsia="Arial" w:hAnsi="Arial"/>
                <w:sz w:val="18"/>
                <w:szCs w:val="18"/>
                <w:color w:val="0000EE"/>
              </w:rPr>
            </w:pPr>
            <w:hyperlink w:anchor="page3">
              <w:r>
                <w:rPr>
                  <w:rFonts w:ascii="Arial" w:cs="Arial" w:eastAsia="Arial" w:hAnsi="Arial"/>
                  <w:sz w:val="18"/>
                  <w:szCs w:val="18"/>
                  <w:color w:val="0000EE"/>
                </w:rPr>
                <w:t>FINANCIAL INFORMATION</w:t>
              </w:r>
            </w:hyperlink>
          </w:p>
        </w:tc>
        <w:tc>
          <w:tcPr>
            <w:tcW w:w="560" w:type="dxa"/>
            <w:vAlign w:val="bottom"/>
            <w:gridSpan w:val="4"/>
          </w:tcPr>
          <w:p>
            <w:pPr>
              <w:ind w:left="220"/>
              <w:spacing w:after="0"/>
              <w:rPr>
                <w:sz w:val="20"/>
                <w:szCs w:val="20"/>
                <w:color w:val="auto"/>
              </w:rPr>
            </w:pPr>
            <w:r>
              <w:rPr>
                <w:rFonts w:ascii="Arial" w:cs="Arial" w:eastAsia="Arial" w:hAnsi="Arial"/>
                <w:sz w:val="18"/>
                <w:szCs w:val="18"/>
                <w:color w:val="auto"/>
                <w:w w:val="76"/>
              </w:rPr>
              <w:t>Page</w:t>
            </w:r>
          </w:p>
        </w:tc>
        <w:tc>
          <w:tcPr>
            <w:tcW w:w="0" w:type="dxa"/>
            <w:vAlign w:val="bottom"/>
          </w:tcPr>
          <w:p>
            <w:pPr>
              <w:spacing w:after="0"/>
              <w:rPr>
                <w:sz w:val="1"/>
                <w:szCs w:val="1"/>
                <w:color w:val="auto"/>
              </w:rPr>
            </w:pPr>
          </w:p>
        </w:tc>
      </w:tr>
      <w:tr>
        <w:trPr>
          <w:trHeight w:val="196"/>
        </w:trPr>
        <w:tc>
          <w:tcPr>
            <w:tcW w:w="660" w:type="dxa"/>
            <w:vAlign w:val="bottom"/>
            <w:gridSpan w:val="2"/>
            <w:vMerge w:val="continue"/>
          </w:tcPr>
          <w:p>
            <w:pPr>
              <w:spacing w:after="0"/>
              <w:rPr>
                <w:sz w:val="17"/>
                <w:szCs w:val="17"/>
                <w:color w:val="auto"/>
              </w:rPr>
            </w:pPr>
          </w:p>
        </w:tc>
        <w:tc>
          <w:tcPr>
            <w:tcW w:w="9800" w:type="dxa"/>
            <w:vAlign w:val="bottom"/>
            <w:gridSpan w:val="17"/>
            <w:vMerge w:val="continue"/>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40" w:type="dxa"/>
            <w:vAlign w:val="bottom"/>
            <w:gridSpan w:val="16"/>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Financial Statements</w:t>
              </w:r>
            </w:hyperlink>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180" w:type="dxa"/>
            <w:vAlign w:val="bottom"/>
            <w:tcBorders>
              <w:bottom w:val="single" w:sz="8" w:color="0000EE"/>
            </w:tcBorders>
            <w:gridSpan w:val="12"/>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Consolidated Balance Sheets as of June 29, 2014 and December 31, 2013 (unaudited)</w:t>
              </w:r>
            </w:hyperlink>
          </w:p>
        </w:tc>
        <w:tc>
          <w:tcPr>
            <w:tcW w:w="2560" w:type="dxa"/>
            <w:vAlign w:val="bottom"/>
            <w:gridSpan w:val="4"/>
          </w:tcPr>
          <w:p>
            <w:pPr>
              <w:spacing w:after="0"/>
              <w:rPr>
                <w:sz w:val="24"/>
                <w:szCs w:val="24"/>
                <w:color w:val="auto"/>
              </w:rPr>
            </w:pPr>
          </w:p>
        </w:tc>
        <w:tc>
          <w:tcPr>
            <w:tcW w:w="34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3</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52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4">
              <w:r>
                <w:rPr>
                  <w:rFonts w:ascii="Arial" w:cs="Arial" w:eastAsia="Arial" w:hAnsi="Arial"/>
                  <w:sz w:val="18"/>
                  <w:szCs w:val="18"/>
                  <w:color w:val="0000EE"/>
                  <w:w w:val="89"/>
                </w:rPr>
                <w:t>Consolidated Statements of Operations and Comprehensive Loss for the Three and Six Month Periods Ended June 29,</w:t>
              </w:r>
            </w:hyperlink>
          </w:p>
        </w:tc>
        <w:tc>
          <w:tcPr>
            <w:tcW w:w="220" w:type="dxa"/>
            <w:vAlign w:val="bottom"/>
          </w:tcPr>
          <w:p>
            <w:pPr>
              <w:spacing w:after="0"/>
              <w:rPr>
                <w:sz w:val="24"/>
                <w:szCs w:val="24"/>
                <w:color w:val="auto"/>
              </w:rPr>
            </w:pPr>
          </w:p>
        </w:tc>
        <w:tc>
          <w:tcPr>
            <w:tcW w:w="34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600" w:type="dxa"/>
            <w:vAlign w:val="bottom"/>
            <w:tcBorders>
              <w:bottom w:val="single" w:sz="8" w:color="0000EE"/>
            </w:tcBorders>
            <w:gridSpan w:val="9"/>
          </w:tcPr>
          <w:p>
            <w:pPr>
              <w:spacing w:after="0" w:line="196"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2014 and June 30, 2013 (unaudited)</w:t>
              </w:r>
            </w:hyperlink>
          </w:p>
        </w:tc>
        <w:tc>
          <w:tcPr>
            <w:tcW w:w="6140" w:type="dxa"/>
            <w:vAlign w:val="bottom"/>
            <w:gridSpan w:val="7"/>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70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Consolidated Statements of Cash Flows for the Six Month Periods Ended June 29, 2014 and June 30, 2013</w:t>
              </w:r>
            </w:hyperlink>
          </w:p>
        </w:tc>
        <w:tc>
          <w:tcPr>
            <w:tcW w:w="1040" w:type="dxa"/>
            <w:vAlign w:val="bottom"/>
            <w:gridSpan w:val="2"/>
          </w:tcPr>
          <w:p>
            <w:pPr>
              <w:spacing w:after="0"/>
              <w:rPr>
                <w:sz w:val="24"/>
                <w:szCs w:val="24"/>
                <w:color w:val="auto"/>
              </w:rPr>
            </w:pPr>
          </w:p>
        </w:tc>
        <w:tc>
          <w:tcPr>
            <w:tcW w:w="34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5</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Borders>
              <w:bottom w:val="single" w:sz="8" w:color="0000EE"/>
            </w:tcBorders>
            <w:gridSpan w:val="4"/>
          </w:tcPr>
          <w:p>
            <w:pPr>
              <w:spacing w:after="0" w:line="196" w:lineRule="exact"/>
              <w:rPr>
                <w:rFonts w:ascii="Arial" w:cs="Arial" w:eastAsia="Arial" w:hAnsi="Arial"/>
                <w:sz w:val="18"/>
                <w:szCs w:val="18"/>
                <w:color w:val="0000EE"/>
                <w:w w:val="90"/>
              </w:rPr>
            </w:pPr>
            <w:hyperlink w:anchor="page5">
              <w:r>
                <w:rPr>
                  <w:rFonts w:ascii="Arial" w:cs="Arial" w:eastAsia="Arial" w:hAnsi="Arial"/>
                  <w:sz w:val="18"/>
                  <w:szCs w:val="18"/>
                  <w:color w:val="0000EE"/>
                  <w:w w:val="90"/>
                </w:rPr>
                <w:t>(unaudited)</w:t>
              </w:r>
            </w:hyperlink>
          </w:p>
        </w:tc>
        <w:tc>
          <w:tcPr>
            <w:tcW w:w="7900" w:type="dxa"/>
            <w:vAlign w:val="bottom"/>
            <w:gridSpan w:val="12"/>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160" w:type="dxa"/>
            <w:vAlign w:val="bottom"/>
            <w:tcBorders>
              <w:bottom w:val="single" w:sz="8" w:color="0000EE"/>
            </w:tcBorders>
            <w:gridSpan w:val="10"/>
          </w:tcPr>
          <w:p>
            <w:pPr>
              <w:spacing w:after="0"/>
              <w:rPr>
                <w:rFonts w:ascii="Arial" w:cs="Arial" w:eastAsia="Arial" w:hAnsi="Arial"/>
                <w:sz w:val="18"/>
                <w:szCs w:val="18"/>
                <w:color w:val="0000EE"/>
                <w:w w:val="89"/>
              </w:rPr>
            </w:pPr>
            <w:hyperlink w:anchor="page6">
              <w:r>
                <w:rPr>
                  <w:rFonts w:ascii="Arial" w:cs="Arial" w:eastAsia="Arial" w:hAnsi="Arial"/>
                  <w:sz w:val="18"/>
                  <w:szCs w:val="18"/>
                  <w:color w:val="0000EE"/>
                  <w:w w:val="89"/>
                </w:rPr>
                <w:t>Notes to Consolidated Financial Statements</w:t>
              </w:r>
            </w:hyperlink>
          </w:p>
        </w:tc>
        <w:tc>
          <w:tcPr>
            <w:tcW w:w="5580" w:type="dxa"/>
            <w:vAlign w:val="bottom"/>
            <w:gridSpan w:val="6"/>
          </w:tcPr>
          <w:p>
            <w:pPr>
              <w:spacing w:after="0"/>
              <w:rPr>
                <w:sz w:val="24"/>
                <w:szCs w:val="24"/>
                <w:color w:val="auto"/>
              </w:rPr>
            </w:pPr>
          </w:p>
        </w:tc>
        <w:tc>
          <w:tcPr>
            <w:tcW w:w="340" w:type="dxa"/>
            <w:vAlign w:val="bottom"/>
            <w:gridSpan w:val="2"/>
          </w:tcPr>
          <w:p>
            <w:pPr>
              <w:spacing w:after="0"/>
              <w:rPr>
                <w:sz w:val="24"/>
                <w:szCs w:val="24"/>
                <w:color w:val="auto"/>
              </w:rPr>
            </w:pPr>
          </w:p>
        </w:tc>
        <w:tc>
          <w:tcPr>
            <w:tcW w:w="14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16">
              <w:r>
                <w:rPr>
                  <w:rFonts w:ascii="Arial" w:cs="Arial" w:eastAsia="Arial" w:hAnsi="Arial"/>
                  <w:sz w:val="18"/>
                  <w:szCs w:val="18"/>
                  <w:color w:val="0000EE"/>
                  <w:w w:val="90"/>
                </w:rPr>
                <w:t>Item 2.</w:t>
              </w:r>
            </w:hyperlink>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40" w:type="dxa"/>
            <w:vAlign w:val="bottom"/>
            <w:gridSpan w:val="1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Management’s Discussion and Analysis of Financial Condition and Results of Operations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16">
              <w:r>
                <w:rPr>
                  <w:rFonts w:ascii="Arial" w:cs="Arial" w:eastAsia="Arial" w:hAnsi="Arial"/>
                  <w:sz w:val="18"/>
                  <w:szCs w:val="18"/>
                  <w:color w:val="0000EE"/>
                  <w:w w:val="89"/>
                </w:rPr>
                <w:t>16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680" w:type="dxa"/>
            <w:vAlign w:val="bottom"/>
            <w:gridSpan w:val="5"/>
            <w:shd w:val="clear" w:color="auto" w:fill="0000EE"/>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4.</w:t>
              </w:r>
            </w:hyperlink>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4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Controls and Procedures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960" w:type="dxa"/>
            <w:vAlign w:val="bottom"/>
            <w:gridSpan w:val="8"/>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660" w:type="dxa"/>
            <w:vAlign w:val="bottom"/>
            <w:tcBorders>
              <w:bottom w:val="single" w:sz="8" w:color="0000EE"/>
            </w:tcBorders>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PART II</w:t>
              </w:r>
            </w:hyperlink>
          </w:p>
        </w:tc>
        <w:tc>
          <w:tcPr>
            <w:tcW w:w="2020" w:type="dxa"/>
            <w:vAlign w:val="bottom"/>
            <w:tcBorders>
              <w:bottom w:val="single" w:sz="8" w:color="0000EE"/>
            </w:tcBorders>
            <w:gridSpan w:val="6"/>
          </w:tcPr>
          <w:p>
            <w:pPr>
              <w:ind w:left="120"/>
              <w:spacing w:after="0"/>
              <w:rPr>
                <w:rFonts w:ascii="Arial" w:cs="Arial" w:eastAsia="Arial" w:hAnsi="Arial"/>
                <w:sz w:val="18"/>
                <w:szCs w:val="18"/>
                <w:color w:val="0000EE"/>
                <w:w w:val="96"/>
              </w:rPr>
            </w:pPr>
            <w:hyperlink w:anchor="page26">
              <w:r>
                <w:rPr>
                  <w:rFonts w:ascii="Arial" w:cs="Arial" w:eastAsia="Arial" w:hAnsi="Arial"/>
                  <w:sz w:val="18"/>
                  <w:szCs w:val="18"/>
                  <w:color w:val="0000EE"/>
                  <w:w w:val="96"/>
                </w:rPr>
                <w:t>OTHER INFORMATION</w:t>
              </w:r>
            </w:hyperlink>
          </w:p>
        </w:tc>
        <w:tc>
          <w:tcPr>
            <w:tcW w:w="7780" w:type="dxa"/>
            <w:vAlign w:val="bottom"/>
            <w:gridSpan w:val="11"/>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6">
              <w:r>
                <w:rPr>
                  <w:rFonts w:ascii="Arial" w:cs="Arial" w:eastAsia="Arial" w:hAnsi="Arial"/>
                  <w:sz w:val="18"/>
                  <w:szCs w:val="18"/>
                  <w:color w:val="0000EE"/>
                  <w:w w:val="90"/>
                </w:rPr>
                <w:t>Item 1.</w:t>
              </w:r>
            </w:hyperlink>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40" w:type="dxa"/>
            <w:vAlign w:val="bottom"/>
            <w:gridSpan w:val="16"/>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6">
              <w:r>
                <w:rPr>
                  <w:rFonts w:ascii="Arial" w:cs="Arial" w:eastAsia="Arial" w:hAnsi="Arial"/>
                  <w:sz w:val="18"/>
                  <w:szCs w:val="18"/>
                  <w:color w:val="0000EE"/>
                  <w:w w:val="89"/>
                </w:rPr>
                <w:t>26</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400" w:type="dxa"/>
            <w:vAlign w:val="bottom"/>
            <w:gridSpan w:val="9"/>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rFonts w:ascii="Arial" w:cs="Arial" w:eastAsia="Arial" w:hAnsi="Arial"/>
                <w:sz w:val="18"/>
                <w:szCs w:val="18"/>
                <w:color w:val="0000EE"/>
                <w:w w:val="90"/>
              </w:rPr>
            </w:pPr>
            <w:hyperlink w:anchor="page27">
              <w:r>
                <w:rPr>
                  <w:rFonts w:ascii="Arial" w:cs="Arial" w:eastAsia="Arial" w:hAnsi="Arial"/>
                  <w:sz w:val="18"/>
                  <w:szCs w:val="18"/>
                  <w:color w:val="0000EE"/>
                  <w:w w:val="90"/>
                </w:rPr>
                <w:t>Item 6.</w:t>
              </w:r>
            </w:hyperlink>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40" w:type="dxa"/>
            <w:vAlign w:val="bottom"/>
            <w:gridSpan w:val="1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Exhibits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7">
              <w:r>
                <w:rPr>
                  <w:rFonts w:ascii="Arial" w:cs="Arial" w:eastAsia="Arial" w:hAnsi="Arial"/>
                  <w:sz w:val="18"/>
                  <w:szCs w:val="18"/>
                  <w:color w:val="0000EE"/>
                  <w:w w:val="89"/>
                </w:rPr>
                <w:t>27</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80" w:type="dxa"/>
            <w:vAlign w:val="bottom"/>
            <w:gridSpan w:val="10"/>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40" w:type="dxa"/>
            <w:vAlign w:val="bottom"/>
            <w:gridSpan w:val="16"/>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Signatures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28</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60" w:type="dxa"/>
            <w:vAlign w:val="bottom"/>
            <w:gridSpan w:val="3"/>
            <w:shd w:val="clear" w:color="auto" w:fill="0000EE"/>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7480" w:type="dxa"/>
            <w:vAlign w:val="bottom"/>
            <w:gridSpan w:val="10"/>
          </w:tcPr>
          <w:p>
            <w:pPr>
              <w:spacing w:after="0" w:line="20" w:lineRule="exact"/>
              <w:rPr>
                <w:sz w:val="1"/>
                <w:szCs w:val="1"/>
                <w:color w:val="auto"/>
              </w:rPr>
            </w:pPr>
          </w:p>
        </w:tc>
        <w:tc>
          <w:tcPr>
            <w:tcW w:w="340" w:type="dxa"/>
            <w:vAlign w:val="bottom"/>
            <w:tcBorders>
              <w:right w:val="single" w:sz="8" w:color="0000EE"/>
            </w:tcBorders>
            <w:gridSpan w:val="2"/>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740" w:type="dxa"/>
            <w:vAlign w:val="bottom"/>
            <w:gridSpan w:val="16"/>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Index to Exhibits</w:t>
              </w:r>
            </w:hyperlink>
          </w:p>
        </w:tc>
        <w:tc>
          <w:tcPr>
            <w:tcW w:w="480" w:type="dxa"/>
            <w:vAlign w:val="bottom"/>
            <w:gridSpan w:val="3"/>
          </w:tcPr>
          <w:p>
            <w:pPr>
              <w:jc w:val="center"/>
              <w:ind w:left="210"/>
              <w:spacing w:after="0"/>
              <w:rPr>
                <w:rFonts w:ascii="Arial" w:cs="Arial" w:eastAsia="Arial" w:hAnsi="Arial"/>
                <w:sz w:val="18"/>
                <w:szCs w:val="18"/>
                <w:color w:val="0000EE"/>
                <w:w w:val="89"/>
              </w:rPr>
            </w:pPr>
            <w:hyperlink w:anchor="page29">
              <w:r>
                <w:rPr>
                  <w:rFonts w:ascii="Arial" w:cs="Arial" w:eastAsia="Arial" w:hAnsi="Arial"/>
                  <w:sz w:val="18"/>
                  <w:szCs w:val="18"/>
                  <w:color w:val="0000EE"/>
                  <w:w w:val="89"/>
                </w:rPr>
                <w:t>29</w:t>
              </w:r>
            </w:hyperlink>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76"/>
        </w:trPr>
        <w:tc>
          <w:tcPr>
            <w:tcW w:w="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spacing w:after="0"/>
              <w:rPr>
                <w:sz w:val="24"/>
                <w:szCs w:val="24"/>
                <w:color w:val="auto"/>
              </w:rPr>
            </w:pPr>
          </w:p>
        </w:tc>
        <w:tc>
          <w:tcPr>
            <w:tcW w:w="1240" w:type="dxa"/>
            <w:vAlign w:val="bottom"/>
            <w:tcBorders>
              <w:top w:val="single" w:sz="8" w:color="0000EE"/>
            </w:tcBorders>
            <w:gridSpan w:val="5"/>
          </w:tcPr>
          <w:p>
            <w:pPr>
              <w:spacing w:after="0"/>
              <w:rPr>
                <w:sz w:val="24"/>
                <w:szCs w:val="24"/>
                <w:color w:val="auto"/>
              </w:rPr>
            </w:pPr>
          </w:p>
        </w:tc>
        <w:tc>
          <w:tcPr>
            <w:tcW w:w="4920" w:type="dxa"/>
            <w:vAlign w:val="bottom"/>
            <w:gridSpan w:val="6"/>
          </w:tcPr>
          <w:p>
            <w:pPr>
              <w:jc w:val="right"/>
              <w:ind w:right="2140"/>
              <w:spacing w:after="0"/>
              <w:rPr>
                <w:sz w:val="20"/>
                <w:szCs w:val="20"/>
                <w:color w:val="auto"/>
              </w:rPr>
            </w:pPr>
            <w:r>
              <w:rPr>
                <w:rFonts w:ascii="Arial" w:cs="Arial" w:eastAsia="Arial" w:hAnsi="Arial"/>
                <w:sz w:val="16"/>
                <w:szCs w:val="16"/>
                <w:color w:val="auto"/>
              </w:rPr>
              <w:t>2</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240" w:top="810" w:right="639" w:bottom="1440" w:gutter="0" w:footer="0" w:header="0"/>
        </w:sectPr>
      </w:pPr>
    </w:p>
    <w:bookmarkStart w:id="2" w:name="page3"/>
    <w:bookmarkEnd w:id="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17" w:lineRule="exact"/>
        <w:rPr>
          <w:sz w:val="20"/>
          <w:szCs w:val="20"/>
          <w:color w:val="auto"/>
        </w:rPr>
      </w:pPr>
    </w:p>
    <w:p>
      <w:pPr>
        <w:ind w:left="1960"/>
        <w:spacing w:after="0"/>
        <w:rPr>
          <w:sz w:val="20"/>
          <w:szCs w:val="20"/>
          <w:color w:val="auto"/>
        </w:rPr>
      </w:pPr>
      <w:r>
        <w:rPr>
          <w:rFonts w:ascii="Arial" w:cs="Arial" w:eastAsia="Arial" w:hAnsi="Arial"/>
          <w:sz w:val="14"/>
          <w:szCs w:val="14"/>
          <w:b w:val="1"/>
          <w:bCs w:val="1"/>
          <w:color w:val="auto"/>
        </w:rPr>
        <w:t>PART I. FINANCIAL INFORMATION</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320" w:type="dxa"/>
            <w:vAlign w:val="bottom"/>
          </w:tcPr>
          <w:p>
            <w:pPr>
              <w:ind w:left="500"/>
              <w:spacing w:after="0"/>
              <w:rPr>
                <w:sz w:val="20"/>
                <w:szCs w:val="20"/>
                <w:color w:val="auto"/>
              </w:rPr>
            </w:pPr>
            <w:r>
              <w:rPr>
                <w:rFonts w:ascii="Arial" w:cs="Arial" w:eastAsia="Arial" w:hAnsi="Arial"/>
                <w:sz w:val="14"/>
                <w:szCs w:val="14"/>
                <w:b w:val="1"/>
                <w:bCs w:val="1"/>
                <w:color w:val="auto"/>
              </w:rPr>
              <w:t>ITEM 1. CONDENSED CONSOLIDATED FINANCIAL STATEMENTS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43"/>
        </w:trPr>
        <w:tc>
          <w:tcPr>
            <w:tcW w:w="7640" w:type="dxa"/>
            <w:vAlign w:val="bottom"/>
            <w:gridSpan w:val="2"/>
          </w:tcPr>
          <w:p>
            <w:pPr>
              <w:jc w:val="center"/>
              <w:ind w:left="3708"/>
              <w:spacing w:after="0"/>
              <w:rPr>
                <w:sz w:val="20"/>
                <w:szCs w:val="20"/>
                <w:color w:val="auto"/>
              </w:rPr>
            </w:pPr>
            <w:r>
              <w:rPr>
                <w:rFonts w:ascii="Arial" w:cs="Arial" w:eastAsia="Arial" w:hAnsi="Arial"/>
                <w:sz w:val="14"/>
                <w:szCs w:val="14"/>
                <w:b w:val="1"/>
                <w:bCs w:val="1"/>
                <w:color w:val="auto"/>
              </w:rPr>
              <w:t>ULTRALIFE CORPORATION AND SUBSIDIARIES</w:t>
            </w:r>
          </w:p>
        </w:tc>
        <w:tc>
          <w:tcPr>
            <w:tcW w:w="11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49"/>
        </w:trPr>
        <w:tc>
          <w:tcPr>
            <w:tcW w:w="7320" w:type="dxa"/>
            <w:vAlign w:val="bottom"/>
          </w:tcPr>
          <w:p>
            <w:pPr>
              <w:jc w:val="center"/>
              <w:ind w:left="3988"/>
              <w:spacing w:after="0" w:line="149" w:lineRule="exact"/>
              <w:rPr>
                <w:sz w:val="20"/>
                <w:szCs w:val="20"/>
                <w:color w:val="auto"/>
              </w:rPr>
            </w:pPr>
            <w:r>
              <w:rPr>
                <w:rFonts w:ascii="Arial" w:cs="Arial" w:eastAsia="Arial" w:hAnsi="Arial"/>
                <w:sz w:val="14"/>
                <w:szCs w:val="14"/>
                <w:b w:val="1"/>
                <w:bCs w:val="1"/>
                <w:color w:val="auto"/>
              </w:rPr>
              <w:t>CONSOLIDATED BALANCE SHEETS</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320" w:type="dxa"/>
            <w:vAlign w:val="bottom"/>
          </w:tcPr>
          <w:p>
            <w:pPr>
              <w:jc w:val="center"/>
              <w:ind w:left="4048"/>
              <w:spacing w:after="0" w:line="149" w:lineRule="exact"/>
              <w:rPr>
                <w:sz w:val="20"/>
                <w:szCs w:val="20"/>
                <w:color w:val="auto"/>
              </w:rPr>
            </w:pPr>
            <w:r>
              <w:rPr>
                <w:rFonts w:ascii="Arial" w:cs="Arial" w:eastAsia="Arial" w:hAnsi="Arial"/>
                <w:sz w:val="14"/>
                <w:szCs w:val="14"/>
                <w:b w:val="1"/>
                <w:bCs w:val="1"/>
                <w:color w:val="auto"/>
                <w:w w:val="92"/>
              </w:rPr>
              <w:t>(Dollars in Thousands)</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86"/>
        </w:trPr>
        <w:tc>
          <w:tcPr>
            <w:tcW w:w="7320" w:type="dxa"/>
            <w:vAlign w:val="bottom"/>
          </w:tcPr>
          <w:p>
            <w:pPr>
              <w:jc w:val="center"/>
              <w:ind w:left="4048"/>
              <w:spacing w:after="0"/>
              <w:rPr>
                <w:sz w:val="20"/>
                <w:szCs w:val="20"/>
                <w:color w:val="auto"/>
              </w:rPr>
            </w:pPr>
            <w:r>
              <w:rPr>
                <w:rFonts w:ascii="Arial" w:cs="Arial" w:eastAsia="Arial" w:hAnsi="Arial"/>
                <w:sz w:val="14"/>
                <w:szCs w:val="14"/>
                <w:b w:val="1"/>
                <w:bCs w:val="1"/>
                <w:color w:val="auto"/>
                <w:w w:val="94"/>
              </w:rPr>
              <w:t>(unaudited)</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34"/>
        </w:trPr>
        <w:tc>
          <w:tcPr>
            <w:tcW w:w="7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49"/>
        </w:trPr>
        <w:tc>
          <w:tcPr>
            <w:tcW w:w="7320" w:type="dxa"/>
            <w:vAlign w:val="bottom"/>
            <w:shd w:val="clear" w:color="auto" w:fill="CCEEFF"/>
          </w:tcPr>
          <w:p>
            <w:pPr>
              <w:ind w:left="5500"/>
              <w:spacing w:after="0" w:line="149" w:lineRule="exact"/>
              <w:rPr>
                <w:sz w:val="20"/>
                <w:szCs w:val="20"/>
                <w:color w:val="auto"/>
              </w:rPr>
            </w:pPr>
            <w:r>
              <w:rPr>
                <w:rFonts w:ascii="Arial" w:cs="Arial" w:eastAsia="Arial" w:hAnsi="Arial"/>
                <w:sz w:val="14"/>
                <w:szCs w:val="14"/>
                <w:b w:val="1"/>
                <w:bCs w:val="1"/>
                <w:color w:val="auto"/>
              </w:rPr>
              <w:t>ASSETS</w:t>
            </w: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720" w:type="dxa"/>
            <w:vAlign w:val="bottom"/>
            <w:gridSpan w:val="2"/>
          </w:tcPr>
          <w:p>
            <w:pPr>
              <w:jc w:val="right"/>
              <w:ind w:right="960"/>
              <w:spacing w:after="0" w:line="149" w:lineRule="exact"/>
              <w:rPr>
                <w:sz w:val="20"/>
                <w:szCs w:val="20"/>
                <w:color w:val="auto"/>
              </w:rPr>
            </w:pPr>
            <w:r>
              <w:rPr>
                <w:rFonts w:ascii="Arial" w:cs="Arial" w:eastAsia="Arial" w:hAnsi="Arial"/>
                <w:sz w:val="14"/>
                <w:szCs w:val="14"/>
                <w:b w:val="1"/>
                <w:bCs w:val="1"/>
                <w:color w:val="auto"/>
              </w:rPr>
              <w:t>June 29,</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December 31,</w:t>
            </w:r>
          </w:p>
        </w:tc>
      </w:tr>
      <w:tr>
        <w:trPr>
          <w:trHeight w:val="162"/>
        </w:trPr>
        <w:tc>
          <w:tcPr>
            <w:tcW w:w="7320" w:type="dxa"/>
            <w:vAlign w:val="bottom"/>
            <w:shd w:val="clear" w:color="auto" w:fill="CCEEFF"/>
          </w:tcPr>
          <w:p>
            <w:pPr>
              <w:spacing w:after="0"/>
              <w:rPr>
                <w:sz w:val="14"/>
                <w:szCs w:val="14"/>
                <w:color w:val="auto"/>
              </w:rPr>
            </w:pPr>
          </w:p>
        </w:tc>
        <w:tc>
          <w:tcPr>
            <w:tcW w:w="32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2014</w:t>
            </w:r>
          </w:p>
        </w:tc>
        <w:tc>
          <w:tcPr>
            <w:tcW w:w="5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126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00" w:type="dxa"/>
            <w:vAlign w:val="bottom"/>
            <w:shd w:val="clear" w:color="auto" w:fill="CCEEFF"/>
          </w:tcPr>
          <w:p>
            <w:pPr>
              <w:spacing w:after="0"/>
              <w:rPr>
                <w:sz w:val="14"/>
                <w:szCs w:val="14"/>
                <w:color w:val="auto"/>
              </w:rPr>
            </w:pPr>
          </w:p>
        </w:tc>
      </w:tr>
      <w:tr>
        <w:trPr>
          <w:trHeight w:val="142"/>
        </w:trPr>
        <w:tc>
          <w:tcPr>
            <w:tcW w:w="7320" w:type="dxa"/>
            <w:vAlign w:val="bottom"/>
          </w:tcPr>
          <w:p>
            <w:pPr>
              <w:ind w:left="100"/>
              <w:spacing w:after="0" w:line="142" w:lineRule="exact"/>
              <w:rPr>
                <w:sz w:val="20"/>
                <w:szCs w:val="20"/>
                <w:color w:val="auto"/>
              </w:rPr>
            </w:pPr>
            <w:r>
              <w:rPr>
                <w:rFonts w:ascii="Arial" w:cs="Arial" w:eastAsia="Arial" w:hAnsi="Arial"/>
                <w:sz w:val="14"/>
                <w:szCs w:val="14"/>
                <w:color w:val="auto"/>
              </w:rPr>
              <w:t>Current assets:</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Cash and cash equivalents</w:t>
            </w:r>
          </w:p>
        </w:tc>
        <w:tc>
          <w:tcPr>
            <w:tcW w:w="3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7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17,160</w:t>
            </w:r>
          </w:p>
        </w:tc>
        <w:tc>
          <w:tcPr>
            <w:tcW w:w="700" w:type="dxa"/>
            <w:vAlign w:val="bottom"/>
            <w:gridSpan w:val="2"/>
            <w:shd w:val="clear" w:color="auto" w:fill="CCEEFF"/>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16,489</w:t>
            </w:r>
          </w:p>
        </w:tc>
      </w:tr>
      <w:tr>
        <w:trPr>
          <w:trHeight w:val="149"/>
        </w:trPr>
        <w:tc>
          <w:tcPr>
            <w:tcW w:w="7320" w:type="dxa"/>
            <w:vAlign w:val="bottom"/>
          </w:tcPr>
          <w:p>
            <w:pPr>
              <w:ind w:left="180"/>
              <w:spacing w:after="0" w:line="149" w:lineRule="exact"/>
              <w:rPr>
                <w:sz w:val="20"/>
                <w:szCs w:val="20"/>
                <w:color w:val="auto"/>
              </w:rPr>
            </w:pPr>
            <w:r>
              <w:rPr>
                <w:rFonts w:ascii="Arial" w:cs="Arial" w:eastAsia="Arial" w:hAnsi="Arial"/>
                <w:sz w:val="14"/>
                <w:szCs w:val="14"/>
                <w:color w:val="auto"/>
              </w:rPr>
              <w:t>Trade accounts receivable, net of allowance for doubtful accounts of $282 and $288, respectively</w:t>
            </w:r>
          </w:p>
        </w:tc>
        <w:tc>
          <w:tcPr>
            <w:tcW w:w="320" w:type="dxa"/>
            <w:vAlign w:val="bottom"/>
          </w:tcPr>
          <w:p>
            <w:pPr>
              <w:spacing w:after="0"/>
              <w:rPr>
                <w:sz w:val="12"/>
                <w:szCs w:val="12"/>
                <w:color w:val="auto"/>
              </w:rPr>
            </w:pPr>
          </w:p>
        </w:tc>
        <w:tc>
          <w:tcPr>
            <w:tcW w:w="17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10,095</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14,238</w:t>
            </w:r>
          </w:p>
        </w:tc>
      </w:tr>
      <w:tr>
        <w:trPr>
          <w:trHeight w:val="149"/>
        </w:trPr>
        <w:tc>
          <w:tcPr>
            <w:tcW w:w="7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Inventories, net</w:t>
            </w:r>
          </w:p>
        </w:tc>
        <w:tc>
          <w:tcPr>
            <w:tcW w:w="3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27,079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26,053</w:t>
            </w:r>
          </w:p>
        </w:tc>
      </w:tr>
      <w:tr>
        <w:trPr>
          <w:trHeight w:val="149"/>
        </w:trPr>
        <w:tc>
          <w:tcPr>
            <w:tcW w:w="7320" w:type="dxa"/>
            <w:vAlign w:val="bottom"/>
          </w:tcPr>
          <w:p>
            <w:pPr>
              <w:ind w:left="24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320" w:type="dxa"/>
            <w:vAlign w:val="bottom"/>
          </w:tcPr>
          <w:p>
            <w:pPr>
              <w:spacing w:after="0"/>
              <w:rPr>
                <w:sz w:val="12"/>
                <w:szCs w:val="12"/>
                <w:color w:val="auto"/>
              </w:rPr>
            </w:pPr>
          </w:p>
        </w:tc>
        <w:tc>
          <w:tcPr>
            <w:tcW w:w="17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1,043</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1,357</w:t>
            </w:r>
          </w:p>
        </w:tc>
      </w:tr>
      <w:tr>
        <w:trPr>
          <w:trHeight w:val="149"/>
        </w:trPr>
        <w:tc>
          <w:tcPr>
            <w:tcW w:w="7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Due from insurance company</w:t>
            </w:r>
          </w:p>
        </w:tc>
        <w:tc>
          <w:tcPr>
            <w:tcW w:w="3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427</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430</w:t>
            </w:r>
          </w:p>
        </w:tc>
      </w:tr>
      <w:tr>
        <w:trPr>
          <w:trHeight w:val="162"/>
        </w:trPr>
        <w:tc>
          <w:tcPr>
            <w:tcW w:w="732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4"/>
                <w:szCs w:val="14"/>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4"/>
                <w:szCs w:val="14"/>
                <w:color w:val="auto"/>
              </w:rPr>
              <w:t>86</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91</w:t>
            </w:r>
          </w:p>
        </w:tc>
      </w:tr>
      <w:tr>
        <w:trPr>
          <w:trHeight w:val="142"/>
        </w:trPr>
        <w:tc>
          <w:tcPr>
            <w:tcW w:w="732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current assets</w:t>
            </w:r>
          </w:p>
        </w:tc>
        <w:tc>
          <w:tcPr>
            <w:tcW w:w="3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55,890</w:t>
            </w:r>
          </w:p>
        </w:tc>
        <w:tc>
          <w:tcPr>
            <w:tcW w:w="5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58,658</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7320" w:type="dxa"/>
            <w:vAlign w:val="bottom"/>
          </w:tcPr>
          <w:p>
            <w:pPr>
              <w:ind w:left="100"/>
              <w:spacing w:after="0" w:line="149" w:lineRule="exact"/>
              <w:rPr>
                <w:sz w:val="20"/>
                <w:szCs w:val="20"/>
                <w:color w:val="auto"/>
              </w:rPr>
            </w:pPr>
            <w:r>
              <w:rPr>
                <w:rFonts w:ascii="Arial" w:cs="Arial" w:eastAsia="Arial" w:hAnsi="Arial"/>
                <w:sz w:val="14"/>
                <w:szCs w:val="14"/>
                <w:color w:val="auto"/>
              </w:rPr>
              <w:t>Property, equipment and improvements, net</w:t>
            </w:r>
          </w:p>
        </w:tc>
        <w:tc>
          <w:tcPr>
            <w:tcW w:w="320" w:type="dxa"/>
            <w:vAlign w:val="bottom"/>
          </w:tcPr>
          <w:p>
            <w:pPr>
              <w:spacing w:after="0"/>
              <w:rPr>
                <w:sz w:val="12"/>
                <w:szCs w:val="12"/>
                <w:color w:val="auto"/>
              </w:rPr>
            </w:pPr>
          </w:p>
        </w:tc>
        <w:tc>
          <w:tcPr>
            <w:tcW w:w="17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9,916</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10,202</w:t>
            </w:r>
          </w:p>
        </w:tc>
      </w:tr>
      <w:tr>
        <w:trPr>
          <w:trHeight w:val="149"/>
        </w:trPr>
        <w:tc>
          <w:tcPr>
            <w:tcW w:w="7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Goodwill</w:t>
            </w:r>
          </w:p>
        </w:tc>
        <w:tc>
          <w:tcPr>
            <w:tcW w:w="3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16,403</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16,419</w:t>
            </w:r>
          </w:p>
        </w:tc>
      </w:tr>
      <w:tr>
        <w:trPr>
          <w:trHeight w:val="149"/>
        </w:trPr>
        <w:tc>
          <w:tcPr>
            <w:tcW w:w="7320" w:type="dxa"/>
            <w:vAlign w:val="bottom"/>
          </w:tcPr>
          <w:p>
            <w:pPr>
              <w:ind w:left="100"/>
              <w:spacing w:after="0" w:line="149" w:lineRule="exact"/>
              <w:rPr>
                <w:sz w:val="20"/>
                <w:szCs w:val="20"/>
                <w:color w:val="auto"/>
              </w:rPr>
            </w:pPr>
            <w:r>
              <w:rPr>
                <w:rFonts w:ascii="Arial" w:cs="Arial" w:eastAsia="Arial" w:hAnsi="Arial"/>
                <w:sz w:val="14"/>
                <w:szCs w:val="14"/>
                <w:color w:val="auto"/>
              </w:rPr>
              <w:t>Other intangible assets, net</w:t>
            </w:r>
          </w:p>
        </w:tc>
        <w:tc>
          <w:tcPr>
            <w:tcW w:w="320" w:type="dxa"/>
            <w:vAlign w:val="bottom"/>
          </w:tcPr>
          <w:p>
            <w:pPr>
              <w:spacing w:after="0"/>
              <w:rPr>
                <w:sz w:val="12"/>
                <w:szCs w:val="12"/>
                <w:color w:val="auto"/>
              </w:rPr>
            </w:pPr>
          </w:p>
        </w:tc>
        <w:tc>
          <w:tcPr>
            <w:tcW w:w="17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4,490</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4,646</w:t>
            </w:r>
          </w:p>
        </w:tc>
      </w:tr>
      <w:tr>
        <w:trPr>
          <w:trHeight w:val="162"/>
        </w:trPr>
        <w:tc>
          <w:tcPr>
            <w:tcW w:w="7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Security deposits and other non-current assets</w:t>
            </w:r>
          </w:p>
        </w:tc>
        <w:tc>
          <w:tcPr>
            <w:tcW w:w="3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232</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269</w:t>
            </w:r>
          </w:p>
        </w:tc>
      </w:tr>
      <w:tr>
        <w:trPr>
          <w:trHeight w:val="196"/>
        </w:trPr>
        <w:tc>
          <w:tcPr>
            <w:tcW w:w="7320" w:type="dxa"/>
            <w:vAlign w:val="bottom"/>
            <w:tcBorders>
              <w:bottom w:val="single" w:sz="8" w:color="CCEEFF"/>
            </w:tcBorders>
          </w:tcPr>
          <w:p>
            <w:pPr>
              <w:ind w:left="460"/>
              <w:spacing w:after="0" w:line="155" w:lineRule="exact"/>
              <w:rPr>
                <w:sz w:val="20"/>
                <w:szCs w:val="20"/>
                <w:color w:val="auto"/>
              </w:rPr>
            </w:pPr>
            <w:r>
              <w:rPr>
                <w:rFonts w:ascii="Arial" w:cs="Arial" w:eastAsia="Arial" w:hAnsi="Arial"/>
                <w:sz w:val="14"/>
                <w:szCs w:val="14"/>
                <w:color w:val="auto"/>
              </w:rPr>
              <w:t>Total assets</w:t>
            </w:r>
          </w:p>
        </w:tc>
        <w:tc>
          <w:tcPr>
            <w:tcW w:w="320" w:type="dxa"/>
            <w:vAlign w:val="bottom"/>
            <w:tcBorders>
              <w:top w:val="single" w:sz="8" w:color="auto"/>
              <w:bottom w:val="single" w:sz="8" w:color="auto"/>
            </w:tcBorders>
          </w:tcPr>
          <w:p>
            <w:pPr>
              <w:jc w:val="right"/>
              <w:ind w:right="168"/>
              <w:spacing w:after="0" w:line="155" w:lineRule="exact"/>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86,931</w:t>
            </w:r>
          </w:p>
        </w:tc>
        <w:tc>
          <w:tcPr>
            <w:tcW w:w="540" w:type="dxa"/>
            <w:vAlign w:val="bottom"/>
            <w:tcBorders>
              <w:bottom w:val="single" w:sz="8" w:color="CCEEFF"/>
            </w:tcBorders>
          </w:tcPr>
          <w:p>
            <w:pPr>
              <w:spacing w:after="0"/>
              <w:rPr>
                <w:sz w:val="17"/>
                <w:szCs w:val="17"/>
                <w:color w:val="auto"/>
              </w:rPr>
            </w:pPr>
          </w:p>
        </w:tc>
        <w:tc>
          <w:tcPr>
            <w:tcW w:w="480" w:type="dxa"/>
            <w:vAlign w:val="bottom"/>
            <w:tcBorders>
              <w:bottom w:val="single" w:sz="8" w:color="CCEEFF"/>
            </w:tcBorders>
          </w:tcPr>
          <w:p>
            <w:pPr>
              <w:spacing w:after="0"/>
              <w:rPr>
                <w:sz w:val="17"/>
                <w:szCs w:val="17"/>
                <w:color w:val="auto"/>
              </w:rPr>
            </w:pPr>
          </w:p>
        </w:tc>
        <w:tc>
          <w:tcPr>
            <w:tcW w:w="220" w:type="dxa"/>
            <w:vAlign w:val="bottom"/>
            <w:tcBorders>
              <w:top w:val="single" w:sz="8" w:color="auto"/>
              <w:bottom w:val="single" w:sz="8" w:color="auto"/>
            </w:tcBorders>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12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90,194</w:t>
            </w:r>
          </w:p>
        </w:tc>
        <w:tc>
          <w:tcPr>
            <w:tcW w:w="100" w:type="dxa"/>
            <w:vAlign w:val="bottom"/>
            <w:tcBorders>
              <w:bottom w:val="single" w:sz="8" w:color="CCEEFF"/>
            </w:tcBorders>
          </w:tcPr>
          <w:p>
            <w:pPr>
              <w:spacing w:after="0"/>
              <w:rPr>
                <w:sz w:val="17"/>
                <w:szCs w:val="17"/>
                <w:color w:val="auto"/>
              </w:rPr>
            </w:pPr>
          </w:p>
        </w:tc>
      </w:tr>
      <w:tr>
        <w:trPr>
          <w:trHeight w:val="129"/>
        </w:trPr>
        <w:tc>
          <w:tcPr>
            <w:tcW w:w="73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r>
      <w:tr>
        <w:trPr>
          <w:trHeight w:val="149"/>
        </w:trPr>
        <w:tc>
          <w:tcPr>
            <w:tcW w:w="7320" w:type="dxa"/>
            <w:vAlign w:val="bottom"/>
          </w:tcPr>
          <w:p>
            <w:pPr>
              <w:ind w:left="4200"/>
              <w:spacing w:after="0" w:line="149" w:lineRule="exact"/>
              <w:rPr>
                <w:sz w:val="20"/>
                <w:szCs w:val="20"/>
                <w:color w:val="auto"/>
              </w:rPr>
            </w:pPr>
            <w:r>
              <w:rPr>
                <w:rFonts w:ascii="Arial" w:cs="Arial" w:eastAsia="Arial" w:hAnsi="Arial"/>
                <w:sz w:val="14"/>
                <w:szCs w:val="14"/>
                <w:b w:val="1"/>
                <w:bCs w:val="1"/>
                <w:color w:val="auto"/>
              </w:rPr>
              <w:t>LIABILITIES AND SHAREHOLDERS' EQUITY</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3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Current liabilities:</w:t>
            </w: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320" w:type="dxa"/>
            <w:vAlign w:val="bottom"/>
          </w:tcPr>
          <w:p>
            <w:pPr>
              <w:ind w:left="240"/>
              <w:spacing w:after="0" w:line="149" w:lineRule="exact"/>
              <w:rPr>
                <w:sz w:val="20"/>
                <w:szCs w:val="20"/>
                <w:color w:val="auto"/>
              </w:rPr>
            </w:pPr>
            <w:r>
              <w:rPr>
                <w:rFonts w:ascii="Arial" w:cs="Arial" w:eastAsia="Arial" w:hAnsi="Arial"/>
                <w:sz w:val="14"/>
                <w:szCs w:val="14"/>
                <w:color w:val="auto"/>
              </w:rPr>
              <w:t>Accounts payable</w:t>
            </w:r>
          </w:p>
        </w:tc>
        <w:tc>
          <w:tcPr>
            <w:tcW w:w="320" w:type="dxa"/>
            <w:vAlign w:val="bottom"/>
          </w:tcPr>
          <w:p>
            <w:pPr>
              <w:jc w:val="right"/>
              <w:ind w:right="168"/>
              <w:spacing w:after="0" w:line="149" w:lineRule="exact"/>
              <w:rPr>
                <w:sz w:val="20"/>
                <w:szCs w:val="20"/>
                <w:color w:val="auto"/>
              </w:rPr>
            </w:pPr>
            <w:r>
              <w:rPr>
                <w:rFonts w:ascii="Arial" w:cs="Arial" w:eastAsia="Arial" w:hAnsi="Arial"/>
                <w:sz w:val="14"/>
                <w:szCs w:val="14"/>
                <w:color w:val="auto"/>
                <w:w w:val="76"/>
              </w:rPr>
              <w:t>$</w:t>
            </w:r>
          </w:p>
        </w:tc>
        <w:tc>
          <w:tcPr>
            <w:tcW w:w="17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7,115</w:t>
            </w:r>
          </w:p>
        </w:tc>
        <w:tc>
          <w:tcPr>
            <w:tcW w:w="7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w:t>
            </w: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7,053</w:t>
            </w:r>
          </w:p>
        </w:tc>
      </w:tr>
      <w:tr>
        <w:trPr>
          <w:trHeight w:val="149"/>
        </w:trPr>
        <w:tc>
          <w:tcPr>
            <w:tcW w:w="7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Accrued compensation and related benefits</w:t>
            </w:r>
          </w:p>
        </w:tc>
        <w:tc>
          <w:tcPr>
            <w:tcW w:w="3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1,838</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1,908</w:t>
            </w:r>
          </w:p>
        </w:tc>
      </w:tr>
      <w:tr>
        <w:trPr>
          <w:trHeight w:val="149"/>
        </w:trPr>
        <w:tc>
          <w:tcPr>
            <w:tcW w:w="7320" w:type="dxa"/>
            <w:vAlign w:val="bottom"/>
          </w:tcPr>
          <w:p>
            <w:pPr>
              <w:ind w:left="240"/>
              <w:spacing w:after="0" w:line="149" w:lineRule="exact"/>
              <w:rPr>
                <w:sz w:val="20"/>
                <w:szCs w:val="20"/>
                <w:color w:val="auto"/>
              </w:rPr>
            </w:pPr>
            <w:r>
              <w:rPr>
                <w:rFonts w:ascii="Arial" w:cs="Arial" w:eastAsia="Arial" w:hAnsi="Arial"/>
                <w:sz w:val="14"/>
                <w:szCs w:val="14"/>
                <w:color w:val="auto"/>
              </w:rPr>
              <w:t>Accrued expenses and other current liabilities</w:t>
            </w:r>
          </w:p>
        </w:tc>
        <w:tc>
          <w:tcPr>
            <w:tcW w:w="320" w:type="dxa"/>
            <w:vAlign w:val="bottom"/>
          </w:tcPr>
          <w:p>
            <w:pPr>
              <w:spacing w:after="0"/>
              <w:rPr>
                <w:sz w:val="12"/>
                <w:szCs w:val="12"/>
                <w:color w:val="auto"/>
              </w:rPr>
            </w:pPr>
          </w:p>
        </w:tc>
        <w:tc>
          <w:tcPr>
            <w:tcW w:w="17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1,865</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3,111</w:t>
            </w:r>
          </w:p>
        </w:tc>
      </w:tr>
      <w:tr>
        <w:trPr>
          <w:trHeight w:val="149"/>
        </w:trPr>
        <w:tc>
          <w:tcPr>
            <w:tcW w:w="732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Income taxes payable</w:t>
            </w:r>
          </w:p>
        </w:tc>
        <w:tc>
          <w:tcPr>
            <w:tcW w:w="3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35</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94</w:t>
            </w:r>
          </w:p>
        </w:tc>
      </w:tr>
      <w:tr>
        <w:trPr>
          <w:trHeight w:val="162"/>
        </w:trPr>
        <w:tc>
          <w:tcPr>
            <w:tcW w:w="7320" w:type="dxa"/>
            <w:vAlign w:val="bottom"/>
          </w:tcPr>
          <w:p>
            <w:pPr>
              <w:ind w:left="240"/>
              <w:spacing w:after="0"/>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4"/>
                <w:szCs w:val="14"/>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4"/>
                <w:szCs w:val="14"/>
                <w:color w:val="auto"/>
              </w:rPr>
              <w:t>9</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9</w:t>
            </w:r>
          </w:p>
        </w:tc>
      </w:tr>
      <w:tr>
        <w:trPr>
          <w:trHeight w:val="142"/>
        </w:trPr>
        <w:tc>
          <w:tcPr>
            <w:tcW w:w="7320" w:type="dxa"/>
            <w:vAlign w:val="bottom"/>
            <w:tcBorders>
              <w:top w:val="single" w:sz="8" w:color="CCEEFF"/>
            </w:tcBorders>
            <w:shd w:val="clear" w:color="auto" w:fill="CCEEFF"/>
          </w:tcPr>
          <w:p>
            <w:pPr>
              <w:ind w:left="500"/>
              <w:spacing w:after="0" w:line="142" w:lineRule="exact"/>
              <w:rPr>
                <w:sz w:val="20"/>
                <w:szCs w:val="20"/>
                <w:color w:val="auto"/>
              </w:rPr>
            </w:pPr>
            <w:r>
              <w:rPr>
                <w:rFonts w:ascii="Arial" w:cs="Arial" w:eastAsia="Arial" w:hAnsi="Arial"/>
                <w:sz w:val="14"/>
                <w:szCs w:val="14"/>
                <w:color w:val="auto"/>
              </w:rPr>
              <w:t>Total current liabilities</w:t>
            </w:r>
          </w:p>
        </w:tc>
        <w:tc>
          <w:tcPr>
            <w:tcW w:w="3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10,862</w:t>
            </w:r>
          </w:p>
        </w:tc>
        <w:tc>
          <w:tcPr>
            <w:tcW w:w="5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12,175</w:t>
            </w:r>
          </w:p>
        </w:tc>
        <w:tc>
          <w:tcPr>
            <w:tcW w:w="100" w:type="dxa"/>
            <w:vAlign w:val="bottom"/>
            <w:tcBorders>
              <w:top w:val="single" w:sz="8" w:color="CCEEFF"/>
            </w:tcBorders>
            <w:shd w:val="clear" w:color="auto" w:fill="CCEEFF"/>
          </w:tcPr>
          <w:p>
            <w:pPr>
              <w:spacing w:after="0"/>
              <w:rPr>
                <w:sz w:val="12"/>
                <w:szCs w:val="12"/>
                <w:color w:val="auto"/>
              </w:rPr>
            </w:pPr>
          </w:p>
        </w:tc>
      </w:tr>
      <w:tr>
        <w:trPr>
          <w:trHeight w:val="149"/>
        </w:trPr>
        <w:tc>
          <w:tcPr>
            <w:tcW w:w="7320" w:type="dxa"/>
            <w:vAlign w:val="bottom"/>
          </w:tcPr>
          <w:p>
            <w:pPr>
              <w:ind w:left="100"/>
              <w:spacing w:after="0" w:line="149" w:lineRule="exact"/>
              <w:rPr>
                <w:sz w:val="20"/>
                <w:szCs w:val="20"/>
                <w:color w:val="auto"/>
              </w:rPr>
            </w:pPr>
            <w:r>
              <w:rPr>
                <w:rFonts w:ascii="Arial" w:cs="Arial" w:eastAsia="Arial" w:hAnsi="Arial"/>
                <w:sz w:val="14"/>
                <w:szCs w:val="14"/>
                <w:color w:val="auto"/>
              </w:rPr>
              <w:t>Deferred income taxes</w:t>
            </w:r>
          </w:p>
        </w:tc>
        <w:tc>
          <w:tcPr>
            <w:tcW w:w="320" w:type="dxa"/>
            <w:vAlign w:val="bottom"/>
          </w:tcPr>
          <w:p>
            <w:pPr>
              <w:spacing w:after="0"/>
              <w:rPr>
                <w:sz w:val="12"/>
                <w:szCs w:val="12"/>
                <w:color w:val="auto"/>
              </w:rPr>
            </w:pPr>
          </w:p>
        </w:tc>
        <w:tc>
          <w:tcPr>
            <w:tcW w:w="1720" w:type="dxa"/>
            <w:vAlign w:val="bottom"/>
            <w:gridSpan w:val="2"/>
          </w:tcPr>
          <w:p>
            <w:pPr>
              <w:jc w:val="right"/>
              <w:ind w:right="540"/>
              <w:spacing w:after="0" w:line="149" w:lineRule="exact"/>
              <w:rPr>
                <w:sz w:val="20"/>
                <w:szCs w:val="20"/>
                <w:color w:val="auto"/>
              </w:rPr>
            </w:pPr>
            <w:r>
              <w:rPr>
                <w:rFonts w:ascii="Arial" w:cs="Arial" w:eastAsia="Arial" w:hAnsi="Arial"/>
                <w:sz w:val="14"/>
                <w:szCs w:val="14"/>
                <w:color w:val="auto"/>
              </w:rPr>
              <w:t>4,352</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4,242</w:t>
            </w:r>
          </w:p>
        </w:tc>
      </w:tr>
      <w:tr>
        <w:trPr>
          <w:trHeight w:val="162"/>
        </w:trPr>
        <w:tc>
          <w:tcPr>
            <w:tcW w:w="73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Other non-current liabilities</w:t>
            </w:r>
          </w:p>
        </w:tc>
        <w:tc>
          <w:tcPr>
            <w:tcW w:w="320" w:type="dxa"/>
            <w:vAlign w:val="bottom"/>
            <w:shd w:val="clear" w:color="auto" w:fill="CCEEFF"/>
          </w:tcPr>
          <w:p>
            <w:pPr>
              <w:spacing w:after="0"/>
              <w:rPr>
                <w:sz w:val="14"/>
                <w:szCs w:val="14"/>
                <w:color w:val="auto"/>
              </w:rPr>
            </w:pP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98</w:t>
            </w:r>
          </w:p>
        </w:tc>
        <w:tc>
          <w:tcPr>
            <w:tcW w:w="4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132</w:t>
            </w:r>
          </w:p>
        </w:tc>
      </w:tr>
      <w:tr>
        <w:trPr>
          <w:trHeight w:val="142"/>
        </w:trPr>
        <w:tc>
          <w:tcPr>
            <w:tcW w:w="7320" w:type="dxa"/>
            <w:vAlign w:val="bottom"/>
            <w:tcBorders>
              <w:bottom w:val="single" w:sz="8" w:color="CCEEFF"/>
            </w:tcBorders>
          </w:tcPr>
          <w:p>
            <w:pPr>
              <w:ind w:left="500"/>
              <w:spacing w:after="0" w:line="142" w:lineRule="exact"/>
              <w:rPr>
                <w:sz w:val="20"/>
                <w:szCs w:val="20"/>
                <w:color w:val="auto"/>
              </w:rPr>
            </w:pPr>
            <w:r>
              <w:rPr>
                <w:rFonts w:ascii="Arial" w:cs="Arial" w:eastAsia="Arial" w:hAnsi="Arial"/>
                <w:sz w:val="14"/>
                <w:szCs w:val="14"/>
                <w:color w:val="auto"/>
              </w:rPr>
              <w:t>Total liabilities</w:t>
            </w:r>
          </w:p>
        </w:tc>
        <w:tc>
          <w:tcPr>
            <w:tcW w:w="32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15,312</w:t>
            </w:r>
          </w:p>
        </w:tc>
        <w:tc>
          <w:tcPr>
            <w:tcW w:w="540" w:type="dxa"/>
            <w:vAlign w:val="bottom"/>
            <w:tcBorders>
              <w:bottom w:val="single" w:sz="8" w:color="CCEEFF"/>
            </w:tcBorders>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16,549</w:t>
            </w:r>
          </w:p>
        </w:tc>
        <w:tc>
          <w:tcPr>
            <w:tcW w:w="100" w:type="dxa"/>
            <w:vAlign w:val="bottom"/>
            <w:tcBorders>
              <w:bottom w:val="single" w:sz="8" w:color="CCEEFF"/>
            </w:tcBorders>
          </w:tcPr>
          <w:p>
            <w:pPr>
              <w:spacing w:after="0"/>
              <w:rPr>
                <w:sz w:val="12"/>
                <w:szCs w:val="12"/>
                <w:color w:val="auto"/>
              </w:rPr>
            </w:pPr>
          </w:p>
        </w:tc>
      </w:tr>
      <w:tr>
        <w:trPr>
          <w:trHeight w:val="142"/>
        </w:trPr>
        <w:tc>
          <w:tcPr>
            <w:tcW w:w="7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320" w:type="dxa"/>
            <w:vAlign w:val="bottom"/>
          </w:tcPr>
          <w:p>
            <w:pPr>
              <w:ind w:left="100"/>
              <w:spacing w:after="0" w:line="149" w:lineRule="exact"/>
              <w:rPr>
                <w:sz w:val="20"/>
                <w:szCs w:val="20"/>
                <w:color w:val="auto"/>
              </w:rPr>
            </w:pPr>
            <w:r>
              <w:rPr>
                <w:rFonts w:ascii="Arial" w:cs="Arial" w:eastAsia="Arial" w:hAnsi="Arial"/>
                <w:sz w:val="14"/>
                <w:szCs w:val="14"/>
                <w:color w:val="auto"/>
              </w:rPr>
              <w:t>Commitments and contingencies (Note 10)</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3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r>
      <w:tr>
        <w:trPr>
          <w:trHeight w:val="149"/>
        </w:trPr>
        <w:tc>
          <w:tcPr>
            <w:tcW w:w="7320" w:type="dxa"/>
            <w:vAlign w:val="bottom"/>
          </w:tcPr>
          <w:p>
            <w:pPr>
              <w:ind w:left="100"/>
              <w:spacing w:after="0" w:line="149" w:lineRule="exact"/>
              <w:rPr>
                <w:sz w:val="20"/>
                <w:szCs w:val="20"/>
                <w:color w:val="auto"/>
              </w:rPr>
            </w:pPr>
            <w:r>
              <w:rPr>
                <w:rFonts w:ascii="Arial" w:cs="Arial" w:eastAsia="Arial" w:hAnsi="Arial"/>
                <w:sz w:val="14"/>
                <w:szCs w:val="14"/>
                <w:color w:val="auto"/>
              </w:rPr>
              <w:t>Shareholders' equity:</w:t>
            </w: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9"/>
        </w:trPr>
        <w:tc>
          <w:tcPr>
            <w:tcW w:w="73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Preferred stock – par value $.10 per share; authorized 1,000,000 shares; none issued</w:t>
            </w:r>
          </w:p>
        </w:tc>
        <w:tc>
          <w:tcPr>
            <w:tcW w:w="3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60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r>
      <w:tr>
        <w:trPr>
          <w:trHeight w:val="130"/>
        </w:trPr>
        <w:tc>
          <w:tcPr>
            <w:tcW w:w="7320" w:type="dxa"/>
            <w:vAlign w:val="bottom"/>
          </w:tcPr>
          <w:p>
            <w:pPr>
              <w:ind w:left="140"/>
              <w:spacing w:after="0" w:line="130" w:lineRule="exact"/>
              <w:rPr>
                <w:sz w:val="20"/>
                <w:szCs w:val="20"/>
                <w:color w:val="auto"/>
              </w:rPr>
            </w:pPr>
            <w:r>
              <w:rPr>
                <w:rFonts w:ascii="Arial" w:cs="Arial" w:eastAsia="Arial" w:hAnsi="Arial"/>
                <w:sz w:val="14"/>
                <w:szCs w:val="14"/>
                <w:color w:val="auto"/>
              </w:rPr>
              <w:t>Common stock – par value $.10 per share; authorized 40,000,000 shares; issued – 18,924,359 shares at June</w:t>
            </w:r>
          </w:p>
        </w:tc>
        <w:tc>
          <w:tcPr>
            <w:tcW w:w="3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67"/>
        </w:trPr>
        <w:tc>
          <w:tcPr>
            <w:tcW w:w="7320" w:type="dxa"/>
            <w:vAlign w:val="bottom"/>
          </w:tcPr>
          <w:p>
            <w:pPr>
              <w:ind w:left="320"/>
              <w:spacing w:after="0"/>
              <w:rPr>
                <w:sz w:val="20"/>
                <w:szCs w:val="20"/>
                <w:color w:val="auto"/>
              </w:rPr>
            </w:pPr>
            <w:r>
              <w:rPr>
                <w:rFonts w:ascii="Arial" w:cs="Arial" w:eastAsia="Arial" w:hAnsi="Arial"/>
                <w:sz w:val="14"/>
                <w:szCs w:val="14"/>
                <w:color w:val="auto"/>
              </w:rPr>
              <w:t>29, 2014 and 18,851,579 shares at December 31, 2013</w:t>
            </w:r>
          </w:p>
        </w:tc>
        <w:tc>
          <w:tcPr>
            <w:tcW w:w="320" w:type="dxa"/>
            <w:vAlign w:val="bottom"/>
          </w:tcPr>
          <w:p>
            <w:pPr>
              <w:spacing w:after="0"/>
              <w:rPr>
                <w:sz w:val="14"/>
                <w:szCs w:val="14"/>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4"/>
                <w:szCs w:val="14"/>
                <w:color w:val="auto"/>
              </w:rPr>
              <w:t>1,892</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4"/>
                <w:szCs w:val="14"/>
                <w:color w:val="auto"/>
              </w:rPr>
              <w:t>1,888</w:t>
            </w:r>
          </w:p>
        </w:tc>
      </w:tr>
      <w:tr>
        <w:trPr>
          <w:trHeight w:val="149"/>
        </w:trPr>
        <w:tc>
          <w:tcPr>
            <w:tcW w:w="7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Capital in excess of par value</w:t>
            </w:r>
          </w:p>
        </w:tc>
        <w:tc>
          <w:tcPr>
            <w:tcW w:w="3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540"/>
              <w:spacing w:after="0" w:line="149" w:lineRule="exact"/>
              <w:rPr>
                <w:sz w:val="20"/>
                <w:szCs w:val="20"/>
                <w:color w:val="auto"/>
              </w:rPr>
            </w:pPr>
            <w:r>
              <w:rPr>
                <w:rFonts w:ascii="Arial" w:cs="Arial" w:eastAsia="Arial" w:hAnsi="Arial"/>
                <w:sz w:val="14"/>
                <w:szCs w:val="14"/>
                <w:color w:val="auto"/>
              </w:rPr>
              <w:t>175,462</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174,932</w:t>
            </w:r>
          </w:p>
        </w:tc>
      </w:tr>
      <w:tr>
        <w:trPr>
          <w:trHeight w:val="149"/>
        </w:trPr>
        <w:tc>
          <w:tcPr>
            <w:tcW w:w="7320" w:type="dxa"/>
            <w:vAlign w:val="bottom"/>
          </w:tcPr>
          <w:p>
            <w:pPr>
              <w:ind w:left="140"/>
              <w:spacing w:after="0" w:line="149" w:lineRule="exact"/>
              <w:rPr>
                <w:sz w:val="20"/>
                <w:szCs w:val="20"/>
                <w:color w:val="auto"/>
              </w:rPr>
            </w:pPr>
            <w:r>
              <w:rPr>
                <w:rFonts w:ascii="Arial" w:cs="Arial" w:eastAsia="Arial" w:hAnsi="Arial"/>
                <w:sz w:val="14"/>
                <w:szCs w:val="14"/>
                <w:color w:val="auto"/>
              </w:rPr>
              <w:t>Accumulated deficit</w:t>
            </w:r>
          </w:p>
        </w:tc>
        <w:tc>
          <w:tcPr>
            <w:tcW w:w="320" w:type="dxa"/>
            <w:vAlign w:val="bottom"/>
          </w:tcPr>
          <w:p>
            <w:pPr>
              <w:spacing w:after="0"/>
              <w:rPr>
                <w:sz w:val="12"/>
                <w:szCs w:val="12"/>
                <w:color w:val="auto"/>
              </w:rPr>
            </w:pPr>
          </w:p>
        </w:tc>
        <w:tc>
          <w:tcPr>
            <w:tcW w:w="1720" w:type="dxa"/>
            <w:vAlign w:val="bottom"/>
            <w:gridSpan w:val="2"/>
          </w:tcPr>
          <w:p>
            <w:pPr>
              <w:jc w:val="right"/>
              <w:ind w:right="480"/>
              <w:spacing w:after="0" w:line="149" w:lineRule="exact"/>
              <w:rPr>
                <w:sz w:val="20"/>
                <w:szCs w:val="20"/>
                <w:color w:val="auto"/>
              </w:rPr>
            </w:pPr>
            <w:r>
              <w:rPr>
                <w:rFonts w:ascii="Arial" w:cs="Arial" w:eastAsia="Arial" w:hAnsi="Arial"/>
                <w:sz w:val="14"/>
                <w:szCs w:val="14"/>
                <w:color w:val="auto"/>
              </w:rPr>
              <w:t>(97,450)</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3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(94,804)</w:t>
            </w:r>
          </w:p>
        </w:tc>
      </w:tr>
      <w:tr>
        <w:trPr>
          <w:trHeight w:val="149"/>
        </w:trPr>
        <w:tc>
          <w:tcPr>
            <w:tcW w:w="7320" w:type="dxa"/>
            <w:vAlign w:val="bottom"/>
            <w:shd w:val="clear" w:color="auto" w:fill="CCEEFF"/>
          </w:tcPr>
          <w:p>
            <w:pPr>
              <w:ind w:left="140"/>
              <w:spacing w:after="0" w:line="149" w:lineRule="exact"/>
              <w:rPr>
                <w:sz w:val="20"/>
                <w:szCs w:val="20"/>
                <w:color w:val="auto"/>
              </w:rPr>
            </w:pPr>
            <w:r>
              <w:rPr>
                <w:rFonts w:ascii="Arial" w:cs="Arial" w:eastAsia="Arial" w:hAnsi="Arial"/>
                <w:sz w:val="14"/>
                <w:szCs w:val="14"/>
                <w:color w:val="auto"/>
              </w:rPr>
              <w:t>Accumulated other comprehensive loss</w:t>
            </w:r>
          </w:p>
        </w:tc>
        <w:tc>
          <w:tcPr>
            <w:tcW w:w="320" w:type="dxa"/>
            <w:vAlign w:val="bottom"/>
            <w:shd w:val="clear" w:color="auto" w:fill="CCEEFF"/>
          </w:tcPr>
          <w:p>
            <w:pPr>
              <w:spacing w:after="0"/>
              <w:rPr>
                <w:sz w:val="12"/>
                <w:szCs w:val="12"/>
                <w:color w:val="auto"/>
              </w:rPr>
            </w:pPr>
          </w:p>
        </w:tc>
        <w:tc>
          <w:tcPr>
            <w:tcW w:w="1720" w:type="dxa"/>
            <w:vAlign w:val="bottom"/>
            <w:gridSpan w:val="2"/>
            <w:shd w:val="clear" w:color="auto" w:fill="CCEEFF"/>
          </w:tcPr>
          <w:p>
            <w:pPr>
              <w:jc w:val="right"/>
              <w:ind w:right="480"/>
              <w:spacing w:after="0" w:line="149" w:lineRule="exact"/>
              <w:rPr>
                <w:sz w:val="20"/>
                <w:szCs w:val="20"/>
                <w:color w:val="auto"/>
              </w:rPr>
            </w:pPr>
            <w:r>
              <w:rPr>
                <w:rFonts w:ascii="Arial" w:cs="Arial" w:eastAsia="Arial" w:hAnsi="Arial"/>
                <w:sz w:val="14"/>
                <w:szCs w:val="14"/>
                <w:color w:val="auto"/>
              </w:rPr>
              <w:t>(479)</w:t>
            </w: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36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(614)</w:t>
            </w:r>
          </w:p>
        </w:tc>
      </w:tr>
      <w:tr>
        <w:trPr>
          <w:trHeight w:val="162"/>
        </w:trPr>
        <w:tc>
          <w:tcPr>
            <w:tcW w:w="7320" w:type="dxa"/>
            <w:vAlign w:val="bottom"/>
          </w:tcPr>
          <w:p>
            <w:pPr>
              <w:ind w:left="140"/>
              <w:spacing w:after="0"/>
              <w:rPr>
                <w:sz w:val="20"/>
                <w:szCs w:val="20"/>
                <w:color w:val="auto"/>
              </w:rPr>
            </w:pPr>
            <w:r>
              <w:rPr>
                <w:rFonts w:ascii="Arial" w:cs="Arial" w:eastAsia="Arial" w:hAnsi="Arial"/>
                <w:sz w:val="14"/>
                <w:szCs w:val="14"/>
                <w:color w:val="auto"/>
              </w:rPr>
              <w:t>Treasury stock - at cost; 1,383,977 shares at June 29, 2014 and 1,372,757 shares at December 31, 2013</w:t>
            </w:r>
          </w:p>
        </w:tc>
        <w:tc>
          <w:tcPr>
            <w:tcW w:w="32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color w:val="auto"/>
              </w:rPr>
              <w:t>(7,697)</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(7,658)</w:t>
            </w:r>
          </w:p>
        </w:tc>
      </w:tr>
      <w:tr>
        <w:trPr>
          <w:trHeight w:val="142"/>
        </w:trPr>
        <w:tc>
          <w:tcPr>
            <w:tcW w:w="732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Ultralife equity</w:t>
            </w:r>
          </w:p>
        </w:tc>
        <w:tc>
          <w:tcPr>
            <w:tcW w:w="32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71,728</w:t>
            </w:r>
          </w:p>
        </w:tc>
        <w:tc>
          <w:tcPr>
            <w:tcW w:w="5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12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73,744</w:t>
            </w:r>
          </w:p>
        </w:tc>
        <w:tc>
          <w:tcPr>
            <w:tcW w:w="100" w:type="dxa"/>
            <w:vAlign w:val="bottom"/>
            <w:tcBorders>
              <w:top w:val="single" w:sz="8" w:color="CCEEFF"/>
            </w:tcBorders>
            <w:shd w:val="clear" w:color="auto" w:fill="CCEEFF"/>
          </w:tcPr>
          <w:p>
            <w:pPr>
              <w:spacing w:after="0"/>
              <w:rPr>
                <w:sz w:val="12"/>
                <w:szCs w:val="12"/>
                <w:color w:val="auto"/>
              </w:rPr>
            </w:pPr>
          </w:p>
        </w:tc>
      </w:tr>
      <w:tr>
        <w:trPr>
          <w:trHeight w:val="162"/>
        </w:trPr>
        <w:tc>
          <w:tcPr>
            <w:tcW w:w="7320" w:type="dxa"/>
            <w:vAlign w:val="bottom"/>
          </w:tcPr>
          <w:p>
            <w:pPr>
              <w:ind w:left="100"/>
              <w:spacing w:after="0"/>
              <w:rPr>
                <w:sz w:val="20"/>
                <w:szCs w:val="20"/>
                <w:color w:val="auto"/>
              </w:rPr>
            </w:pPr>
            <w:r>
              <w:rPr>
                <w:rFonts w:ascii="Arial" w:cs="Arial" w:eastAsia="Arial" w:hAnsi="Arial"/>
                <w:sz w:val="14"/>
                <w:szCs w:val="14"/>
                <w:color w:val="auto"/>
              </w:rPr>
              <w:t>Noncontrolling interest</w:t>
            </w:r>
          </w:p>
        </w:tc>
        <w:tc>
          <w:tcPr>
            <w:tcW w:w="320" w:type="dxa"/>
            <w:vAlign w:val="bottom"/>
          </w:tcPr>
          <w:p>
            <w:pPr>
              <w:spacing w:after="0"/>
              <w:rPr>
                <w:sz w:val="14"/>
                <w:szCs w:val="14"/>
                <w:color w:val="auto"/>
              </w:rPr>
            </w:pPr>
          </w:p>
        </w:tc>
        <w:tc>
          <w:tcPr>
            <w:tcW w:w="1720" w:type="dxa"/>
            <w:vAlign w:val="bottom"/>
            <w:gridSpan w:val="2"/>
          </w:tcPr>
          <w:p>
            <w:pPr>
              <w:jc w:val="right"/>
              <w:ind w:right="480"/>
              <w:spacing w:after="0"/>
              <w:rPr>
                <w:sz w:val="20"/>
                <w:szCs w:val="20"/>
                <w:color w:val="auto"/>
              </w:rPr>
            </w:pPr>
            <w:r>
              <w:rPr>
                <w:rFonts w:ascii="Arial" w:cs="Arial" w:eastAsia="Arial" w:hAnsi="Arial"/>
                <w:sz w:val="14"/>
                <w:szCs w:val="14"/>
                <w:color w:val="auto"/>
              </w:rPr>
              <w:t>(109)</w:t>
            </w:r>
          </w:p>
        </w:tc>
        <w:tc>
          <w:tcPr>
            <w:tcW w:w="4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4"/>
                <w:szCs w:val="14"/>
                <w:color w:val="auto"/>
              </w:rPr>
              <w:t>(99)</w:t>
            </w:r>
          </w:p>
        </w:tc>
      </w:tr>
      <w:tr>
        <w:trPr>
          <w:trHeight w:val="142"/>
        </w:trPr>
        <w:tc>
          <w:tcPr>
            <w:tcW w:w="7320" w:type="dxa"/>
            <w:vAlign w:val="bottom"/>
            <w:tcBorders>
              <w:top w:val="single" w:sz="8" w:color="CCEEFF"/>
            </w:tcBorders>
            <w:shd w:val="clear" w:color="auto" w:fill="CCEEFF"/>
          </w:tcPr>
          <w:p>
            <w:pPr>
              <w:ind w:left="460"/>
              <w:spacing w:after="0" w:line="142" w:lineRule="exact"/>
              <w:rPr>
                <w:sz w:val="20"/>
                <w:szCs w:val="20"/>
                <w:color w:val="auto"/>
              </w:rPr>
            </w:pPr>
            <w:r>
              <w:rPr>
                <w:rFonts w:ascii="Arial" w:cs="Arial" w:eastAsia="Arial" w:hAnsi="Arial"/>
                <w:sz w:val="14"/>
                <w:szCs w:val="14"/>
                <w:color w:val="auto"/>
              </w:rPr>
              <w:t>Total shareholders’ equity</w:t>
            </w:r>
          </w:p>
        </w:tc>
        <w:tc>
          <w:tcPr>
            <w:tcW w:w="32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71,619</w:t>
            </w:r>
          </w:p>
        </w:tc>
        <w:tc>
          <w:tcPr>
            <w:tcW w:w="54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rPr>
                <w:sz w:val="12"/>
                <w:szCs w:val="12"/>
                <w:color w:val="auto"/>
              </w:rPr>
            </w:pP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73,645</w:t>
            </w:r>
          </w:p>
        </w:tc>
        <w:tc>
          <w:tcPr>
            <w:tcW w:w="100" w:type="dxa"/>
            <w:vAlign w:val="bottom"/>
            <w:tcBorders>
              <w:top w:val="single" w:sz="8" w:color="CCEEFF"/>
            </w:tcBorders>
            <w:shd w:val="clear" w:color="auto" w:fill="CCEEFF"/>
          </w:tcPr>
          <w:p>
            <w:pPr>
              <w:spacing w:after="0"/>
              <w:rPr>
                <w:sz w:val="12"/>
                <w:szCs w:val="12"/>
                <w:color w:val="auto"/>
              </w:rPr>
            </w:pPr>
          </w:p>
        </w:tc>
      </w:tr>
      <w:tr>
        <w:trPr>
          <w:trHeight w:val="142"/>
        </w:trPr>
        <w:tc>
          <w:tcPr>
            <w:tcW w:w="7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6"/>
        </w:trPr>
        <w:tc>
          <w:tcPr>
            <w:tcW w:w="7320" w:type="dxa"/>
            <w:vAlign w:val="bottom"/>
            <w:shd w:val="clear" w:color="auto" w:fill="CCEEFF"/>
          </w:tcPr>
          <w:p>
            <w:pPr>
              <w:ind w:left="460"/>
              <w:spacing w:after="0"/>
              <w:rPr>
                <w:sz w:val="20"/>
                <w:szCs w:val="20"/>
                <w:color w:val="auto"/>
              </w:rPr>
            </w:pPr>
            <w:r>
              <w:rPr>
                <w:rFonts w:ascii="Arial" w:cs="Arial" w:eastAsia="Arial" w:hAnsi="Arial"/>
                <w:sz w:val="14"/>
                <w:szCs w:val="14"/>
                <w:color w:val="auto"/>
              </w:rPr>
              <w:t>Total liabilities and shareholders' equity</w:t>
            </w:r>
          </w:p>
        </w:tc>
        <w:tc>
          <w:tcPr>
            <w:tcW w:w="3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76"/>
              </w:rPr>
              <w:t>$</w:t>
            </w:r>
          </w:p>
        </w:tc>
        <w:tc>
          <w:tcPr>
            <w:tcW w:w="1720" w:type="dxa"/>
            <w:vAlign w:val="bottom"/>
            <w:gridSpan w:val="2"/>
            <w:shd w:val="clear" w:color="auto" w:fill="CCEEFF"/>
          </w:tcPr>
          <w:p>
            <w:pPr>
              <w:jc w:val="right"/>
              <w:ind w:right="540"/>
              <w:spacing w:after="0"/>
              <w:rPr>
                <w:sz w:val="20"/>
                <w:szCs w:val="20"/>
                <w:color w:val="auto"/>
              </w:rPr>
            </w:pPr>
            <w:r>
              <w:rPr>
                <w:rFonts w:ascii="Arial" w:cs="Arial" w:eastAsia="Arial" w:hAnsi="Arial"/>
                <w:sz w:val="14"/>
                <w:szCs w:val="14"/>
                <w:color w:val="auto"/>
              </w:rPr>
              <w:t>86,931</w:t>
            </w:r>
          </w:p>
        </w:tc>
        <w:tc>
          <w:tcPr>
            <w:tcW w:w="7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90,194</w:t>
            </w: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bl>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7246620" cy="946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17"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ULTRALIFE CORPORATION AND SUBSIDIARIES</w:t>
      </w:r>
    </w:p>
    <w:p>
      <w:pPr>
        <w:jc w:val="center"/>
        <w:spacing w:after="0" w:line="226" w:lineRule="auto"/>
        <w:rPr>
          <w:sz w:val="20"/>
          <w:szCs w:val="20"/>
          <w:color w:val="auto"/>
        </w:rPr>
      </w:pPr>
      <w:r>
        <w:rPr>
          <w:rFonts w:ascii="Arial" w:cs="Arial" w:eastAsia="Arial" w:hAnsi="Arial"/>
          <w:sz w:val="14"/>
          <w:szCs w:val="14"/>
          <w:b w:val="1"/>
          <w:bCs w:val="1"/>
          <w:color w:val="auto"/>
        </w:rPr>
        <w:t>CONSOLIDATED STATEMENTS OF OPERATIONS AND</w:t>
      </w:r>
    </w:p>
    <w:p>
      <w:pPr>
        <w:jc w:val="center"/>
        <w:spacing w:after="0" w:line="222" w:lineRule="auto"/>
        <w:rPr>
          <w:sz w:val="20"/>
          <w:szCs w:val="20"/>
          <w:color w:val="auto"/>
        </w:rPr>
      </w:pPr>
      <w:r>
        <w:rPr>
          <w:rFonts w:ascii="Arial" w:cs="Arial" w:eastAsia="Arial" w:hAnsi="Arial"/>
          <w:sz w:val="14"/>
          <w:szCs w:val="14"/>
          <w:b w:val="1"/>
          <w:bCs w:val="1"/>
          <w:color w:val="auto"/>
        </w:rPr>
        <w:t>COMPREHENSIVE LOSS</w:t>
      </w:r>
    </w:p>
    <w:p>
      <w:pPr>
        <w:jc w:val="center"/>
        <w:spacing w:after="0" w:line="221" w:lineRule="auto"/>
        <w:rPr>
          <w:sz w:val="20"/>
          <w:szCs w:val="20"/>
          <w:color w:val="auto"/>
        </w:rPr>
      </w:pPr>
      <w:r>
        <w:rPr>
          <w:rFonts w:ascii="Arial" w:cs="Arial" w:eastAsia="Arial" w:hAnsi="Arial"/>
          <w:sz w:val="14"/>
          <w:szCs w:val="14"/>
          <w:b w:val="1"/>
          <w:bCs w:val="1"/>
          <w:color w:val="auto"/>
        </w:rPr>
        <w:t>(In Thousands except per share amounts)</w:t>
      </w:r>
    </w:p>
    <w:p>
      <w:pPr>
        <w:jc w:val="center"/>
        <w:spacing w:after="0"/>
        <w:rPr>
          <w:sz w:val="20"/>
          <w:szCs w:val="20"/>
          <w:color w:val="auto"/>
        </w:rPr>
      </w:pPr>
      <w:r>
        <w:rPr>
          <w:rFonts w:ascii="Arial" w:cs="Arial" w:eastAsia="Arial" w:hAnsi="Arial"/>
          <w:sz w:val="14"/>
          <w:szCs w:val="14"/>
          <w:b w:val="1"/>
          <w:bCs w:val="1"/>
          <w:color w:val="auto"/>
        </w:rPr>
        <w:t>(unaudited)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jc w:val="right"/>
              <w:ind w:right="659"/>
              <w:spacing w:after="0"/>
              <w:rPr>
                <w:sz w:val="20"/>
                <w:szCs w:val="20"/>
                <w:color w:val="auto"/>
              </w:rPr>
            </w:pPr>
            <w:r>
              <w:rPr>
                <w:rFonts w:ascii="Arial" w:cs="Arial" w:eastAsia="Arial" w:hAnsi="Arial"/>
                <w:sz w:val="14"/>
                <w:szCs w:val="14"/>
                <w:b w:val="1"/>
                <w:bCs w:val="1"/>
                <w:color w:val="auto"/>
              </w:rPr>
              <w:t>Three month periods ended</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Six month periods ended</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June 29,</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379"/>
              <w:spacing w:after="0"/>
              <w:rPr>
                <w:sz w:val="20"/>
                <w:szCs w:val="20"/>
                <w:color w:val="auto"/>
              </w:rPr>
            </w:pPr>
            <w:r>
              <w:rPr>
                <w:rFonts w:ascii="Arial" w:cs="Arial" w:eastAsia="Arial" w:hAnsi="Arial"/>
                <w:sz w:val="14"/>
                <w:szCs w:val="14"/>
                <w:b w:val="1"/>
                <w:bCs w:val="1"/>
                <w:color w:val="auto"/>
              </w:rPr>
              <w:t>June 30,</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June 29,</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4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69"/>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Revenues</w:t>
            </w:r>
          </w:p>
        </w:tc>
        <w:tc>
          <w:tcPr>
            <w:tcW w:w="500" w:type="dxa"/>
            <w:vAlign w:val="bottom"/>
            <w:gridSpan w:val="2"/>
            <w:shd w:val="clear" w:color="auto" w:fill="CCEEFF"/>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15,199</w:t>
            </w:r>
          </w:p>
        </w:tc>
        <w:tc>
          <w:tcPr>
            <w:tcW w:w="60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17,279</w:t>
            </w:r>
          </w:p>
        </w:tc>
        <w:tc>
          <w:tcPr>
            <w:tcW w:w="580" w:type="dxa"/>
            <w:vAlign w:val="bottom"/>
            <w:gridSpan w:val="2"/>
            <w:shd w:val="clear" w:color="auto" w:fill="CCEEFF"/>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30,484</w:t>
            </w:r>
          </w:p>
        </w:tc>
        <w:tc>
          <w:tcPr>
            <w:tcW w:w="58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38,298</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ind w:left="80"/>
              <w:spacing w:after="0"/>
              <w:rPr>
                <w:sz w:val="20"/>
                <w:szCs w:val="20"/>
                <w:color w:val="auto"/>
              </w:rPr>
            </w:pPr>
            <w:r>
              <w:rPr>
                <w:rFonts w:ascii="Arial" w:cs="Arial" w:eastAsia="Arial" w:hAnsi="Arial"/>
                <w:sz w:val="14"/>
                <w:szCs w:val="14"/>
                <w:b w:val="1"/>
                <w:bCs w:val="1"/>
                <w:color w:val="auto"/>
              </w:rPr>
              <w:t>Cost of products sold</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10,987</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4"/>
                <w:szCs w:val="14"/>
                <w:color w:val="auto"/>
              </w:rPr>
              <w:t>12,757</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21,937</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27,397</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CCEEFF"/>
            </w:tcBorders>
            <w:shd w:val="clear" w:color="auto" w:fill="CCEEFF"/>
          </w:tcPr>
          <w:p>
            <w:pPr>
              <w:ind w:left="260"/>
              <w:spacing w:after="0" w:line="142" w:lineRule="exact"/>
              <w:rPr>
                <w:sz w:val="20"/>
                <w:szCs w:val="20"/>
                <w:color w:val="auto"/>
              </w:rPr>
            </w:pPr>
            <w:r>
              <w:rPr>
                <w:rFonts w:ascii="Arial" w:cs="Arial" w:eastAsia="Arial" w:hAnsi="Arial"/>
                <w:sz w:val="14"/>
                <w:szCs w:val="14"/>
                <w:b w:val="1"/>
                <w:bCs w:val="1"/>
                <w:color w:val="auto"/>
              </w:rPr>
              <w:t>Gross profit</w:t>
            </w: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4,212</w:t>
            </w: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4,522</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8,547</w:t>
            </w: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10,901</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Operating expenses:</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Research and development</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1,560</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1,669</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2,996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3,038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Selling, general and administrative</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3,976</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4,727</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7,971</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9,362</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bottom w:val="single" w:sz="8" w:color="CCEEFF"/>
            </w:tcBorders>
          </w:tcPr>
          <w:p>
            <w:pPr>
              <w:ind w:left="260"/>
              <w:spacing w:after="0" w:line="142" w:lineRule="exact"/>
              <w:rPr>
                <w:sz w:val="20"/>
                <w:szCs w:val="20"/>
                <w:color w:val="auto"/>
              </w:rPr>
            </w:pPr>
            <w:r>
              <w:rPr>
                <w:rFonts w:ascii="Arial" w:cs="Arial" w:eastAsia="Arial" w:hAnsi="Arial"/>
                <w:sz w:val="14"/>
                <w:szCs w:val="14"/>
                <w:color w:val="auto"/>
              </w:rPr>
              <w:t>Total operating expenses</w:t>
            </w:r>
          </w:p>
        </w:tc>
        <w:tc>
          <w:tcPr>
            <w:tcW w:w="24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5,536</w:t>
            </w:r>
          </w:p>
        </w:tc>
        <w:tc>
          <w:tcPr>
            <w:tcW w:w="120" w:type="dxa"/>
            <w:vAlign w:val="bottom"/>
            <w:tcBorders>
              <w:bottom w:val="single" w:sz="8" w:color="CCEEFF"/>
            </w:tcBorders>
          </w:tcPr>
          <w:p>
            <w:pPr>
              <w:spacing w:after="0"/>
              <w:rPr>
                <w:sz w:val="12"/>
                <w:szCs w:val="12"/>
                <w:color w:val="auto"/>
              </w:rPr>
            </w:pPr>
          </w:p>
        </w:tc>
        <w:tc>
          <w:tcPr>
            <w:tcW w:w="36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6,396</w:t>
            </w:r>
          </w:p>
        </w:tc>
        <w:tc>
          <w:tcPr>
            <w:tcW w:w="10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10,967</w:t>
            </w:r>
          </w:p>
        </w:tc>
        <w:tc>
          <w:tcPr>
            <w:tcW w:w="12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12,400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Operating loss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(1,324)</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(1,874)</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(2,420)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(1,499)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Other (expense) income: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income</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160"/>
              <w:spacing w:after="0" w:line="149" w:lineRule="exact"/>
              <w:rPr>
                <w:sz w:val="20"/>
                <w:szCs w:val="20"/>
                <w:color w:val="auto"/>
              </w:rPr>
            </w:pPr>
            <w:r>
              <w:rPr>
                <w:rFonts w:ascii="Arial" w:cs="Arial" w:eastAsia="Arial" w:hAnsi="Arial"/>
                <w:sz w:val="14"/>
                <w:szCs w:val="14"/>
                <w:color w:val="auto"/>
              </w:rPr>
              <w:t>Interest and financing expense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(43)</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(97)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Miscellaneous</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46</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30</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ind w:left="100"/>
              <w:spacing w:after="0" w:line="142" w:lineRule="exact"/>
              <w:rPr>
                <w:sz w:val="20"/>
                <w:szCs w:val="20"/>
                <w:color w:val="auto"/>
              </w:rPr>
            </w:pPr>
            <w:r>
              <w:rPr>
                <w:rFonts w:ascii="Arial" w:cs="Arial" w:eastAsia="Arial" w:hAnsi="Arial"/>
                <w:sz w:val="14"/>
                <w:szCs w:val="14"/>
                <w:b w:val="1"/>
                <w:bCs w:val="1"/>
                <w:color w:val="auto"/>
              </w:rPr>
              <w:t>Loss from continuing operations before income taxes</w:t>
            </w: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(1,319)</w:t>
            </w: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(1,903)</w:t>
            </w: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(2,478)</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(1,641)</w:t>
            </w:r>
          </w:p>
        </w:tc>
        <w:tc>
          <w:tcPr>
            <w:tcW w:w="10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4"/>
                <w:szCs w:val="14"/>
                <w:color w:val="auto"/>
              </w:rPr>
              <w:t>Income tax provision</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57</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117</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b w:val="1"/>
                <w:bCs w:val="1"/>
                <w:color w:val="auto"/>
              </w:rPr>
              <w:t>Net loss from continuing operations</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(1,376)</w:t>
            </w: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(1,956)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(2,595)</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00" w:type="dxa"/>
            <w:vAlign w:val="bottom"/>
            <w:gridSpan w:val="3"/>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(1,792)</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ind w:left="80"/>
              <w:spacing w:after="0"/>
              <w:rPr>
                <w:sz w:val="20"/>
                <w:szCs w:val="20"/>
                <w:color w:val="auto"/>
              </w:rPr>
            </w:pPr>
            <w:r>
              <w:rPr>
                <w:rFonts w:ascii="Arial" w:cs="Arial" w:eastAsia="Arial" w:hAnsi="Arial"/>
                <w:sz w:val="14"/>
                <w:szCs w:val="14"/>
                <w:color w:val="auto"/>
              </w:rPr>
              <w:t>Income (loss) from discontinued operations, net of tax</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19"/>
              <w:spacing w:after="0"/>
              <w:rPr>
                <w:sz w:val="20"/>
                <w:szCs w:val="20"/>
                <w:color w:val="auto"/>
              </w:rPr>
            </w:pPr>
            <w:r>
              <w:rPr>
                <w:rFonts w:ascii="Arial" w:cs="Arial" w:eastAsia="Arial" w:hAnsi="Arial"/>
                <w:sz w:val="14"/>
                <w:szCs w:val="14"/>
                <w:color w:val="auto"/>
              </w:rPr>
              <w:t>(120)</w:t>
            </w: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color w:val="auto"/>
              </w:rPr>
              <w:t>(61)</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144</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Net loss</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(1,376)</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(2,076)</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tcPr>
          <w:p>
            <w:pPr>
              <w:ind w:left="80"/>
              <w:spacing w:after="0"/>
              <w:rPr>
                <w:sz w:val="20"/>
                <w:szCs w:val="20"/>
                <w:color w:val="auto"/>
              </w:rPr>
            </w:pPr>
            <w:r>
              <w:rPr>
                <w:rFonts w:ascii="Arial" w:cs="Arial" w:eastAsia="Arial" w:hAnsi="Arial"/>
                <w:sz w:val="14"/>
                <w:szCs w:val="14"/>
                <w:color w:val="auto"/>
              </w:rPr>
              <w:t>Net loss attributable to noncontrolling interest</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16</w:t>
            </w: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10</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9</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Net loss attributable to Ultralife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(1,360)</w:t>
            </w: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(2,073)</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(2,646)</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(1,639)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Other comprehensive income:</w:t>
            </w:r>
          </w:p>
        </w:tc>
        <w:tc>
          <w:tcPr>
            <w:tcW w:w="2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ind w:left="260"/>
              <w:spacing w:after="0"/>
              <w:rPr>
                <w:sz w:val="20"/>
                <w:szCs w:val="20"/>
                <w:color w:val="auto"/>
              </w:rPr>
            </w:pPr>
            <w:r>
              <w:rPr>
                <w:rFonts w:ascii="Arial" w:cs="Arial" w:eastAsia="Arial" w:hAnsi="Arial"/>
                <w:sz w:val="14"/>
                <w:szCs w:val="14"/>
                <w:color w:val="auto"/>
              </w:rPr>
              <w:t>Foreign currency translation adjustments</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69</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135</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Comprehensive loss attributable to Ultralife</w:t>
            </w:r>
          </w:p>
        </w:tc>
        <w:tc>
          <w:tcPr>
            <w:tcW w:w="500" w:type="dxa"/>
            <w:vAlign w:val="bottom"/>
            <w:gridSpan w:val="2"/>
            <w:shd w:val="clear" w:color="auto" w:fill="CCEEFF"/>
          </w:tcPr>
          <w:p>
            <w:pPr>
              <w:jc w:val="right"/>
              <w:ind w:right="149"/>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(1,291</w:t>
            </w:r>
            <w:r>
              <w:rPr>
                <w:rFonts w:ascii="Arial" w:cs="Arial" w:eastAsia="Arial" w:hAnsi="Arial"/>
                <w:sz w:val="20"/>
                <w:szCs w:val="20"/>
                <w:color w:val="auto"/>
                <w:vertAlign w:val="superscript"/>
              </w:rPr>
              <w:t>)</w:t>
            </w:r>
          </w:p>
        </w:tc>
        <w:tc>
          <w:tcPr>
            <w:tcW w:w="60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ind w:right="19"/>
              <w:spacing w:after="0" w:line="176" w:lineRule="exact"/>
              <w:rPr>
                <w:sz w:val="20"/>
                <w:szCs w:val="20"/>
                <w:color w:val="auto"/>
              </w:rPr>
            </w:pPr>
            <w:r>
              <w:rPr>
                <w:rFonts w:ascii="Arial" w:cs="Arial" w:eastAsia="Arial" w:hAnsi="Arial"/>
                <w:sz w:val="12"/>
                <w:szCs w:val="12"/>
                <w:color w:val="auto"/>
              </w:rPr>
              <w:t>(1,925</w:t>
            </w:r>
            <w:r>
              <w:rPr>
                <w:rFonts w:ascii="Arial" w:cs="Arial" w:eastAsia="Arial" w:hAnsi="Arial"/>
                <w:sz w:val="20"/>
                <w:szCs w:val="20"/>
                <w:color w:val="auto"/>
                <w:vertAlign w:val="superscript"/>
              </w:rPr>
              <w:t>)</w:t>
            </w:r>
          </w:p>
        </w:tc>
        <w:tc>
          <w:tcPr>
            <w:tcW w:w="580" w:type="dxa"/>
            <w:vAlign w:val="bottom"/>
            <w:gridSpan w:val="2"/>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2"/>
                <w:szCs w:val="12"/>
                <w:color w:val="auto"/>
              </w:rPr>
              <w:t>(2,511</w:t>
            </w:r>
            <w:r>
              <w:rPr>
                <w:rFonts w:ascii="Arial" w:cs="Arial" w:eastAsia="Arial" w:hAnsi="Arial"/>
                <w:sz w:val="20"/>
                <w:szCs w:val="20"/>
                <w:color w:val="auto"/>
                <w:vertAlign w:val="superscript"/>
              </w:rPr>
              <w:t>)</w:t>
            </w:r>
          </w:p>
        </w:tc>
        <w:tc>
          <w:tcPr>
            <w:tcW w:w="58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1100" w:type="dxa"/>
            <w:vAlign w:val="bottom"/>
            <w:gridSpan w:val="3"/>
            <w:shd w:val="clear" w:color="auto" w:fill="CCEEFF"/>
          </w:tcPr>
          <w:p>
            <w:pPr>
              <w:jc w:val="right"/>
              <w:ind w:right="60"/>
              <w:spacing w:after="0" w:line="176" w:lineRule="exact"/>
              <w:rPr>
                <w:sz w:val="20"/>
                <w:szCs w:val="20"/>
                <w:color w:val="auto"/>
              </w:rPr>
            </w:pPr>
            <w:r>
              <w:rPr>
                <w:rFonts w:ascii="Arial" w:cs="Arial" w:eastAsia="Arial" w:hAnsi="Arial"/>
                <w:sz w:val="12"/>
                <w:szCs w:val="12"/>
                <w:color w:val="auto"/>
              </w:rPr>
              <w:t>(1,618</w:t>
            </w:r>
            <w:r>
              <w:rPr>
                <w:rFonts w:ascii="Arial" w:cs="Arial" w:eastAsia="Arial" w:hAnsi="Arial"/>
                <w:sz w:val="20"/>
                <w:szCs w:val="20"/>
                <w:color w:val="auto"/>
                <w:vertAlign w:val="superscript"/>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4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6"/>
              </w:rPr>
              <w:t>Net loss per share attributable to Ultralife common shareholders – basic:</w:t>
            </w:r>
          </w:p>
        </w:tc>
        <w:tc>
          <w:tcPr>
            <w:tcW w:w="2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80" w:type="dxa"/>
            <w:vAlign w:val="bottom"/>
          </w:tcPr>
          <w:p>
            <w:pPr>
              <w:ind w:left="340"/>
              <w:spacing w:after="0" w:line="149" w:lineRule="exact"/>
              <w:rPr>
                <w:sz w:val="20"/>
                <w:szCs w:val="20"/>
                <w:color w:val="auto"/>
              </w:rPr>
            </w:pPr>
            <w:r>
              <w:rPr>
                <w:rFonts w:ascii="Arial" w:cs="Arial" w:eastAsia="Arial" w:hAnsi="Arial"/>
                <w:sz w:val="14"/>
                <w:szCs w:val="14"/>
                <w:color w:val="auto"/>
              </w:rPr>
              <w:t>Continuing operations</w:t>
            </w:r>
          </w:p>
        </w:tc>
        <w:tc>
          <w:tcPr>
            <w:tcW w:w="500" w:type="dxa"/>
            <w:vAlign w:val="bottom"/>
            <w:gridSpan w:val="2"/>
          </w:tcPr>
          <w:p>
            <w:pPr>
              <w:jc w:val="right"/>
              <w:ind w:right="149"/>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(.08)</w:t>
            </w:r>
          </w:p>
        </w:tc>
        <w:tc>
          <w:tcPr>
            <w:tcW w:w="60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(.11)</w:t>
            </w:r>
          </w:p>
        </w:tc>
        <w:tc>
          <w:tcPr>
            <w:tcW w:w="580" w:type="dxa"/>
            <w:vAlign w:val="bottom"/>
            <w:gridSpan w:val="2"/>
          </w:tcPr>
          <w:p>
            <w:pPr>
              <w:jc w:val="right"/>
              <w:ind w:right="88"/>
              <w:spacing w:after="0" w:line="149"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(.15)</w:t>
            </w:r>
          </w:p>
        </w:tc>
        <w:tc>
          <w:tcPr>
            <w:tcW w:w="580" w:type="dxa"/>
            <w:vAlign w:val="bottom"/>
            <w:gridSpan w:val="2"/>
          </w:tcPr>
          <w:p>
            <w:pPr>
              <w:jc w:val="right"/>
              <w:ind w:right="108"/>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680" w:type="dxa"/>
            <w:vAlign w:val="bottom"/>
            <w:shd w:val="clear" w:color="auto" w:fill="CCEEFF"/>
          </w:tcPr>
          <w:p>
            <w:pPr>
              <w:ind w:left="340"/>
              <w:spacing w:after="0"/>
              <w:rPr>
                <w:sz w:val="20"/>
                <w:szCs w:val="20"/>
                <w:color w:val="auto"/>
              </w:rPr>
            </w:pPr>
            <w:r>
              <w:rPr>
                <w:rFonts w:ascii="Arial" w:cs="Arial" w:eastAsia="Arial" w:hAnsi="Arial"/>
                <w:sz w:val="14"/>
                <w:szCs w:val="14"/>
                <w:color w:val="auto"/>
              </w:rPr>
              <w:t>Discontinued operations</w:t>
            </w:r>
          </w:p>
        </w:tc>
        <w:tc>
          <w:tcPr>
            <w:tcW w:w="2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w:t>
            </w:r>
          </w:p>
        </w:tc>
        <w:tc>
          <w:tcPr>
            <w:tcW w:w="3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(.01)</w:t>
            </w: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(.00)</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680" w:type="dxa"/>
            <w:vAlign w:val="bottom"/>
            <w:tcBorders>
              <w:bottom w:val="single" w:sz="8" w:color="CCEEFF"/>
            </w:tcBorders>
          </w:tcPr>
          <w:p>
            <w:pPr>
              <w:ind w:left="440"/>
              <w:spacing w:after="0" w:line="155" w:lineRule="exact"/>
              <w:rPr>
                <w:sz w:val="20"/>
                <w:szCs w:val="20"/>
                <w:color w:val="auto"/>
              </w:rPr>
            </w:pPr>
            <w:r>
              <w:rPr>
                <w:rFonts w:ascii="Arial" w:cs="Arial" w:eastAsia="Arial" w:hAnsi="Arial"/>
                <w:sz w:val="14"/>
                <w:szCs w:val="14"/>
                <w:color w:val="auto"/>
              </w:rPr>
              <w:t>Total</w:t>
            </w:r>
          </w:p>
        </w:tc>
        <w:tc>
          <w:tcPr>
            <w:tcW w:w="24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84"/>
              </w:rPr>
              <w:t>)</w:t>
            </w:r>
          </w:p>
        </w:tc>
        <w:tc>
          <w:tcPr>
            <w:tcW w:w="36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340" w:type="dxa"/>
            <w:vAlign w:val="bottom"/>
            <w:tcBorders>
              <w:bottom w:val="single" w:sz="8" w:color="CCEEFF"/>
            </w:tcBorders>
          </w:tcPr>
          <w:p>
            <w:pPr>
              <w:spacing w:after="0"/>
              <w:rPr>
                <w:sz w:val="17"/>
                <w:szCs w:val="17"/>
                <w:color w:val="auto"/>
              </w:rPr>
            </w:pPr>
          </w:p>
        </w:tc>
        <w:tc>
          <w:tcPr>
            <w:tcW w:w="240" w:type="dxa"/>
            <w:vAlign w:val="bottom"/>
            <w:tcBorders>
              <w:top w:val="single" w:sz="8" w:color="auto"/>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w:t>
            </w:r>
          </w:p>
        </w:tc>
        <w:tc>
          <w:tcPr>
            <w:tcW w:w="12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w w:val="84"/>
              </w:rPr>
              <w:t>)</w:t>
            </w:r>
          </w:p>
        </w:tc>
        <w:tc>
          <w:tcPr>
            <w:tcW w:w="320" w:type="dxa"/>
            <w:vAlign w:val="bottom"/>
            <w:tcBorders>
              <w:bottom w:val="single" w:sz="8" w:color="CCEEFF"/>
            </w:tcBorders>
          </w:tcPr>
          <w:p>
            <w:pPr>
              <w:spacing w:after="0"/>
              <w:rPr>
                <w:sz w:val="17"/>
                <w:szCs w:val="17"/>
                <w:color w:val="auto"/>
              </w:rPr>
            </w:pPr>
          </w:p>
        </w:tc>
        <w:tc>
          <w:tcPr>
            <w:tcW w:w="260" w:type="dxa"/>
            <w:vAlign w:val="bottom"/>
            <w:tcBorders>
              <w:top w:val="single" w:sz="8" w:color="auto"/>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(.09</w:t>
            </w:r>
          </w:p>
        </w:tc>
        <w:tc>
          <w:tcPr>
            <w:tcW w:w="10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4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80" w:type="dxa"/>
            <w:vAlign w:val="bottom"/>
          </w:tcPr>
          <w:p>
            <w:pPr>
              <w:ind w:left="80"/>
              <w:spacing w:after="0"/>
              <w:rPr>
                <w:sz w:val="20"/>
                <w:szCs w:val="20"/>
                <w:color w:val="auto"/>
              </w:rPr>
            </w:pPr>
            <w:r>
              <w:rPr>
                <w:rFonts w:ascii="Arial" w:cs="Arial" w:eastAsia="Arial" w:hAnsi="Arial"/>
                <w:sz w:val="14"/>
                <w:szCs w:val="14"/>
                <w:b w:val="1"/>
                <w:bCs w:val="1"/>
                <w:color w:val="auto"/>
              </w:rPr>
              <w:t>Weighted average shares outstanding – basic</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17,533</w:t>
            </w:r>
          </w:p>
        </w:tc>
        <w:tc>
          <w:tcPr>
            <w:tcW w:w="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59"/>
              <w:spacing w:after="0"/>
              <w:rPr>
                <w:sz w:val="20"/>
                <w:szCs w:val="20"/>
                <w:color w:val="auto"/>
              </w:rPr>
            </w:pPr>
            <w:r>
              <w:rPr>
                <w:rFonts w:ascii="Arial" w:cs="Arial" w:eastAsia="Arial" w:hAnsi="Arial"/>
                <w:sz w:val="14"/>
                <w:szCs w:val="14"/>
                <w:color w:val="auto"/>
              </w:rPr>
              <w:t>17,459</w:t>
            </w: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48"/>
              <w:spacing w:after="0"/>
              <w:rPr>
                <w:sz w:val="20"/>
                <w:szCs w:val="20"/>
                <w:color w:val="auto"/>
              </w:rPr>
            </w:pPr>
            <w:r>
              <w:rPr>
                <w:rFonts w:ascii="Arial" w:cs="Arial" w:eastAsia="Arial" w:hAnsi="Arial"/>
                <w:sz w:val="14"/>
                <w:szCs w:val="14"/>
                <w:color w:val="auto"/>
              </w:rPr>
              <w:t>17,523</w:t>
            </w:r>
          </w:p>
        </w:tc>
        <w:tc>
          <w:tcPr>
            <w:tcW w:w="3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20" w:type="dxa"/>
            <w:vAlign w:val="bottom"/>
            <w:gridSpan w:val="2"/>
          </w:tcPr>
          <w:p>
            <w:pPr>
              <w:jc w:val="right"/>
              <w:spacing w:after="0"/>
              <w:rPr>
                <w:sz w:val="20"/>
                <w:szCs w:val="20"/>
                <w:color w:val="auto"/>
              </w:rPr>
            </w:pPr>
            <w:r>
              <w:rPr>
                <w:rFonts w:ascii="Arial" w:cs="Arial" w:eastAsia="Arial" w:hAnsi="Arial"/>
                <w:sz w:val="14"/>
                <w:szCs w:val="14"/>
                <w:color w:val="auto"/>
              </w:rPr>
              <w:t>17,458</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7246620" cy="1543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177"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20" w:type="dxa"/>
            <w:vAlign w:val="bottom"/>
          </w:tcPr>
          <w:p>
            <w:pPr>
              <w:spacing w:after="0"/>
              <w:rPr>
                <w:sz w:val="14"/>
                <w:szCs w:val="14"/>
                <w:color w:val="auto"/>
              </w:rPr>
            </w:pPr>
          </w:p>
        </w:tc>
        <w:tc>
          <w:tcPr>
            <w:tcW w:w="4480" w:type="dxa"/>
            <w:vAlign w:val="bottom"/>
            <w:gridSpan w:val="2"/>
          </w:tcPr>
          <w:p>
            <w:pPr>
              <w:jc w:val="center"/>
              <w:ind w:right="828"/>
              <w:spacing w:after="0"/>
              <w:rPr>
                <w:sz w:val="20"/>
                <w:szCs w:val="20"/>
                <w:color w:val="auto"/>
              </w:rPr>
            </w:pPr>
            <w:r>
              <w:rPr>
                <w:rFonts w:ascii="Arial" w:cs="Arial" w:eastAsia="Arial" w:hAnsi="Arial"/>
                <w:sz w:val="14"/>
                <w:szCs w:val="14"/>
                <w:b w:val="1"/>
                <w:bCs w:val="1"/>
                <w:color w:val="auto"/>
              </w:rPr>
              <w:t>ULTRALIFE CORPORATION AND SUBSIDIARIES</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480" w:type="dxa"/>
            <w:vAlign w:val="bottom"/>
            <w:gridSpan w:val="2"/>
          </w:tcPr>
          <w:p>
            <w:pPr>
              <w:jc w:val="center"/>
              <w:ind w:right="868"/>
              <w:spacing w:after="0" w:line="149" w:lineRule="exact"/>
              <w:rPr>
                <w:sz w:val="20"/>
                <w:szCs w:val="20"/>
                <w:color w:val="auto"/>
              </w:rPr>
            </w:pPr>
            <w:r>
              <w:rPr>
                <w:rFonts w:ascii="Arial" w:cs="Arial" w:eastAsia="Arial" w:hAnsi="Arial"/>
                <w:sz w:val="14"/>
                <w:szCs w:val="14"/>
                <w:b w:val="1"/>
                <w:bCs w:val="1"/>
                <w:color w:val="auto"/>
              </w:rPr>
              <w:t>CONSOLIDATED STATEMENTS OF CASH FLOWS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4480" w:type="dxa"/>
            <w:vAlign w:val="bottom"/>
            <w:gridSpan w:val="2"/>
          </w:tcPr>
          <w:p>
            <w:pPr>
              <w:jc w:val="center"/>
              <w:ind w:right="828"/>
              <w:spacing w:after="0" w:line="149" w:lineRule="exact"/>
              <w:rPr>
                <w:sz w:val="20"/>
                <w:szCs w:val="20"/>
                <w:color w:val="auto"/>
              </w:rPr>
            </w:pPr>
            <w:r>
              <w:rPr>
                <w:rFonts w:ascii="Arial" w:cs="Arial" w:eastAsia="Arial" w:hAnsi="Arial"/>
                <w:sz w:val="14"/>
                <w:szCs w:val="14"/>
                <w:b w:val="1"/>
                <w:bCs w:val="1"/>
                <w:color w:val="auto"/>
                <w:w w:val="93"/>
              </w:rPr>
              <w:t>(In Thousands)</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3920" w:type="dxa"/>
            <w:vAlign w:val="bottom"/>
          </w:tcPr>
          <w:p>
            <w:pPr>
              <w:spacing w:after="0"/>
              <w:rPr>
                <w:sz w:val="16"/>
                <w:szCs w:val="16"/>
                <w:color w:val="auto"/>
              </w:rPr>
            </w:pPr>
          </w:p>
        </w:tc>
        <w:tc>
          <w:tcPr>
            <w:tcW w:w="4480" w:type="dxa"/>
            <w:vAlign w:val="bottom"/>
            <w:gridSpan w:val="2"/>
          </w:tcPr>
          <w:p>
            <w:pPr>
              <w:jc w:val="center"/>
              <w:ind w:right="808"/>
              <w:spacing w:after="0"/>
              <w:rPr>
                <w:sz w:val="20"/>
                <w:szCs w:val="20"/>
                <w:color w:val="auto"/>
              </w:rPr>
            </w:pPr>
            <w:r>
              <w:rPr>
                <w:rFonts w:ascii="Arial" w:cs="Arial" w:eastAsia="Arial" w:hAnsi="Arial"/>
                <w:sz w:val="14"/>
                <w:szCs w:val="14"/>
                <w:b w:val="1"/>
                <w:bCs w:val="1"/>
                <w:color w:val="auto"/>
                <w:w w:val="94"/>
              </w:rPr>
              <w:t>(unaudited)</w:t>
            </w:r>
          </w:p>
        </w:tc>
        <w:tc>
          <w:tcPr>
            <w:tcW w:w="1860" w:type="dxa"/>
            <w:vAlign w:val="bottom"/>
            <w:gridSpan w:val="5"/>
            <w:vMerge w:val="restart"/>
          </w:tcPr>
          <w:p>
            <w:pPr>
              <w:ind w:left="220"/>
              <w:spacing w:after="0"/>
              <w:rPr>
                <w:sz w:val="20"/>
                <w:szCs w:val="20"/>
                <w:color w:val="auto"/>
              </w:rPr>
            </w:pPr>
            <w:r>
              <w:rPr>
                <w:rFonts w:ascii="Arial" w:cs="Arial" w:eastAsia="Arial" w:hAnsi="Arial"/>
                <w:sz w:val="14"/>
                <w:szCs w:val="14"/>
                <w:b w:val="1"/>
                <w:bCs w:val="1"/>
                <w:color w:val="auto"/>
                <w:w w:val="96"/>
              </w:rPr>
              <w:t>Six month periods ended</w:t>
            </w: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June 29,</w:t>
            </w:r>
          </w:p>
        </w:tc>
        <w:tc>
          <w:tcPr>
            <w:tcW w:w="1860" w:type="dxa"/>
            <w:vAlign w:val="bottom"/>
            <w:gridSpan w:val="5"/>
            <w:vMerge w:val="continue"/>
          </w:tcPr>
          <w:p>
            <w:pPr>
              <w:spacing w:after="0"/>
              <w:rPr>
                <w:sz w:val="12"/>
                <w:szCs w:val="12"/>
                <w:color w:val="auto"/>
              </w:rPr>
            </w:pPr>
          </w:p>
        </w:tc>
        <w:tc>
          <w:tcPr>
            <w:tcW w:w="1160" w:type="dxa"/>
            <w:vAlign w:val="bottom"/>
            <w:gridSpan w:val="2"/>
            <w:vMerge w:val="restart"/>
          </w:tcPr>
          <w:p>
            <w:pPr>
              <w:jc w:val="right"/>
              <w:ind w:right="499"/>
              <w:spacing w:after="0"/>
              <w:rPr>
                <w:sz w:val="20"/>
                <w:szCs w:val="20"/>
                <w:color w:val="auto"/>
              </w:rPr>
            </w:pPr>
            <w:r>
              <w:rPr>
                <w:rFonts w:ascii="Arial" w:cs="Arial" w:eastAsia="Arial" w:hAnsi="Arial"/>
                <w:sz w:val="14"/>
                <w:szCs w:val="14"/>
                <w:b w:val="1"/>
                <w:bCs w:val="1"/>
                <w:color w:val="auto"/>
              </w:rPr>
              <w:t>June 30,</w:t>
            </w:r>
          </w:p>
        </w:tc>
        <w:tc>
          <w:tcPr>
            <w:tcW w:w="0" w:type="dxa"/>
            <w:vAlign w:val="bottom"/>
          </w:tcPr>
          <w:p>
            <w:pPr>
              <w:spacing w:after="0"/>
              <w:rPr>
                <w:sz w:val="1"/>
                <w:szCs w:val="1"/>
                <w:color w:val="auto"/>
              </w:rPr>
            </w:pPr>
          </w:p>
        </w:tc>
      </w:tr>
      <w:tr>
        <w:trPr>
          <w:trHeight w:val="124"/>
        </w:trPr>
        <w:tc>
          <w:tcPr>
            <w:tcW w:w="392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080" w:type="dxa"/>
            <w:vAlign w:val="bottom"/>
            <w:vMerge w:val="continue"/>
          </w:tcPr>
          <w:p>
            <w:pPr>
              <w:spacing w:after="0"/>
              <w:rPr>
                <w:sz w:val="10"/>
                <w:szCs w:val="10"/>
                <w:color w:val="auto"/>
              </w:rPr>
            </w:pPr>
          </w:p>
        </w:tc>
        <w:tc>
          <w:tcPr>
            <w:tcW w:w="4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448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rPr>
              <w:t>2014</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60" w:type="dxa"/>
            <w:vAlign w:val="bottom"/>
          </w:tcPr>
          <w:p>
            <w:pPr>
              <w:jc w:val="right"/>
              <w:ind w:right="468"/>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20" w:type="dxa"/>
            <w:vAlign w:val="bottom"/>
            <w:tcBorders>
              <w:top w:val="single" w:sz="8" w:color="CCEEFF"/>
            </w:tcBorders>
            <w:shd w:val="clear" w:color="auto" w:fill="CCEEFF"/>
          </w:tcPr>
          <w:p>
            <w:pPr>
              <w:ind w:left="100"/>
              <w:spacing w:after="0" w:line="142" w:lineRule="exact"/>
              <w:rPr>
                <w:sz w:val="20"/>
                <w:szCs w:val="20"/>
                <w:color w:val="auto"/>
              </w:rPr>
            </w:pPr>
            <w:r>
              <w:rPr>
                <w:rFonts w:ascii="Arial" w:cs="Arial" w:eastAsia="Arial" w:hAnsi="Arial"/>
                <w:sz w:val="14"/>
                <w:szCs w:val="14"/>
                <w:b w:val="1"/>
                <w:bCs w:val="1"/>
                <w:color w:val="auto"/>
              </w:rPr>
              <w:t>OPERATING ACTIVITIES:</w:t>
            </w:r>
          </w:p>
        </w:tc>
        <w:tc>
          <w:tcPr>
            <w:tcW w:w="34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ind w:left="180"/>
              <w:spacing w:after="0" w:line="149" w:lineRule="exact"/>
              <w:rPr>
                <w:sz w:val="20"/>
                <w:szCs w:val="20"/>
                <w:color w:val="auto"/>
              </w:rPr>
            </w:pPr>
            <w:r>
              <w:rPr>
                <w:rFonts w:ascii="Arial" w:cs="Arial" w:eastAsia="Arial" w:hAnsi="Arial"/>
                <w:sz w:val="14"/>
                <w:szCs w:val="14"/>
                <w:color w:val="auto"/>
              </w:rPr>
              <w:t>Net loss</w:t>
            </w:r>
          </w:p>
        </w:tc>
        <w:tc>
          <w:tcPr>
            <w:tcW w:w="4480" w:type="dxa"/>
            <w:vAlign w:val="bottom"/>
            <w:gridSpan w:val="2"/>
          </w:tcPr>
          <w:p>
            <w:pPr>
              <w:jc w:val="right"/>
              <w:ind w:right="928"/>
              <w:spacing w:after="0" w:line="149" w:lineRule="exact"/>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(2,656)</w:t>
            </w:r>
          </w:p>
        </w:tc>
        <w:tc>
          <w:tcPr>
            <w:tcW w:w="900" w:type="dxa"/>
            <w:vAlign w:val="bottom"/>
          </w:tcPr>
          <w:p>
            <w:pPr>
              <w:spacing w:after="0"/>
              <w:rPr>
                <w:sz w:val="12"/>
                <w:szCs w:val="12"/>
                <w:color w:val="auto"/>
              </w:rPr>
            </w:pPr>
          </w:p>
        </w:tc>
        <w:tc>
          <w:tcPr>
            <w:tcW w:w="420" w:type="dxa"/>
            <w:vAlign w:val="bottom"/>
            <w:gridSpan w:val="2"/>
          </w:tcPr>
          <w:p>
            <w:pPr>
              <w:jc w:val="right"/>
              <w:ind w:right="289"/>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(1,648)</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Loss (gain) from discontinued operations, net of tax</w:t>
            </w: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61</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49"/>
        </w:trPr>
        <w:tc>
          <w:tcPr>
            <w:tcW w:w="840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Adjustments to reconcile net loss from continuing operations to net cash</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provided by operating activities:</w:t>
            </w: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ind w:left="400"/>
              <w:spacing w:after="0" w:line="149" w:lineRule="exact"/>
              <w:rPr>
                <w:sz w:val="20"/>
                <w:szCs w:val="20"/>
                <w:color w:val="auto"/>
              </w:rPr>
            </w:pPr>
            <w:r>
              <w:rPr>
                <w:rFonts w:ascii="Arial" w:cs="Arial" w:eastAsia="Arial" w:hAnsi="Arial"/>
                <w:sz w:val="14"/>
                <w:szCs w:val="14"/>
                <w:color w:val="auto"/>
              </w:rPr>
              <w:t>Depreciation and amortization of financing fees</w:t>
            </w: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1,501</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1,637</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380"/>
              <w:spacing w:after="0" w:line="149" w:lineRule="exact"/>
              <w:rPr>
                <w:sz w:val="20"/>
                <w:szCs w:val="20"/>
                <w:color w:val="auto"/>
              </w:rPr>
            </w:pPr>
            <w:r>
              <w:rPr>
                <w:rFonts w:ascii="Arial" w:cs="Arial" w:eastAsia="Arial" w:hAnsi="Arial"/>
                <w:sz w:val="14"/>
                <w:szCs w:val="14"/>
                <w:color w:val="auto"/>
              </w:rPr>
              <w:t>Amortization of intangible assets</w:t>
            </w: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154</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199</w:t>
            </w:r>
          </w:p>
        </w:tc>
        <w:tc>
          <w:tcPr>
            <w:tcW w:w="0" w:type="dxa"/>
            <w:vAlign w:val="bottom"/>
          </w:tcPr>
          <w:p>
            <w:pPr>
              <w:spacing w:after="0"/>
              <w:rPr>
                <w:sz w:val="1"/>
                <w:szCs w:val="1"/>
                <w:color w:val="auto"/>
              </w:rPr>
            </w:pPr>
          </w:p>
        </w:tc>
      </w:tr>
      <w:tr>
        <w:trPr>
          <w:trHeight w:val="149"/>
        </w:trPr>
        <w:tc>
          <w:tcPr>
            <w:tcW w:w="3920" w:type="dxa"/>
            <w:vAlign w:val="bottom"/>
          </w:tcPr>
          <w:p>
            <w:pPr>
              <w:ind w:left="400"/>
              <w:spacing w:after="0" w:line="149" w:lineRule="exact"/>
              <w:rPr>
                <w:sz w:val="20"/>
                <w:szCs w:val="20"/>
                <w:color w:val="auto"/>
              </w:rPr>
            </w:pPr>
            <w:r>
              <w:rPr>
                <w:rFonts w:ascii="Arial" w:cs="Arial" w:eastAsia="Arial" w:hAnsi="Arial"/>
                <w:sz w:val="14"/>
                <w:szCs w:val="14"/>
                <w:color w:val="auto"/>
              </w:rPr>
              <w:t>Loss on long-lived asset impairment</w:t>
            </w: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440" w:type="dxa"/>
            <w:vAlign w:val="bottom"/>
            <w:gridSpan w:val="3"/>
          </w:tcPr>
          <w:p>
            <w:pPr>
              <w:ind w:left="22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Foreign exchange loss</w:t>
            </w: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440" w:type="dxa"/>
            <w:vAlign w:val="bottom"/>
            <w:gridSpan w:val="3"/>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49"/>
        </w:trPr>
        <w:tc>
          <w:tcPr>
            <w:tcW w:w="3920" w:type="dxa"/>
            <w:vAlign w:val="bottom"/>
          </w:tcPr>
          <w:p>
            <w:pPr>
              <w:ind w:left="400"/>
              <w:spacing w:after="0" w:line="149" w:lineRule="exact"/>
              <w:rPr>
                <w:sz w:val="20"/>
                <w:szCs w:val="20"/>
                <w:color w:val="auto"/>
              </w:rPr>
            </w:pPr>
            <w:r>
              <w:rPr>
                <w:rFonts w:ascii="Arial" w:cs="Arial" w:eastAsia="Arial" w:hAnsi="Arial"/>
                <w:sz w:val="14"/>
                <w:szCs w:val="14"/>
                <w:color w:val="auto"/>
              </w:rPr>
              <w:t>Stock-based compensation</w:t>
            </w: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523</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430</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400"/>
              <w:spacing w:after="0" w:line="149" w:lineRule="exact"/>
              <w:rPr>
                <w:sz w:val="20"/>
                <w:szCs w:val="20"/>
                <w:color w:val="auto"/>
              </w:rPr>
            </w:pPr>
            <w:r>
              <w:rPr>
                <w:rFonts w:ascii="Arial" w:cs="Arial" w:eastAsia="Arial" w:hAnsi="Arial"/>
                <w:sz w:val="14"/>
                <w:szCs w:val="14"/>
                <w:color w:val="auto"/>
              </w:rPr>
              <w:t>Changes in deferred income taxes</w:t>
            </w: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110</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172</w:t>
            </w:r>
          </w:p>
        </w:tc>
        <w:tc>
          <w:tcPr>
            <w:tcW w:w="0" w:type="dxa"/>
            <w:vAlign w:val="bottom"/>
          </w:tcPr>
          <w:p>
            <w:pPr>
              <w:spacing w:after="0"/>
              <w:rPr>
                <w:sz w:val="1"/>
                <w:szCs w:val="1"/>
                <w:color w:val="auto"/>
              </w:rPr>
            </w:pPr>
          </w:p>
        </w:tc>
      </w:tr>
      <w:tr>
        <w:trPr>
          <w:trHeight w:val="149"/>
        </w:trPr>
        <w:tc>
          <w:tcPr>
            <w:tcW w:w="3920" w:type="dxa"/>
            <w:vAlign w:val="bottom"/>
          </w:tcPr>
          <w:p>
            <w:pPr>
              <w:ind w:left="40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Accounts receivable</w:t>
            </w: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4,128</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8,543</w:t>
            </w:r>
          </w:p>
        </w:tc>
        <w:tc>
          <w:tcPr>
            <w:tcW w:w="0" w:type="dxa"/>
            <w:vAlign w:val="bottom"/>
          </w:tcPr>
          <w:p>
            <w:pPr>
              <w:spacing w:after="0"/>
              <w:rPr>
                <w:sz w:val="1"/>
                <w:szCs w:val="1"/>
                <w:color w:val="auto"/>
              </w:rPr>
            </w:pPr>
          </w:p>
        </w:tc>
      </w:tr>
      <w:tr>
        <w:trPr>
          <w:trHeight w:val="149"/>
        </w:trPr>
        <w:tc>
          <w:tcPr>
            <w:tcW w:w="3920" w:type="dxa"/>
            <w:vAlign w:val="bottom"/>
          </w:tcPr>
          <w:p>
            <w:pPr>
              <w:ind w:left="500"/>
              <w:spacing w:after="0" w:line="149" w:lineRule="exact"/>
              <w:rPr>
                <w:sz w:val="20"/>
                <w:szCs w:val="20"/>
                <w:color w:val="auto"/>
              </w:rPr>
            </w:pPr>
            <w:r>
              <w:rPr>
                <w:rFonts w:ascii="Arial" w:cs="Arial" w:eastAsia="Arial" w:hAnsi="Arial"/>
                <w:sz w:val="14"/>
                <w:szCs w:val="14"/>
                <w:color w:val="auto"/>
              </w:rPr>
              <w:t>Inventories</w:t>
            </w: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(1,042)</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(592)</w:t>
            </w: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500"/>
              <w:spacing w:after="0" w:line="149" w:lineRule="exact"/>
              <w:rPr>
                <w:sz w:val="20"/>
                <w:szCs w:val="20"/>
                <w:color w:val="auto"/>
              </w:rPr>
            </w:pPr>
            <w:r>
              <w:rPr>
                <w:rFonts w:ascii="Arial" w:cs="Arial" w:eastAsia="Arial" w:hAnsi="Arial"/>
                <w:sz w:val="14"/>
                <w:szCs w:val="14"/>
                <w:color w:val="auto"/>
              </w:rPr>
              <w:t>Prepaid expenses and other assets</w:t>
            </w: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313</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(1,248)</w:t>
            </w:r>
          </w:p>
        </w:tc>
        <w:tc>
          <w:tcPr>
            <w:tcW w:w="0" w:type="dxa"/>
            <w:vAlign w:val="bottom"/>
          </w:tcPr>
          <w:p>
            <w:pPr>
              <w:spacing w:after="0"/>
              <w:rPr>
                <w:sz w:val="1"/>
                <w:szCs w:val="1"/>
                <w:color w:val="auto"/>
              </w:rPr>
            </w:pPr>
          </w:p>
        </w:tc>
      </w:tr>
      <w:tr>
        <w:trPr>
          <w:trHeight w:val="162"/>
        </w:trPr>
        <w:tc>
          <w:tcPr>
            <w:tcW w:w="3920" w:type="dxa"/>
            <w:vAlign w:val="bottom"/>
          </w:tcPr>
          <w:p>
            <w:pPr>
              <w:ind w:left="500"/>
              <w:spacing w:after="0"/>
              <w:rPr>
                <w:sz w:val="20"/>
                <w:szCs w:val="20"/>
                <w:color w:val="auto"/>
              </w:rPr>
            </w:pPr>
            <w:r>
              <w:rPr>
                <w:rFonts w:ascii="Arial" w:cs="Arial" w:eastAsia="Arial" w:hAnsi="Arial"/>
                <w:sz w:val="14"/>
                <w:szCs w:val="14"/>
                <w:color w:val="auto"/>
              </w:rPr>
              <w:t>Accounts payable and other liabilities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(2,106)</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tcPr>
          <w:p>
            <w:pPr>
              <w:jc w:val="right"/>
              <w:ind w:right="19"/>
              <w:spacing w:after="0"/>
              <w:rPr>
                <w:sz w:val="20"/>
                <w:szCs w:val="20"/>
                <w:color w:val="auto"/>
              </w:rPr>
            </w:pPr>
            <w:r>
              <w:rPr>
                <w:rFonts w:ascii="Arial" w:cs="Arial" w:eastAsia="Arial" w:hAnsi="Arial"/>
                <w:sz w:val="14"/>
                <w:szCs w:val="14"/>
                <w:color w:val="auto"/>
              </w:rPr>
              <w:t>(4,384)</w:t>
            </w:r>
          </w:p>
        </w:tc>
        <w:tc>
          <w:tcPr>
            <w:tcW w:w="0" w:type="dxa"/>
            <w:vAlign w:val="bottom"/>
          </w:tcPr>
          <w:p>
            <w:pPr>
              <w:spacing w:after="0"/>
              <w:rPr>
                <w:sz w:val="1"/>
                <w:szCs w:val="1"/>
                <w:color w:val="auto"/>
              </w:rPr>
            </w:pPr>
          </w:p>
        </w:tc>
      </w:tr>
      <w:tr>
        <w:trPr>
          <w:trHeight w:val="142"/>
        </w:trPr>
        <w:tc>
          <w:tcPr>
            <w:tcW w:w="7320" w:type="dxa"/>
            <w:vAlign w:val="bottom"/>
            <w:tcBorders>
              <w:top w:val="single" w:sz="8" w:color="CCEEFF"/>
            </w:tcBorders>
            <w:gridSpan w:val="2"/>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provided by (used in) operating activities from continuing operations</w:t>
            </w:r>
          </w:p>
        </w:tc>
        <w:tc>
          <w:tcPr>
            <w:tcW w:w="1080" w:type="dxa"/>
            <w:vAlign w:val="bottom"/>
            <w:tcBorders>
              <w:top w:val="single" w:sz="8" w:color="auto"/>
            </w:tcBorders>
            <w:shd w:val="clear" w:color="auto" w:fill="CCEEFF"/>
          </w:tcPr>
          <w:p>
            <w:pPr>
              <w:spacing w:after="0"/>
              <w:rPr>
                <w:sz w:val="12"/>
                <w:szCs w:val="12"/>
                <w:color w:val="auto"/>
              </w:rPr>
            </w:pPr>
          </w:p>
        </w:tc>
        <w:tc>
          <w:tcPr>
            <w:tcW w:w="420" w:type="dxa"/>
            <w:vAlign w:val="bottom"/>
            <w:tcBorders>
              <w:top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w w:val="76"/>
              </w:rPr>
              <w:t>986</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tcBorders>
            <w:shd w:val="clear" w:color="auto" w:fill="CCEEFF"/>
          </w:tcPr>
          <w:p>
            <w:pPr>
              <w:spacing w:after="0"/>
              <w:rPr>
                <w:sz w:val="12"/>
                <w:szCs w:val="12"/>
                <w:color w:val="auto"/>
              </w:rPr>
            </w:pPr>
          </w:p>
        </w:tc>
        <w:tc>
          <w:tcPr>
            <w:tcW w:w="10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3,043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tcPr>
          <w:p>
            <w:pPr>
              <w:ind w:left="180"/>
              <w:spacing w:after="0"/>
              <w:rPr>
                <w:sz w:val="20"/>
                <w:szCs w:val="20"/>
                <w:color w:val="auto"/>
              </w:rPr>
            </w:pPr>
            <w:r>
              <w:rPr>
                <w:rFonts w:ascii="Arial" w:cs="Arial" w:eastAsia="Arial" w:hAnsi="Arial"/>
                <w:sz w:val="14"/>
                <w:szCs w:val="14"/>
                <w:color w:val="auto"/>
                <w:w w:val="95"/>
              </w:rPr>
              <w:t>Net cash used in operating activities of discontinued operations</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tcPr>
          <w:p>
            <w:pPr>
              <w:jc w:val="right"/>
              <w:ind w:right="19"/>
              <w:spacing w:after="0"/>
              <w:rPr>
                <w:sz w:val="20"/>
                <w:szCs w:val="20"/>
                <w:color w:val="auto"/>
              </w:rPr>
            </w:pPr>
            <w:r>
              <w:rPr>
                <w:rFonts w:ascii="Arial" w:cs="Arial" w:eastAsia="Arial" w:hAnsi="Arial"/>
                <w:sz w:val="14"/>
                <w:szCs w:val="14"/>
                <w:color w:val="auto"/>
              </w:rPr>
              <w:t>(998)</w:t>
            </w:r>
          </w:p>
        </w:tc>
        <w:tc>
          <w:tcPr>
            <w:tcW w:w="0" w:type="dxa"/>
            <w:vAlign w:val="bottom"/>
          </w:tcPr>
          <w:p>
            <w:pPr>
              <w:spacing w:after="0"/>
              <w:rPr>
                <w:sz w:val="1"/>
                <w:szCs w:val="1"/>
                <w:color w:val="auto"/>
              </w:rPr>
            </w:pPr>
          </w:p>
        </w:tc>
      </w:tr>
      <w:tr>
        <w:trPr>
          <w:trHeight w:val="142"/>
        </w:trPr>
        <w:tc>
          <w:tcPr>
            <w:tcW w:w="392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provided by operating activities</w:t>
            </w:r>
          </w:p>
        </w:tc>
        <w:tc>
          <w:tcPr>
            <w:tcW w:w="34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ind w:left="220"/>
              <w:spacing w:after="0" w:line="142" w:lineRule="exact"/>
              <w:rPr>
                <w:sz w:val="20"/>
                <w:szCs w:val="20"/>
                <w:color w:val="auto"/>
              </w:rPr>
            </w:pPr>
            <w:r>
              <w:rPr>
                <w:rFonts w:ascii="Arial" w:cs="Arial" w:eastAsia="Arial" w:hAnsi="Arial"/>
                <w:sz w:val="14"/>
                <w:szCs w:val="14"/>
                <w:color w:val="auto"/>
                <w:w w:val="76"/>
              </w:rPr>
              <w:t>986</w:t>
            </w:r>
          </w:p>
        </w:tc>
        <w:tc>
          <w:tcPr>
            <w:tcW w:w="120" w:type="dxa"/>
            <w:vAlign w:val="bottom"/>
            <w:tcBorders>
              <w:top w:val="single" w:sz="8" w:color="CCEEFF"/>
            </w:tcBorders>
            <w:shd w:val="clear" w:color="auto" w:fill="CCEEFF"/>
          </w:tcPr>
          <w:p>
            <w:pPr>
              <w:spacing w:after="0"/>
              <w:rPr>
                <w:sz w:val="12"/>
                <w:szCs w:val="12"/>
                <w:color w:val="auto"/>
              </w:rPr>
            </w:pPr>
          </w:p>
        </w:tc>
        <w:tc>
          <w:tcPr>
            <w:tcW w:w="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2,045</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INVESTING ACTIVITIES:</w:t>
            </w: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ind w:left="180"/>
              <w:spacing w:after="0" w:line="149" w:lineRule="exact"/>
              <w:rPr>
                <w:sz w:val="20"/>
                <w:szCs w:val="20"/>
                <w:color w:val="auto"/>
              </w:rPr>
            </w:pPr>
            <w:r>
              <w:rPr>
                <w:rFonts w:ascii="Arial" w:cs="Arial" w:eastAsia="Arial" w:hAnsi="Arial"/>
                <w:sz w:val="14"/>
                <w:szCs w:val="14"/>
                <w:color w:val="auto"/>
              </w:rPr>
              <w:t>Cash paid for property, equipment and improvements</w:t>
            </w: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(398)</w:t>
            </w: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6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(444)</w:t>
            </w: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Change in restricted cash</w:t>
            </w:r>
          </w:p>
        </w:tc>
        <w:tc>
          <w:tcPr>
            <w:tcW w:w="3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440" w:type="dxa"/>
            <w:vAlign w:val="bottom"/>
            <w:gridSpan w:val="3"/>
            <w:shd w:val="clear" w:color="auto" w:fill="CCEEFF"/>
          </w:tcPr>
          <w:p>
            <w:pPr>
              <w:ind w:left="2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142"/>
        </w:trPr>
        <w:tc>
          <w:tcPr>
            <w:tcW w:w="3920" w:type="dxa"/>
            <w:vAlign w:val="bottom"/>
            <w:tcBorders>
              <w:bottom w:val="single" w:sz="8" w:color="CCEEFF"/>
            </w:tcBorders>
          </w:tcPr>
          <w:p>
            <w:pPr>
              <w:ind w:left="180"/>
              <w:spacing w:after="0" w:line="142" w:lineRule="exact"/>
              <w:rPr>
                <w:sz w:val="20"/>
                <w:szCs w:val="20"/>
                <w:color w:val="auto"/>
              </w:rPr>
            </w:pPr>
            <w:r>
              <w:rPr>
                <w:rFonts w:ascii="Arial" w:cs="Arial" w:eastAsia="Arial" w:hAnsi="Arial"/>
                <w:sz w:val="14"/>
                <w:szCs w:val="14"/>
                <w:color w:val="auto"/>
              </w:rPr>
              <w:t>Net cash used in investing activities</w:t>
            </w:r>
          </w:p>
        </w:tc>
        <w:tc>
          <w:tcPr>
            <w:tcW w:w="340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spacing w:after="0"/>
              <w:rPr>
                <w:sz w:val="12"/>
                <w:szCs w:val="12"/>
                <w:color w:val="auto"/>
              </w:rPr>
            </w:pPr>
          </w:p>
        </w:tc>
        <w:tc>
          <w:tcPr>
            <w:tcW w:w="4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(398</w:t>
            </w:r>
          </w:p>
        </w:tc>
        <w:tc>
          <w:tcPr>
            <w:tcW w:w="12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400" w:type="dxa"/>
            <w:vAlign w:val="bottom"/>
            <w:tcBorders>
              <w:top w:val="single" w:sz="8" w:color="auto"/>
              <w:bottom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(440</w:t>
            </w:r>
          </w:p>
        </w:tc>
        <w:tc>
          <w:tcPr>
            <w:tcW w:w="100" w:type="dxa"/>
            <w:vAlign w:val="bottom"/>
            <w:tcBorders>
              <w:bottom w:val="single" w:sz="8" w:color="CCEEFF"/>
            </w:tcBorders>
          </w:tcPr>
          <w:p>
            <w:pPr>
              <w:jc w:val="right"/>
              <w:ind w:right="19"/>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42"/>
        </w:trPr>
        <w:tc>
          <w:tcPr>
            <w:tcW w:w="3920" w:type="dxa"/>
            <w:vAlign w:val="bottom"/>
            <w:shd w:val="clear" w:color="auto" w:fill="CCEEFF"/>
          </w:tcPr>
          <w:p>
            <w:pPr>
              <w:spacing w:after="0"/>
              <w:rPr>
                <w:sz w:val="12"/>
                <w:szCs w:val="12"/>
                <w:color w:val="auto"/>
              </w:rPr>
            </w:pP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FINANCING ACTIVITIES:</w:t>
            </w: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Cash paid to repurchase treasury stock</w:t>
            </w: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(39)</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3920" w:type="dxa"/>
            <w:vAlign w:val="bottom"/>
          </w:tcPr>
          <w:p>
            <w:pPr>
              <w:ind w:left="180"/>
              <w:spacing w:after="0"/>
              <w:rPr>
                <w:sz w:val="20"/>
                <w:szCs w:val="20"/>
                <w:color w:val="auto"/>
              </w:rPr>
            </w:pPr>
            <w:r>
              <w:rPr>
                <w:rFonts w:ascii="Arial" w:cs="Arial" w:eastAsia="Arial" w:hAnsi="Arial"/>
                <w:sz w:val="14"/>
                <w:szCs w:val="14"/>
                <w:color w:val="auto"/>
              </w:rPr>
              <w:t>Proceeds from issuance of common stock</w:t>
            </w:r>
          </w:p>
        </w:tc>
        <w:tc>
          <w:tcPr>
            <w:tcW w:w="34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40" w:type="dxa"/>
            <w:vAlign w:val="bottom"/>
            <w:gridSpan w:val="2"/>
          </w:tcPr>
          <w:p>
            <w:pPr>
              <w:jc w:val="right"/>
              <w:ind w:right="48"/>
              <w:spacing w:after="0"/>
              <w:rPr>
                <w:sz w:val="20"/>
                <w:szCs w:val="20"/>
                <w:color w:val="auto"/>
              </w:rPr>
            </w:pPr>
            <w:r>
              <w:rPr>
                <w:rFonts w:ascii="Arial" w:cs="Arial" w:eastAsia="Arial" w:hAnsi="Arial"/>
                <w:sz w:val="14"/>
                <w:szCs w:val="14"/>
                <w:color w:val="auto"/>
              </w:rPr>
              <w:t>11</w:t>
            </w: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60" w:type="dxa"/>
            <w:vAlign w:val="bottom"/>
            <w:gridSpan w:val="2"/>
          </w:tcPr>
          <w:p>
            <w:pPr>
              <w:jc w:val="right"/>
              <w:ind w:right="59"/>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42"/>
        </w:trPr>
        <w:tc>
          <w:tcPr>
            <w:tcW w:w="3920" w:type="dxa"/>
            <w:vAlign w:val="bottom"/>
            <w:tcBorders>
              <w:top w:val="single" w:sz="8" w:color="CCEEFF"/>
            </w:tcBorders>
            <w:shd w:val="clear" w:color="auto" w:fill="CCEEFF"/>
          </w:tcPr>
          <w:p>
            <w:pPr>
              <w:ind w:left="180"/>
              <w:spacing w:after="0" w:line="142" w:lineRule="exact"/>
              <w:rPr>
                <w:sz w:val="20"/>
                <w:szCs w:val="20"/>
                <w:color w:val="auto"/>
              </w:rPr>
            </w:pPr>
            <w:r>
              <w:rPr>
                <w:rFonts w:ascii="Arial" w:cs="Arial" w:eastAsia="Arial" w:hAnsi="Arial"/>
                <w:sz w:val="14"/>
                <w:szCs w:val="14"/>
                <w:color w:val="auto"/>
              </w:rPr>
              <w:t>Net cash (used in) provided by financing activities</w:t>
            </w:r>
          </w:p>
        </w:tc>
        <w:tc>
          <w:tcPr>
            <w:tcW w:w="34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auto"/>
              <w:bottom w:val="single" w:sz="8" w:color="auto"/>
            </w:tcBorders>
            <w:shd w:val="clear" w:color="auto" w:fill="CCEEFF"/>
          </w:tcPr>
          <w:p>
            <w:pPr>
              <w:spacing w:after="0"/>
              <w:rPr>
                <w:sz w:val="12"/>
                <w:szCs w:val="12"/>
                <w:color w:val="auto"/>
              </w:rPr>
            </w:pPr>
          </w:p>
        </w:tc>
        <w:tc>
          <w:tcPr>
            <w:tcW w:w="4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4"/>
              </w:rPr>
              <w:t>)</w:t>
            </w:r>
          </w:p>
        </w:tc>
        <w:tc>
          <w:tcPr>
            <w:tcW w:w="90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400" w:type="dxa"/>
            <w:vAlign w:val="bottom"/>
            <w:tcBorders>
              <w:top w:val="single" w:sz="8" w:color="auto"/>
              <w:bottom w:val="single" w:sz="8" w:color="auto"/>
            </w:tcBorders>
            <w:shd w:val="clear" w:color="auto" w:fill="CCEEFF"/>
          </w:tcPr>
          <w:p>
            <w:pPr>
              <w:spacing w:after="0"/>
              <w:rPr>
                <w:sz w:val="12"/>
                <w:szCs w:val="12"/>
                <w:color w:val="auto"/>
              </w:rPr>
            </w:pPr>
          </w:p>
        </w:tc>
        <w:tc>
          <w:tcPr>
            <w:tcW w:w="10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12</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w w:val="97"/>
              </w:rPr>
              <w:t>Effect of exchange rate changes on cash and cash equivalents</w:t>
            </w:r>
          </w:p>
        </w:tc>
        <w:tc>
          <w:tcPr>
            <w:tcW w:w="3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111</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(115)</w:t>
            </w:r>
          </w:p>
        </w:tc>
        <w:tc>
          <w:tcPr>
            <w:tcW w:w="0" w:type="dxa"/>
            <w:vAlign w:val="bottom"/>
          </w:tcPr>
          <w:p>
            <w:pPr>
              <w:spacing w:after="0"/>
              <w:rPr>
                <w:sz w:val="1"/>
                <w:szCs w:val="1"/>
                <w:color w:val="auto"/>
              </w:rPr>
            </w:pPr>
          </w:p>
        </w:tc>
      </w:tr>
      <w:tr>
        <w:trPr>
          <w:trHeight w:val="142"/>
        </w:trPr>
        <w:tc>
          <w:tcPr>
            <w:tcW w:w="3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INCREASE IN CASH AND CASH EQUIVALENTS</w:t>
            </w: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671</w:t>
            </w: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1,502</w:t>
            </w: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Cash and cash equivalents, beginning of period</w:t>
            </w:r>
          </w:p>
        </w:tc>
        <w:tc>
          <w:tcPr>
            <w:tcW w:w="340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w w:val="93"/>
              </w:rPr>
              <w:t>16,489</w:t>
            </w: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9,656</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tcPr>
          <w:p>
            <w:pPr>
              <w:ind w:left="100"/>
              <w:spacing w:after="0" w:line="155" w:lineRule="exact"/>
              <w:rPr>
                <w:sz w:val="20"/>
                <w:szCs w:val="20"/>
                <w:color w:val="auto"/>
              </w:rPr>
            </w:pPr>
            <w:r>
              <w:rPr>
                <w:rFonts w:ascii="Arial" w:cs="Arial" w:eastAsia="Arial" w:hAnsi="Arial"/>
                <w:sz w:val="14"/>
                <w:szCs w:val="14"/>
                <w:color w:val="auto"/>
              </w:rPr>
              <w:t>Cash and cash equivalents, end of period</w:t>
            </w:r>
          </w:p>
        </w:tc>
        <w:tc>
          <w:tcPr>
            <w:tcW w:w="3400" w:type="dxa"/>
            <w:vAlign w:val="bottom"/>
            <w:tcBorders>
              <w:bottom w:val="single" w:sz="8" w:color="CCEEFF"/>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928"/>
              <w:spacing w:after="0" w:line="155" w:lineRule="exact"/>
              <w:rPr>
                <w:sz w:val="20"/>
                <w:szCs w:val="20"/>
                <w:color w:val="auto"/>
              </w:rPr>
            </w:pPr>
            <w:r>
              <w:rPr>
                <w:rFonts w:ascii="Arial" w:cs="Arial" w:eastAsia="Arial" w:hAnsi="Arial"/>
                <w:sz w:val="14"/>
                <w:szCs w:val="14"/>
                <w:color w:val="auto"/>
                <w:w w:val="76"/>
              </w:rPr>
              <w:t>$</w:t>
            </w:r>
          </w:p>
        </w:tc>
        <w:tc>
          <w:tcPr>
            <w:tcW w:w="4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17,160</w:t>
            </w:r>
          </w:p>
        </w:tc>
        <w:tc>
          <w:tcPr>
            <w:tcW w:w="120" w:type="dxa"/>
            <w:vAlign w:val="bottom"/>
            <w:tcBorders>
              <w:bottom w:val="single" w:sz="8" w:color="CCEEFF"/>
            </w:tcBorders>
          </w:tcPr>
          <w:p>
            <w:pPr>
              <w:spacing w:after="0"/>
              <w:rPr>
                <w:sz w:val="17"/>
                <w:szCs w:val="17"/>
                <w:color w:val="auto"/>
              </w:rPr>
            </w:pPr>
          </w:p>
        </w:tc>
        <w:tc>
          <w:tcPr>
            <w:tcW w:w="9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400" w:type="dxa"/>
            <w:vAlign w:val="bottom"/>
            <w:tcBorders>
              <w:top w:val="single" w:sz="8" w:color="auto"/>
              <w:bottom w:val="single" w:sz="8" w:color="auto"/>
            </w:tcBorders>
          </w:tcPr>
          <w:p>
            <w:pPr>
              <w:jc w:val="right"/>
              <w:ind w:right="289"/>
              <w:spacing w:after="0"/>
              <w:rPr>
                <w:sz w:val="20"/>
                <w:szCs w:val="20"/>
                <w:color w:val="auto"/>
              </w:rPr>
            </w:pPr>
            <w:r>
              <w:rPr>
                <w:rFonts w:ascii="Arial" w:cs="Arial" w:eastAsia="Arial" w:hAnsi="Arial"/>
                <w:sz w:val="10"/>
                <w:szCs w:val="10"/>
                <w:color w:val="auto"/>
                <w:w w:val="71"/>
              </w:rPr>
              <w:t>$</w:t>
            </w:r>
          </w:p>
        </w:tc>
        <w:tc>
          <w:tcPr>
            <w:tcW w:w="10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11,158</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3920" w:type="dxa"/>
            <w:vAlign w:val="bottom"/>
            <w:shd w:val="clear" w:color="auto" w:fill="CCEEFF"/>
          </w:tcPr>
          <w:p>
            <w:pPr>
              <w:spacing w:after="0"/>
              <w:rPr>
                <w:sz w:val="11"/>
                <w:szCs w:val="11"/>
                <w:color w:val="auto"/>
              </w:rPr>
            </w:pPr>
          </w:p>
        </w:tc>
        <w:tc>
          <w:tcPr>
            <w:tcW w:w="340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9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b w:val="1"/>
                <w:bCs w:val="1"/>
                <w:color w:val="auto"/>
              </w:rPr>
              <w:t>NON-CASH ITEMS:</w:t>
            </w:r>
          </w:p>
        </w:tc>
        <w:tc>
          <w:tcPr>
            <w:tcW w:w="34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920" w:type="dxa"/>
            <w:vAlign w:val="bottom"/>
          </w:tcPr>
          <w:p>
            <w:pPr>
              <w:ind w:left="240"/>
              <w:spacing w:after="0"/>
              <w:rPr>
                <w:sz w:val="20"/>
                <w:szCs w:val="20"/>
                <w:color w:val="auto"/>
              </w:rPr>
            </w:pPr>
            <w:r>
              <w:rPr>
                <w:rFonts w:ascii="Arial" w:cs="Arial" w:eastAsia="Arial" w:hAnsi="Arial"/>
                <w:sz w:val="14"/>
                <w:szCs w:val="14"/>
                <w:color w:val="auto"/>
              </w:rPr>
              <w:t>Construction in progress in accounts payable</w:t>
            </w:r>
          </w:p>
        </w:tc>
        <w:tc>
          <w:tcPr>
            <w:tcW w:w="4480" w:type="dxa"/>
            <w:vAlign w:val="bottom"/>
            <w:gridSpan w:val="2"/>
          </w:tcPr>
          <w:p>
            <w:pPr>
              <w:jc w:val="right"/>
              <w:ind w:right="928"/>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48"/>
              <w:spacing w:after="0"/>
              <w:rPr>
                <w:sz w:val="20"/>
                <w:szCs w:val="20"/>
                <w:color w:val="auto"/>
              </w:rPr>
            </w:pPr>
            <w:r>
              <w:rPr>
                <w:rFonts w:ascii="Arial" w:cs="Arial" w:eastAsia="Arial" w:hAnsi="Arial"/>
                <w:sz w:val="14"/>
                <w:szCs w:val="14"/>
                <w:color w:val="auto"/>
              </w:rPr>
              <w:t>790</w:t>
            </w:r>
          </w:p>
        </w:tc>
        <w:tc>
          <w:tcPr>
            <w:tcW w:w="900" w:type="dxa"/>
            <w:vAlign w:val="bottom"/>
          </w:tcPr>
          <w:p>
            <w:pPr>
              <w:spacing w:after="0"/>
              <w:rPr>
                <w:sz w:val="15"/>
                <w:szCs w:val="15"/>
                <w:color w:val="auto"/>
              </w:rPr>
            </w:pPr>
          </w:p>
        </w:tc>
        <w:tc>
          <w:tcPr>
            <w:tcW w:w="420" w:type="dxa"/>
            <w:vAlign w:val="bottom"/>
            <w:gridSpan w:val="2"/>
          </w:tcPr>
          <w:p>
            <w:pPr>
              <w:jc w:val="right"/>
              <w:ind w:right="289"/>
              <w:spacing w:after="0"/>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3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ULTRALIFE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 amounts in thousands – except share and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1"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accompanying unaudited Condensed Consolidated Financial Statements of Ultralife Corporation (the “Company”) and subsidiaries have been prepared in accordance with generally accepted accounting principles in the United States of America (“GAAP”) for interim financial information and with the instructions to Rule 8-03 of Regulation S-X. Accordingly, they do not include all of the information and footnotes for complete financial statements. In the opinion of management, all adjustments (consisting of normal recurring accruals and adjustments) considered necessary for a fair presentation of the Condensed Consolidated Financial Statements have been included. Results for interim periods should not be considered indicative of results to be expected for a full year. Reference should be made to the Consolidated Financial Statements and related notes thereto contained in our Form 10-K for the year ended December 31, 2013.</w:t>
      </w:r>
    </w:p>
    <w:p>
      <w:pPr>
        <w:spacing w:after="0" w:line="18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December 31, 2013 condensed consolidated balance sheet data was derived from audited financial statements, but does not include all disclosures required by GAAP.</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Certain items previously reported in specific financial statement captions have been reclassified to conform to the current presentation.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monthly closing schedule is a 4/4/5 weekly-based cycle for each fiscal quarter, as opposed to a calendar month-based cycle for each fiscal quarter. While the actual dates for the quarter-ends will change slightly each year, we believe that there are not any material differences when making quarterly comparisons.</w:t>
      </w:r>
    </w:p>
    <w:p>
      <w:pPr>
        <w:spacing w:after="0" w:line="181"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SHARE REPURCHASE PROGRAM</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28, 2014, the Company’s Board of Directors approved a share repurchase program (the “Share Repurchase Program”) which became effective on May 1, 2014, under which the Company plans to repurchase up to 1.8 million shares of its outstanding common stock over a period not to exceed twelve months. Share repurchases, if any, will be made in accordance with SEC Rule 10b-18 using a variety of methods, which may include open market purchases, privately negotiated transactions and block trades, or any combination of such methods, in accordance with applicable insider trading and other securities laws and regulations. The timing, manner, price and amount of any repurchase will be determined at the Company’s discretion and the Share Repurchase Program may be suspended, terminated or modified by the Company at any time and for any reason. The Share Repurchase Program does not obligate the Company to repurchase any specific number of shares. No purchases have been made under this program through the period ended June 29, 2014.</w:t>
      </w:r>
    </w:p>
    <w:p>
      <w:pPr>
        <w:spacing w:after="0" w:line="167" w:lineRule="exact"/>
        <w:rPr>
          <w:sz w:val="20"/>
          <w:szCs w:val="20"/>
          <w:color w:val="auto"/>
        </w:rPr>
      </w:pPr>
    </w:p>
    <w:p>
      <w:pPr>
        <w:ind w:left="340" w:hanging="332"/>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INVENTORIES</w:t>
      </w:r>
    </w:p>
    <w:p>
      <w:pPr>
        <w:spacing w:after="0" w:line="225" w:lineRule="exact"/>
        <w:rPr>
          <w:rFonts w:ascii="Arial" w:cs="Arial" w:eastAsia="Arial" w:hAnsi="Arial"/>
          <w:sz w:val="18"/>
          <w:szCs w:val="18"/>
          <w:b w:val="1"/>
          <w:bCs w:val="1"/>
          <w:i w:val="1"/>
          <w:iCs w:val="1"/>
          <w:color w:val="auto"/>
        </w:rPr>
      </w:pPr>
    </w:p>
    <w:p>
      <w:pPr>
        <w:ind w:left="340"/>
        <w:spacing w:after="0"/>
        <w:rPr>
          <w:rFonts w:ascii="Arial" w:cs="Arial" w:eastAsia="Arial" w:hAnsi="Arial"/>
          <w:sz w:val="18"/>
          <w:szCs w:val="18"/>
          <w:b w:val="1"/>
          <w:bCs w:val="1"/>
          <w:i w:val="1"/>
          <w:iCs w:val="1"/>
          <w:color w:val="auto"/>
        </w:rPr>
      </w:pPr>
      <w:r>
        <w:rPr>
          <w:rFonts w:ascii="Arial" w:cs="Arial" w:eastAsia="Arial" w:hAnsi="Arial"/>
          <w:sz w:val="16"/>
          <w:szCs w:val="16"/>
          <w:color w:val="auto"/>
        </w:rPr>
        <w:t>Inventories are stated at the lower of cost or market with cost determined under the first-in, first-out (FIFO) method. The composition of inventories was:</w:t>
      </w: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20"/>
          </w:cols>
          <w:pgMar w:left="240" w:top="233" w:right="2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4"/>
        </w:trPr>
        <w:tc>
          <w:tcPr>
            <w:tcW w:w="400" w:type="dxa"/>
            <w:vAlign w:val="bottom"/>
            <w:tcBorders>
              <w:top w:val="single" w:sz="8" w:color="0000EE"/>
            </w:tcBorders>
          </w:tcPr>
          <w:p>
            <w:pPr>
              <w:spacing w:after="0"/>
              <w:rPr>
                <w:sz w:val="24"/>
                <w:szCs w:val="24"/>
                <w:color w:val="auto"/>
              </w:rPr>
            </w:pPr>
          </w:p>
        </w:tc>
        <w:tc>
          <w:tcPr>
            <w:tcW w:w="69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20" w:type="dxa"/>
            <w:vAlign w:val="bottom"/>
            <w:gridSpan w:val="3"/>
          </w:tcPr>
          <w:p>
            <w:pPr>
              <w:jc w:val="center"/>
              <w:ind w:right="1180"/>
              <w:spacing w:after="0"/>
              <w:rPr>
                <w:sz w:val="20"/>
                <w:szCs w:val="20"/>
                <w:color w:val="auto"/>
              </w:rPr>
            </w:pPr>
            <w:r>
              <w:rPr>
                <w:rFonts w:ascii="Arial" w:cs="Arial" w:eastAsia="Arial" w:hAnsi="Arial"/>
                <w:sz w:val="18"/>
                <w:szCs w:val="18"/>
                <w:b w:val="1"/>
                <w:bCs w:val="1"/>
                <w:color w:val="auto"/>
                <w:w w:val="88"/>
              </w:rPr>
              <w:t>June 29,</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gridSpan w:val="3"/>
          </w:tcPr>
          <w:p>
            <w:pPr>
              <w:ind w:left="80"/>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400" w:type="dxa"/>
            <w:vAlign w:val="bottom"/>
            <w:tcBorders>
              <w:bottom w:val="single" w:sz="8" w:color="CCEEFF"/>
            </w:tcBorders>
          </w:tcPr>
          <w:p>
            <w:pPr>
              <w:spacing w:after="0"/>
              <w:rPr>
                <w:sz w:val="20"/>
                <w:szCs w:val="20"/>
                <w:color w:val="auto"/>
              </w:rPr>
            </w:pPr>
          </w:p>
        </w:tc>
        <w:tc>
          <w:tcPr>
            <w:tcW w:w="69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Raw materials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15,819</w:t>
            </w: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0"/>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16,239</w:t>
            </w:r>
          </w:p>
        </w:tc>
        <w:tc>
          <w:tcPr>
            <w:tcW w:w="80" w:type="dxa"/>
            <w:vAlign w:val="bottom"/>
            <w:shd w:val="clear" w:color="auto" w:fill="CCEEFF"/>
          </w:tcPr>
          <w:p>
            <w:pPr>
              <w:spacing w:after="0"/>
              <w:rPr>
                <w:sz w:val="18"/>
                <w:szCs w:val="18"/>
                <w:color w:val="auto"/>
              </w:rPr>
            </w:pPr>
          </w:p>
        </w:tc>
      </w:tr>
      <w:tr>
        <w:trPr>
          <w:trHeight w:val="216"/>
        </w:trPr>
        <w:tc>
          <w:tcPr>
            <w:tcW w:w="7320" w:type="dxa"/>
            <w:vAlign w:val="bottom"/>
            <w:gridSpan w:val="2"/>
          </w:tcPr>
          <w:p>
            <w:pPr>
              <w:ind w:left="100"/>
              <w:spacing w:after="0"/>
              <w:rPr>
                <w:sz w:val="20"/>
                <w:szCs w:val="20"/>
                <w:color w:val="auto"/>
              </w:rPr>
            </w:pPr>
            <w:r>
              <w:rPr>
                <w:rFonts w:ascii="Arial" w:cs="Arial" w:eastAsia="Arial" w:hAnsi="Arial"/>
                <w:sz w:val="18"/>
                <w:szCs w:val="18"/>
                <w:color w:val="auto"/>
              </w:rPr>
              <w:t>Work in process</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2,501</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
              <w:spacing w:after="0"/>
              <w:rPr>
                <w:sz w:val="20"/>
                <w:szCs w:val="20"/>
                <w:color w:val="auto"/>
              </w:rPr>
            </w:pPr>
            <w:r>
              <w:rPr>
                <w:rFonts w:ascii="Arial" w:cs="Arial" w:eastAsia="Arial" w:hAnsi="Arial"/>
                <w:sz w:val="18"/>
                <w:szCs w:val="18"/>
                <w:color w:val="auto"/>
              </w:rPr>
              <w:t>2,412</w:t>
            </w:r>
          </w:p>
        </w:tc>
        <w:tc>
          <w:tcPr>
            <w:tcW w:w="80" w:type="dxa"/>
            <w:vAlign w:val="bottom"/>
          </w:tcPr>
          <w:p>
            <w:pPr>
              <w:spacing w:after="0"/>
              <w:rPr>
                <w:sz w:val="18"/>
                <w:szCs w:val="18"/>
                <w:color w:val="auto"/>
              </w:rPr>
            </w:pPr>
          </w:p>
        </w:tc>
      </w:tr>
      <w:tr>
        <w:trPr>
          <w:trHeight w:val="230"/>
        </w:trPr>
        <w:tc>
          <w:tcPr>
            <w:tcW w:w="73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Finished goods</w:t>
            </w:r>
          </w:p>
        </w:tc>
        <w:tc>
          <w:tcPr>
            <w:tcW w:w="30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8,759</w:t>
            </w:r>
          </w:p>
        </w:tc>
        <w:tc>
          <w:tcPr>
            <w:tcW w:w="9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7,402</w:t>
            </w:r>
          </w:p>
        </w:tc>
        <w:tc>
          <w:tcPr>
            <w:tcW w:w="80" w:type="dxa"/>
            <w:vAlign w:val="bottom"/>
            <w:shd w:val="clear" w:color="auto" w:fill="CCEEFF"/>
          </w:tcPr>
          <w:p>
            <w:pPr>
              <w:spacing w:after="0"/>
              <w:rPr>
                <w:sz w:val="19"/>
                <w:szCs w:val="19"/>
                <w:color w:val="auto"/>
              </w:rPr>
            </w:pPr>
          </w:p>
        </w:tc>
      </w:tr>
      <w:tr>
        <w:trPr>
          <w:trHeight w:val="223"/>
        </w:trPr>
        <w:tc>
          <w:tcPr>
            <w:tcW w:w="7320" w:type="dxa"/>
            <w:vAlign w:val="bottom"/>
            <w:gridSpan w:val="2"/>
          </w:tcPr>
          <w:p>
            <w:pPr>
              <w:ind w:left="32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27,079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26,053</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PROPERTY, EQUIPMENT AND IMPROVEMENTS</w:t>
      </w:r>
    </w:p>
    <w:p>
      <w:pPr>
        <w:spacing w:after="0" w:line="22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Major classes of property, equipment and improvements consisted of the following: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June 29,</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December 31,</w:t>
            </w:r>
          </w:p>
        </w:tc>
      </w:tr>
      <w:tr>
        <w:trPr>
          <w:trHeight w:val="234"/>
        </w:trPr>
        <w:tc>
          <w:tcPr>
            <w:tcW w:w="7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21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Land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123</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Buildings and leasehold improvements</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7,564</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7,412</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Machinery and equipment</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47,886</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47,405</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Furniture and fixtures</w:t>
            </w:r>
          </w:p>
        </w:tc>
        <w:tc>
          <w:tcPr>
            <w:tcW w:w="30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1,895</w:t>
            </w: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1,866</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Computer hardware and software</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4,287</w:t>
            </w:r>
          </w:p>
        </w:tc>
        <w:tc>
          <w:tcPr>
            <w:tcW w:w="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4,247</w:t>
            </w: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Construction in process</w:t>
            </w:r>
          </w:p>
        </w:tc>
        <w:tc>
          <w:tcPr>
            <w:tcW w:w="300" w:type="dxa"/>
            <w:vAlign w:val="bottom"/>
          </w:tcPr>
          <w:p>
            <w:pPr>
              <w:spacing w:after="0"/>
              <w:rPr>
                <w:sz w:val="19"/>
                <w:szCs w:val="19"/>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1,534</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Arial" w:cs="Arial" w:eastAsia="Arial" w:hAnsi="Arial"/>
                <w:sz w:val="18"/>
                <w:szCs w:val="18"/>
                <w:color w:val="auto"/>
              </w:rPr>
              <w:t>1,073</w:t>
            </w:r>
          </w:p>
        </w:tc>
      </w:tr>
      <w:tr>
        <w:trPr>
          <w:trHeight w:val="210"/>
        </w:trPr>
        <w:tc>
          <w:tcPr>
            <w:tcW w:w="7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63,289</w:t>
            </w:r>
          </w:p>
        </w:tc>
        <w:tc>
          <w:tcPr>
            <w:tcW w:w="12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62,126</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Less-accumulated depreciation</w:t>
            </w:r>
          </w:p>
        </w:tc>
        <w:tc>
          <w:tcPr>
            <w:tcW w:w="300" w:type="dxa"/>
            <w:vAlign w:val="bottom"/>
          </w:tcPr>
          <w:p>
            <w:pPr>
              <w:spacing w:after="0"/>
              <w:rPr>
                <w:sz w:val="19"/>
                <w:szCs w:val="19"/>
                <w:color w:val="auto"/>
              </w:rPr>
            </w:pP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(53,373)</w:t>
            </w: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(51,924)</w:t>
            </w:r>
          </w:p>
        </w:tc>
      </w:tr>
      <w:tr>
        <w:trPr>
          <w:trHeight w:val="223"/>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Net property, equipment and improvements</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9,916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Depreciation expense for property, equipment and improvements was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00" w:type="dxa"/>
            <w:vAlign w:val="bottom"/>
          </w:tcPr>
          <w:p>
            <w:pPr>
              <w:spacing w:after="0"/>
              <w:rPr>
                <w:sz w:val="18"/>
                <w:szCs w:val="18"/>
                <w:color w:val="auto"/>
              </w:rPr>
            </w:pPr>
          </w:p>
        </w:tc>
        <w:tc>
          <w:tcPr>
            <w:tcW w:w="4740" w:type="dxa"/>
            <w:vAlign w:val="bottom"/>
            <w:gridSpan w:val="6"/>
          </w:tcPr>
          <w:p>
            <w:pPr>
              <w:ind w:left="1640"/>
              <w:spacing w:after="0"/>
              <w:rPr>
                <w:sz w:val="20"/>
                <w:szCs w:val="20"/>
                <w:color w:val="auto"/>
              </w:rPr>
            </w:pPr>
            <w:r>
              <w:rPr>
                <w:rFonts w:ascii="Arial" w:cs="Arial" w:eastAsia="Arial" w:hAnsi="Arial"/>
                <w:sz w:val="18"/>
                <w:szCs w:val="18"/>
                <w:b w:val="1"/>
                <w:bCs w:val="1"/>
                <w:color w:val="auto"/>
              </w:rPr>
              <w:t>Three-month periods ended</w:t>
            </w:r>
          </w:p>
        </w:tc>
        <w:tc>
          <w:tcPr>
            <w:tcW w:w="2320" w:type="dxa"/>
            <w:vAlign w:val="bottom"/>
            <w:gridSpan w:val="5"/>
          </w:tcPr>
          <w:p>
            <w:pPr>
              <w:ind w:left="340"/>
              <w:spacing w:after="0"/>
              <w:rPr>
                <w:sz w:val="20"/>
                <w:szCs w:val="20"/>
                <w:color w:val="auto"/>
              </w:rPr>
            </w:pPr>
            <w:r>
              <w:rPr>
                <w:rFonts w:ascii="Arial" w:cs="Arial" w:eastAsia="Arial" w:hAnsi="Arial"/>
                <w:sz w:val="18"/>
                <w:szCs w:val="18"/>
                <w:b w:val="1"/>
                <w:bCs w:val="1"/>
                <w:color w:val="auto"/>
                <w:w w:val="90"/>
              </w:rPr>
              <w:t>Six-month periods ended</w:t>
            </w:r>
          </w:p>
        </w:tc>
        <w:tc>
          <w:tcPr>
            <w:tcW w:w="1060" w:type="dxa"/>
            <w:vAlign w:val="bottom"/>
          </w:tcPr>
          <w:p>
            <w:pPr>
              <w:spacing w:after="0"/>
              <w:rPr>
                <w:sz w:val="18"/>
                <w:szCs w:val="18"/>
                <w:color w:val="auto"/>
              </w:rPr>
            </w:pPr>
          </w:p>
        </w:tc>
      </w:tr>
      <w:tr>
        <w:trPr>
          <w:trHeight w:val="230"/>
        </w:trPr>
        <w:tc>
          <w:tcPr>
            <w:tcW w:w="330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June 29,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June 30,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88"/>
              </w:rPr>
              <w:t>June 29,</w:t>
            </w: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center"/>
              <w:ind w:right="210"/>
              <w:spacing w:after="0"/>
              <w:rPr>
                <w:sz w:val="20"/>
                <w:szCs w:val="20"/>
                <w:color w:val="auto"/>
              </w:rPr>
            </w:pPr>
            <w:r>
              <w:rPr>
                <w:rFonts w:ascii="Arial" w:cs="Arial" w:eastAsia="Arial" w:hAnsi="Arial"/>
                <w:sz w:val="18"/>
                <w:szCs w:val="18"/>
                <w:b w:val="1"/>
                <w:bCs w:val="1"/>
                <w:color w:val="auto"/>
                <w:w w:val="88"/>
              </w:rPr>
              <w:t>June 30,</w:t>
            </w:r>
          </w:p>
        </w:tc>
      </w:tr>
      <w:tr>
        <w:trPr>
          <w:trHeight w:val="234"/>
        </w:trPr>
        <w:tc>
          <w:tcPr>
            <w:tcW w:w="3300" w:type="dxa"/>
            <w:vAlign w:val="bottom"/>
            <w:tcBorders>
              <w:bottom w:val="single" w:sz="8" w:color="CCEEFF"/>
            </w:tcBorders>
          </w:tcPr>
          <w:p>
            <w:pPr>
              <w:spacing w:after="0"/>
              <w:rPr>
                <w:sz w:val="20"/>
                <w:szCs w:val="20"/>
                <w:color w:val="auto"/>
              </w:rPr>
            </w:pPr>
          </w:p>
        </w:tc>
        <w:tc>
          <w:tcPr>
            <w:tcW w:w="16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2013</w:t>
            </w:r>
          </w:p>
        </w:tc>
      </w:tr>
      <w:tr>
        <w:trPr>
          <w:trHeight w:val="210"/>
        </w:trPr>
        <w:tc>
          <w:tcPr>
            <w:tcW w:w="33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Depreciation expense</w:t>
            </w:r>
          </w:p>
        </w:tc>
        <w:tc>
          <w:tcPr>
            <w:tcW w:w="1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754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729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1,465</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1,559</w:t>
            </w:r>
          </w:p>
        </w:tc>
      </w:tr>
    </w:tbl>
    <w:p>
      <w:pPr>
        <w:spacing w:after="0" w:line="202"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GOODWILL, INTANGIBLE ASSETS AND LONG TERM ASSETS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Goodwill</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goodwill activity by segment for the six-month periods ended June 29, 2014 and June 30, 2013:</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60" w:type="dxa"/>
            <w:vAlign w:val="bottom"/>
            <w:gridSpan w:val="3"/>
          </w:tcPr>
          <w:p>
            <w:pPr>
              <w:jc w:val="center"/>
              <w:ind w:right="840"/>
              <w:spacing w:after="0"/>
              <w:rPr>
                <w:sz w:val="20"/>
                <w:szCs w:val="20"/>
                <w:color w:val="auto"/>
              </w:rPr>
            </w:pPr>
            <w:r>
              <w:rPr>
                <w:rFonts w:ascii="Arial" w:cs="Arial" w:eastAsia="Arial" w:hAnsi="Arial"/>
                <w:sz w:val="18"/>
                <w:szCs w:val="18"/>
                <w:b w:val="1"/>
                <w:bCs w:val="1"/>
                <w:color w:val="auto"/>
                <w:w w:val="97"/>
              </w:rPr>
              <w:t>Battery &amp;</w:t>
            </w:r>
          </w:p>
        </w:tc>
        <w:tc>
          <w:tcPr>
            <w:tcW w:w="200" w:type="dxa"/>
            <w:vAlign w:val="bottom"/>
          </w:tcPr>
          <w:p>
            <w:pPr>
              <w:spacing w:after="0"/>
              <w:rPr>
                <w:sz w:val="18"/>
                <w:szCs w:val="18"/>
                <w:color w:val="auto"/>
              </w:rPr>
            </w:pPr>
          </w:p>
        </w:tc>
        <w:tc>
          <w:tcPr>
            <w:tcW w:w="184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94"/>
              </w:rPr>
              <w:t>Communi-</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6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91"/>
              </w:rPr>
              <w:t>Energy</w:t>
            </w:r>
          </w:p>
        </w:tc>
        <w:tc>
          <w:tcPr>
            <w:tcW w:w="200" w:type="dxa"/>
            <w:vAlign w:val="bottom"/>
          </w:tcPr>
          <w:p>
            <w:pPr>
              <w:spacing w:after="0"/>
              <w:rPr>
                <w:sz w:val="19"/>
                <w:szCs w:val="19"/>
                <w:color w:val="auto"/>
              </w:rPr>
            </w:pPr>
          </w:p>
        </w:tc>
        <w:tc>
          <w:tcPr>
            <w:tcW w:w="18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5"/>
              </w:rPr>
              <w:t>cations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60" w:type="dxa"/>
            <w:vAlign w:val="bottom"/>
            <w:gridSpan w:val="3"/>
          </w:tcPr>
          <w:p>
            <w:pPr>
              <w:jc w:val="center"/>
              <w:ind w:right="800"/>
              <w:spacing w:after="0"/>
              <w:rPr>
                <w:sz w:val="20"/>
                <w:szCs w:val="20"/>
                <w:color w:val="auto"/>
              </w:rPr>
            </w:pPr>
            <w:r>
              <w:rPr>
                <w:rFonts w:ascii="Arial" w:cs="Arial" w:eastAsia="Arial" w:hAnsi="Arial"/>
                <w:sz w:val="18"/>
                <w:szCs w:val="18"/>
                <w:b w:val="1"/>
                <w:bCs w:val="1"/>
                <w:color w:val="auto"/>
                <w:w w:val="89"/>
              </w:rPr>
              <w:t>Products</w:t>
            </w:r>
          </w:p>
        </w:tc>
        <w:tc>
          <w:tcPr>
            <w:tcW w:w="200" w:type="dxa"/>
            <w:vAlign w:val="bottom"/>
          </w:tcPr>
          <w:p>
            <w:pPr>
              <w:spacing w:after="0"/>
              <w:rPr>
                <w:sz w:val="20"/>
                <w:szCs w:val="20"/>
                <w:color w:val="auto"/>
              </w:rPr>
            </w:pPr>
          </w:p>
        </w:tc>
        <w:tc>
          <w:tcPr>
            <w:tcW w:w="184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3"/>
              </w:rPr>
              <w:t>Systems</w:t>
            </w:r>
          </w:p>
        </w:tc>
        <w:tc>
          <w:tcPr>
            <w:tcW w:w="320" w:type="dxa"/>
            <w:vAlign w:val="bottom"/>
          </w:tcPr>
          <w:p>
            <w:pPr>
              <w:spacing w:after="0"/>
              <w:rPr>
                <w:sz w:val="20"/>
                <w:szCs w:val="20"/>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2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Balance - December 31, 2012</w:t>
            </w:r>
          </w:p>
        </w:tc>
        <w:tc>
          <w:tcPr>
            <w:tcW w:w="18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11,493</w:t>
            </w:r>
          </w:p>
        </w:tc>
        <w:tc>
          <w:tcPr>
            <w:tcW w:w="5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16,344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30, 2013</w:t>
            </w: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4,864</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16,357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December 31, 2013</w:t>
            </w:r>
          </w:p>
        </w:tc>
        <w:tc>
          <w:tcPr>
            <w:tcW w:w="16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4,926</w:t>
            </w: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20" w:type="dxa"/>
            <w:vAlign w:val="bottom"/>
          </w:tcPr>
          <w:p>
            <w:pPr>
              <w:ind w:left="120"/>
              <w:spacing w:after="0"/>
              <w:rPr>
                <w:sz w:val="20"/>
                <w:szCs w:val="20"/>
                <w:color w:val="auto"/>
              </w:rPr>
            </w:pPr>
            <w:r>
              <w:rPr>
                <w:rFonts w:ascii="Arial" w:cs="Arial" w:eastAsia="Arial" w:hAnsi="Arial"/>
                <w:sz w:val="18"/>
                <w:szCs w:val="18"/>
                <w:color w:val="auto"/>
              </w:rPr>
              <w:t>Effect of foreign currency translation</w:t>
            </w:r>
          </w:p>
        </w:tc>
        <w:tc>
          <w:tcPr>
            <w:tcW w:w="1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40" w:type="dxa"/>
            <w:vAlign w:val="bottom"/>
            <w:gridSpan w:val="3"/>
          </w:tcPr>
          <w:p>
            <w:pPr>
              <w:ind w:left="9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 June 29, 2014</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1600" w:type="dxa"/>
            <w:vAlign w:val="bottom"/>
            <w:vMerge w:val="restart"/>
          </w:tcPr>
          <w:p>
            <w:pPr>
              <w:jc w:val="right"/>
              <w:spacing w:after="0"/>
              <w:rPr>
                <w:sz w:val="20"/>
                <w:szCs w:val="20"/>
                <w:color w:val="auto"/>
              </w:rPr>
            </w:pPr>
            <w:r>
              <w:rPr>
                <w:rFonts w:ascii="Arial" w:cs="Arial" w:eastAsia="Arial" w:hAnsi="Arial"/>
                <w:sz w:val="16"/>
                <w:szCs w:val="16"/>
                <w:color w:val="auto"/>
              </w:rPr>
              <w:t>7</w:t>
            </w: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3"/>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1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16"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520" w:type="dxa"/>
            <w:vAlign w:val="bottom"/>
            <w:gridSpan w:val="3"/>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4500" w:type="dxa"/>
            <w:vAlign w:val="bottom"/>
            <w:gridSpan w:val="2"/>
          </w:tcPr>
          <w:p>
            <w:pPr>
              <w:ind w:left="320"/>
              <w:spacing w:after="0"/>
              <w:rPr>
                <w:sz w:val="20"/>
                <w:szCs w:val="20"/>
                <w:color w:val="auto"/>
              </w:rPr>
            </w:pPr>
            <w:r>
              <w:rPr>
                <w:rFonts w:ascii="Arial" w:cs="Arial" w:eastAsia="Arial" w:hAnsi="Arial"/>
                <w:sz w:val="18"/>
                <w:szCs w:val="18"/>
                <w:color w:val="auto"/>
              </w:rPr>
              <w:t>b. Intangible Assets</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500" w:type="dxa"/>
            <w:vAlign w:val="bottom"/>
            <w:gridSpan w:val="2"/>
          </w:tcPr>
          <w:p>
            <w:pPr>
              <w:ind w:left="240"/>
              <w:spacing w:after="0"/>
              <w:rPr>
                <w:sz w:val="20"/>
                <w:szCs w:val="20"/>
                <w:color w:val="auto"/>
              </w:rPr>
            </w:pPr>
            <w:r>
              <w:rPr>
                <w:rFonts w:ascii="Arial" w:cs="Arial" w:eastAsia="Arial" w:hAnsi="Arial"/>
                <w:sz w:val="18"/>
                <w:szCs w:val="18"/>
                <w:color w:val="auto"/>
              </w:rPr>
              <w:t>The composition of intangible assets was:</w:t>
            </w: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rPr>
              <w:t>at June 29, 2014</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3"/>
          </w:tcPr>
          <w:p>
            <w:pPr>
              <w:ind w:left="120"/>
              <w:spacing w:after="0" w:line="205"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ind w:left="14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Pr>
          <w:p>
            <w:pPr>
              <w:spacing w:after="0"/>
              <w:rPr>
                <w:sz w:val="20"/>
                <w:szCs w:val="20"/>
                <w:color w:val="auto"/>
              </w:rPr>
            </w:pPr>
          </w:p>
        </w:tc>
        <w:tc>
          <w:tcPr>
            <w:tcW w:w="1120" w:type="dxa"/>
            <w:vAlign w:val="bottom"/>
            <w:gridSpan w:val="2"/>
          </w:tcPr>
          <w:p>
            <w:pPr>
              <w:ind w:left="26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Trademarks</w:t>
            </w:r>
          </w:p>
        </w:tc>
        <w:tc>
          <w:tcPr>
            <w:tcW w:w="16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3,567</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Patents and technology</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4,508</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(4,025)</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4,026</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(3,615)</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Distributor relationships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(361)</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13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218</w:t>
            </w:r>
          </w:p>
        </w:tc>
        <w:tc>
          <w:tcPr>
            <w:tcW w:w="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(218)</w:t>
            </w:r>
          </w:p>
        </w:tc>
        <w:tc>
          <w:tcPr>
            <w:tcW w:w="5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Total intangible assets</w:t>
            </w:r>
          </w:p>
        </w:tc>
        <w:tc>
          <w:tcPr>
            <w:tcW w:w="132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12,709</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(8,219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5"/>
          </w:tcPr>
          <w:p>
            <w:pPr>
              <w:ind w:left="460"/>
              <w:spacing w:after="0"/>
              <w:rPr>
                <w:sz w:val="20"/>
                <w:szCs w:val="20"/>
                <w:color w:val="auto"/>
              </w:rPr>
            </w:pPr>
            <w:r>
              <w:rPr>
                <w:rFonts w:ascii="Arial" w:cs="Arial" w:eastAsia="Arial" w:hAnsi="Arial"/>
                <w:sz w:val="18"/>
                <w:szCs w:val="18"/>
                <w:b w:val="1"/>
                <w:bCs w:val="1"/>
                <w:color w:val="auto"/>
              </w:rPr>
              <w:t>at December 31, 2013</w:t>
            </w:r>
          </w:p>
        </w:tc>
        <w:tc>
          <w:tcPr>
            <w:tcW w:w="3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gridSpan w:val="3"/>
          </w:tcPr>
          <w:p>
            <w:pPr>
              <w:jc w:val="right"/>
              <w:ind w:right="680"/>
              <w:spacing w:after="0" w:line="205" w:lineRule="exact"/>
              <w:rPr>
                <w:sz w:val="20"/>
                <w:szCs w:val="20"/>
                <w:color w:val="auto"/>
              </w:rPr>
            </w:pPr>
            <w:r>
              <w:rPr>
                <w:rFonts w:ascii="Arial" w:cs="Arial" w:eastAsia="Arial" w:hAnsi="Arial"/>
                <w:sz w:val="18"/>
                <w:szCs w:val="18"/>
                <w:b w:val="1"/>
                <w:bCs w:val="1"/>
                <w:color w:val="auto"/>
              </w:rPr>
              <w:t>Accumulated</w:t>
            </w: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Cost</w:t>
            </w: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gridSpan w:val="3"/>
          </w:tcPr>
          <w:p>
            <w:pPr>
              <w:jc w:val="right"/>
              <w:ind w:right="680"/>
              <w:spacing w:after="0"/>
              <w:rPr>
                <w:sz w:val="20"/>
                <w:szCs w:val="20"/>
                <w:color w:val="auto"/>
              </w:rPr>
            </w:pPr>
            <w:r>
              <w:rPr>
                <w:rFonts w:ascii="Arial" w:cs="Arial" w:eastAsia="Arial" w:hAnsi="Arial"/>
                <w:sz w:val="18"/>
                <w:szCs w:val="18"/>
                <w:b w:val="1"/>
                <w:bCs w:val="1"/>
                <w:color w:val="auto"/>
              </w:rPr>
              <w:t>amortization</w:t>
            </w:r>
          </w:p>
        </w:tc>
        <w:tc>
          <w:tcPr>
            <w:tcW w:w="340" w:type="dxa"/>
            <w:vAlign w:val="bottom"/>
          </w:tcPr>
          <w:p>
            <w:pPr>
              <w:spacing w:after="0"/>
              <w:rPr>
                <w:sz w:val="20"/>
                <w:szCs w:val="20"/>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b w:val="1"/>
                <w:bCs w:val="1"/>
                <w:color w:val="auto"/>
              </w:rPr>
              <w:t>Net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 w:type="dxa"/>
            <w:vAlign w:val="bottom"/>
            <w:tcBorders>
              <w:top w:val="single" w:sz="8" w:color="CCEEFF"/>
            </w:tcBorders>
            <w:shd w:val="clear" w:color="auto" w:fill="CCEEFF"/>
          </w:tcPr>
          <w:p>
            <w:pPr>
              <w:spacing w:after="0"/>
              <w:rPr>
                <w:sz w:val="18"/>
                <w:szCs w:val="18"/>
                <w:color w:val="auto"/>
              </w:rPr>
            </w:pPr>
          </w:p>
        </w:tc>
        <w:tc>
          <w:tcPr>
            <w:tcW w:w="412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Trademarks</w:t>
            </w:r>
          </w:p>
        </w:tc>
        <w:tc>
          <w:tcPr>
            <w:tcW w:w="16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3,568</w:t>
            </w:r>
          </w:p>
        </w:tc>
        <w:tc>
          <w:tcPr>
            <w:tcW w:w="12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940" w:type="dxa"/>
            <w:vAlign w:val="bottom"/>
            <w:gridSpan w:val="3"/>
          </w:tcPr>
          <w:p>
            <w:pPr>
              <w:ind w:left="10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3,568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Patents and technology</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4,511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(3,941)</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Customer relationships</w:t>
            </w: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4,033</w:t>
            </w: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(3,562)</w:t>
            </w: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Distributor relationships</w:t>
            </w: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393</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(356)</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Non-compete agreements</w:t>
            </w:r>
          </w:p>
        </w:tc>
        <w:tc>
          <w:tcPr>
            <w:tcW w:w="1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218</w:t>
            </w: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(218)</w:t>
            </w:r>
          </w:p>
        </w:tc>
        <w:tc>
          <w:tcPr>
            <w:tcW w:w="5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 intangible assets</w:t>
            </w:r>
          </w:p>
        </w:tc>
        <w:tc>
          <w:tcPr>
            <w:tcW w:w="132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12,723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(8,077</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560" w:type="dxa"/>
            <w:vAlign w:val="bottom"/>
            <w:tcBorders>
              <w:top w:val="single" w:sz="8" w:color="CCEEFF"/>
              <w:bottom w:val="single" w:sz="8" w:color="CCEEFF"/>
            </w:tcBorders>
            <w:shd w:val="clear" w:color="auto" w:fill="CCEEFF"/>
          </w:tcPr>
          <w:p>
            <w:pPr>
              <w:spacing w:after="0"/>
              <w:rPr>
                <w:sz w:val="19"/>
                <w:szCs w:val="19"/>
                <w:color w:val="auto"/>
              </w:rPr>
            </w:pPr>
          </w:p>
        </w:tc>
        <w:tc>
          <w:tcPr>
            <w:tcW w:w="34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Amortization expense for intangible assets was as follows:</w:t>
      </w:r>
    </w:p>
    <w:p>
      <w:pPr>
        <w:sectPr>
          <w:pgSz w:w="11900" w:h="16838" w:orient="portrait"/>
          <w:cols w:equalWidth="0" w:num="1">
            <w:col w:w="11420"/>
          </w:cols>
          <w:pgMar w:left="240" w:top="21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Amortization included in:</w:t>
      </w:r>
    </w:p>
    <w:p>
      <w:pPr>
        <w:spacing w:after="0" w:line="23" w:lineRule="exact"/>
        <w:rPr>
          <w:sz w:val="20"/>
          <w:szCs w:val="20"/>
          <w:color w:val="auto"/>
        </w:rPr>
      </w:pPr>
    </w:p>
    <w:p>
      <w:pPr>
        <w:ind w:left="240"/>
        <w:spacing w:after="0"/>
        <w:rPr>
          <w:sz w:val="20"/>
          <w:szCs w:val="20"/>
          <w:color w:val="auto"/>
        </w:rPr>
      </w:pPr>
      <w:r>
        <w:rPr>
          <w:rFonts w:ascii="Arial" w:cs="Arial" w:eastAsia="Arial" w:hAnsi="Arial"/>
          <w:sz w:val="18"/>
          <w:szCs w:val="18"/>
          <w:color w:val="auto"/>
        </w:rPr>
        <w:t>Research and development</w:t>
      </w:r>
    </w:p>
    <w:p>
      <w:pPr>
        <w:spacing w:after="0" w:line="9" w:lineRule="exact"/>
        <w:rPr>
          <w:sz w:val="20"/>
          <w:szCs w:val="20"/>
          <w:color w:val="auto"/>
        </w:rPr>
      </w:pPr>
    </w:p>
    <w:p>
      <w:pPr>
        <w:ind w:left="240"/>
        <w:spacing w:after="0"/>
        <w:rPr>
          <w:sz w:val="20"/>
          <w:szCs w:val="20"/>
          <w:color w:val="auto"/>
        </w:rPr>
      </w:pPr>
      <w:r>
        <w:rPr>
          <w:rFonts w:ascii="Arial" w:cs="Arial" w:eastAsia="Arial" w:hAnsi="Arial"/>
          <w:sz w:val="16"/>
          <w:szCs w:val="16"/>
          <w:color w:val="auto"/>
        </w:rPr>
        <w:t>Selling, general and administrative</w:t>
      </w:r>
    </w:p>
    <w:p>
      <w:pPr>
        <w:spacing w:after="0" w:line="32"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Total amortization expense</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780" w:type="dxa"/>
            <w:vAlign w:val="bottom"/>
            <w:gridSpan w:val="6"/>
          </w:tcPr>
          <w:p>
            <w:pPr>
              <w:spacing w:after="0"/>
              <w:rPr>
                <w:sz w:val="20"/>
                <w:szCs w:val="20"/>
                <w:color w:val="auto"/>
              </w:rPr>
            </w:pPr>
            <w:r>
              <w:rPr>
                <w:rFonts w:ascii="Arial" w:cs="Arial" w:eastAsia="Arial" w:hAnsi="Arial"/>
                <w:sz w:val="18"/>
                <w:szCs w:val="18"/>
                <w:b w:val="1"/>
                <w:bCs w:val="1"/>
                <w:color w:val="auto"/>
              </w:rPr>
              <w:t>Three-month periods ended</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20" w:type="dxa"/>
            <w:vAlign w:val="bottom"/>
            <w:gridSpan w:val="7"/>
          </w:tcPr>
          <w:p>
            <w:pPr>
              <w:ind w:left="340"/>
              <w:spacing w:after="0"/>
              <w:rPr>
                <w:sz w:val="20"/>
                <w:szCs w:val="20"/>
                <w:color w:val="auto"/>
              </w:rPr>
            </w:pPr>
            <w:r>
              <w:rPr>
                <w:rFonts w:ascii="Arial" w:cs="Arial" w:eastAsia="Arial" w:hAnsi="Arial"/>
                <w:sz w:val="18"/>
                <w:szCs w:val="18"/>
                <w:b w:val="1"/>
                <w:bCs w:val="1"/>
                <w:color w:val="auto"/>
                <w:w w:val="90"/>
              </w:rPr>
              <w:t>Six-month periods ended</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1040" w:type="dxa"/>
            <w:vAlign w:val="bottom"/>
          </w:tcPr>
          <w:p>
            <w:pPr>
              <w:jc w:val="center"/>
              <w:ind w:left="230"/>
              <w:spacing w:after="0"/>
              <w:rPr>
                <w:sz w:val="20"/>
                <w:szCs w:val="20"/>
                <w:color w:val="auto"/>
              </w:rPr>
            </w:pPr>
            <w:r>
              <w:rPr>
                <w:rFonts w:ascii="Arial" w:cs="Arial" w:eastAsia="Arial" w:hAnsi="Arial"/>
                <w:sz w:val="18"/>
                <w:szCs w:val="18"/>
                <w:b w:val="1"/>
                <w:bCs w:val="1"/>
                <w:color w:val="auto"/>
                <w:w w:val="88"/>
              </w:rPr>
              <w:t>June 29,</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June 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b w:val="1"/>
                <w:bCs w:val="1"/>
                <w:color w:val="auto"/>
              </w:rPr>
              <w:t>June 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b w:val="1"/>
                <w:bCs w:val="1"/>
                <w:color w:val="auto"/>
                <w:w w:val="94"/>
              </w:rPr>
              <w:t>June 30,</w:t>
            </w:r>
          </w:p>
        </w:tc>
        <w:tc>
          <w:tcPr>
            <w:tcW w:w="100" w:type="dxa"/>
            <w:vAlign w:val="bottom"/>
          </w:tcPr>
          <w:p>
            <w:pPr>
              <w:spacing w:after="0"/>
              <w:rPr>
                <w:sz w:val="19"/>
                <w:szCs w:val="19"/>
                <w:color w:val="auto"/>
              </w:rPr>
            </w:pPr>
          </w:p>
        </w:tc>
      </w:tr>
      <w:tr>
        <w:trPr>
          <w:trHeight w:val="234"/>
        </w:trPr>
        <w:tc>
          <w:tcPr>
            <w:tcW w:w="20" w:type="dxa"/>
            <w:vAlign w:val="bottom"/>
          </w:tcPr>
          <w:p>
            <w:pPr>
              <w:spacing w:after="0"/>
              <w:rPr>
                <w:sz w:val="20"/>
                <w:szCs w:val="20"/>
                <w:color w:val="auto"/>
              </w:rPr>
            </w:pPr>
          </w:p>
        </w:tc>
        <w:tc>
          <w:tcPr>
            <w:tcW w:w="10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2014</w:t>
            </w:r>
          </w:p>
        </w:tc>
        <w:tc>
          <w:tcPr>
            <w:tcW w:w="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b w:val="1"/>
                <w:bCs w:val="1"/>
                <w:color w:val="auto"/>
              </w:rPr>
              <w:t>2013</w:t>
            </w:r>
          </w:p>
        </w:tc>
        <w:tc>
          <w:tcPr>
            <w:tcW w:w="2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425"/>
        </w:trPr>
        <w:tc>
          <w:tcPr>
            <w:tcW w:w="1060" w:type="dxa"/>
            <w:vAlign w:val="bottom"/>
            <w:gridSpan w:val="2"/>
          </w:tcPr>
          <w:p>
            <w:pPr>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45</w:t>
            </w:r>
          </w:p>
        </w:tc>
        <w:tc>
          <w:tcPr>
            <w:tcW w:w="1400" w:type="dxa"/>
            <w:vAlign w:val="bottom"/>
            <w:gridSpan w:val="2"/>
          </w:tcPr>
          <w:p>
            <w:pPr>
              <w:jc w:val="right"/>
              <w:ind w:right="875"/>
              <w:spacing w:after="0"/>
              <w:rPr>
                <w:sz w:val="20"/>
                <w:szCs w:val="20"/>
                <w:color w:val="auto"/>
              </w:rPr>
            </w:pPr>
            <w:r>
              <w:rPr>
                <w:rFonts w:ascii="Arial" w:cs="Arial" w:eastAsia="Arial" w:hAnsi="Arial"/>
                <w:sz w:val="18"/>
                <w:szCs w:val="18"/>
                <w:color w:val="auto"/>
              </w:rPr>
              <w:t>$</w:t>
            </w:r>
          </w:p>
        </w:tc>
        <w:tc>
          <w:tcPr>
            <w:tcW w:w="220" w:type="dxa"/>
            <w:vAlign w:val="bottom"/>
          </w:tcPr>
          <w:p>
            <w:pPr>
              <w:jc w:val="right"/>
              <w:spacing w:after="0"/>
              <w:rPr>
                <w:sz w:val="20"/>
                <w:szCs w:val="20"/>
                <w:color w:val="auto"/>
              </w:rPr>
            </w:pPr>
            <w:r>
              <w:rPr>
                <w:rFonts w:ascii="Arial" w:cs="Arial" w:eastAsia="Arial" w:hAnsi="Arial"/>
                <w:sz w:val="18"/>
                <w:szCs w:val="18"/>
                <w:color w:val="auto"/>
                <w:w w:val="99"/>
              </w:rPr>
              <w:t>55</w:t>
            </w:r>
          </w:p>
        </w:tc>
        <w:tc>
          <w:tcPr>
            <w:tcW w:w="66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87</w:t>
            </w:r>
          </w:p>
        </w:tc>
        <w:tc>
          <w:tcPr>
            <w:tcW w:w="320" w:type="dxa"/>
            <w:vAlign w:val="bottom"/>
          </w:tcPr>
          <w:p>
            <w:pPr>
              <w:spacing w:after="0"/>
              <w:rPr>
                <w:sz w:val="24"/>
                <w:szCs w:val="24"/>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4"/>
                <w:szCs w:val="24"/>
                <w:color w:val="auto"/>
              </w:rPr>
            </w:pPr>
          </w:p>
        </w:tc>
      </w:tr>
      <w:tr>
        <w:trPr>
          <w:trHeight w:val="230"/>
        </w:trPr>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gridSpan w:val="2"/>
          </w:tcPr>
          <w:p>
            <w:pPr>
              <w:ind w:left="2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w w:val="99"/>
              </w:rPr>
              <w:t>43</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0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80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ind w:right="875"/>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-3131185</wp:posOffset>
            </wp:positionH>
            <wp:positionV relativeFrom="paragraph">
              <wp:posOffset>-608330</wp:posOffset>
            </wp:positionV>
            <wp:extent cx="7246620" cy="146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-3131185</wp:posOffset>
            </wp:positionH>
            <wp:positionV relativeFrom="paragraph">
              <wp:posOffset>-325120</wp:posOffset>
            </wp:positionV>
            <wp:extent cx="7246620" cy="146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220" w:space="720"/>
            <w:col w:w="6480"/>
          </w:cols>
          <w:pgMar w:left="240" w:top="216" w:right="239" w:bottom="1440" w:gutter="0" w:footer="0" w:header="0"/>
          <w:type w:val="continuous"/>
        </w:sectPr>
      </w:pP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change in the cost value of total intangible assets from December 31, 2013 to June 29, 2014 is a result of the effect of foreign currency translations.</w:t>
      </w:r>
    </w:p>
    <w:p>
      <w:pPr>
        <w:spacing w:after="0" w:line="248"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REVOLVING CREDIT AGREEMENT</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financing through a Revolving Credit, Guaranty and Security Agreement, dated as of May 24, 2013, (the “Credit Agreement”) and related security agreements with PNC Bank, National Association (“PNC”), which provides a $20 million secured asset-based revolving credit facility that includes a $1 million letter of credit sub-facility (the “Credit Facility”). The Credit Agreement provides that the Credit Facility may be increased with PNC’s concurrence to an amount not to exceed $35 million, provided such increase must occur prior to the last six months of the term, which expires on May 24, 2017.</w:t>
      </w:r>
    </w:p>
    <w:p>
      <w:pPr>
        <w:spacing w:after="0" w:line="18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216" w:right="239" w:bottom="1440" w:gutter="0" w:footer="0" w:header="0"/>
          <w:type w:val="continuous"/>
        </w:sectPr>
      </w:pPr>
    </w:p>
    <w:bookmarkStart w:id="8" w:name="page9"/>
    <w:bookmarkEnd w:id="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29, 2014, we had approximately $12,361 of borrowing capacity in addition to our cash on hand of $17,160, and we had no outstanding borrowings or outstanding letters of credit under the Credit Facility at either June 29, 2014 or December 31, 2013.</w:t>
      </w:r>
    </w:p>
    <w:p>
      <w:pPr>
        <w:spacing w:after="0" w:line="17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30, 2014, the Company and PNC entered into an amendment (the “Amendment”) to the Credit Agreement. The Amendment permits the Company to commence the Share Repurchase Program described in Note 2 above, provided that (a) the Company is not in default under the Credit Agreement, (b) the Company’s undrawn availability under the Credit Agreement is at least $6 million both prior to and immediately following any repurchase, (c) the Company’s undrawn availability under the Credit Agreement plus domestic unrestricted cash is at least $8 million both prior to and immediately following any repurchase, and (d) the Company uses its unrestricted cash for such repurchases and does not request advances against the Credit Agreement for such purposes.</w:t>
      </w:r>
    </w:p>
    <w:p>
      <w:pPr>
        <w:spacing w:after="0" w:line="193" w:lineRule="exact"/>
        <w:rPr>
          <w:sz w:val="20"/>
          <w:szCs w:val="20"/>
          <w:color w:val="auto"/>
        </w:rPr>
      </w:pPr>
    </w:p>
    <w:p>
      <w:pPr>
        <w:ind w:left="340" w:right="8880" w:hanging="332"/>
        <w:spacing w:after="0" w:line="501" w:lineRule="auto"/>
        <w:tabs>
          <w:tab w:leader="none" w:pos="340"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SHAREHOLDERS’ EQUITY </w:t>
      </w:r>
      <w:r>
        <w:rPr>
          <w:rFonts w:ascii="Arial" w:cs="Arial" w:eastAsia="Arial" w:hAnsi="Arial"/>
          <w:sz w:val="18"/>
          <w:szCs w:val="18"/>
          <w:color w:val="auto"/>
        </w:rPr>
        <w:t>a. Common Stock</w:t>
      </w:r>
    </w:p>
    <w:p>
      <w:pPr>
        <w:jc w:val="both"/>
        <w:ind w:right="20" w:firstLine="324"/>
        <w:spacing w:after="0" w:line="277" w:lineRule="auto"/>
        <w:rPr>
          <w:sz w:val="20"/>
          <w:szCs w:val="20"/>
          <w:color w:val="auto"/>
        </w:rPr>
      </w:pPr>
      <w:r>
        <w:rPr>
          <w:rFonts w:ascii="Arial" w:cs="Arial" w:eastAsia="Arial" w:hAnsi="Arial"/>
          <w:sz w:val="18"/>
          <w:szCs w:val="18"/>
          <w:color w:val="auto"/>
        </w:rPr>
        <w:t>In the three-month and six-month periods ended June 29, 2014, we issued 14,153 and 28,792 shares of common stock to our non-employee directors, respectively, valued at $57 and $114, respectively.</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Stock Options</w:t>
      </w:r>
    </w:p>
    <w:p>
      <w:pPr>
        <w:spacing w:after="0" w:line="225"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have stock options outstanding from various stock-based employee compensation plans, for which we record compensation cost relating to share-based payment transactions in our financial statements. The cost is measured at the grant date, based on the fair value of the award, and is recognized as an expense over the employee’s requisite service period (generally the vesting period of the equity award). Compensation cost related to stock options was $198 and $200 for the three-month periods ended June 29, 2014 and June 30, 2013, respectively. Compensation cost related to stock options was $371 and $390 for the six-month periods ended June 29, 2014 and June 30, 2013, respectively. As of June 30, 2014, there was $766 of total unrecognized compensation cost related to outstanding stock options, which is expected to be recognized over a weighted average period of 1.4 years.</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stock option activity for the first quarter of 2014: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6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Average</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88"/>
              </w:rPr>
              <w:t>Weighted</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Remaining</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rPr>
              <w:t>Number of</w:t>
            </w:r>
          </w:p>
        </w:tc>
        <w:tc>
          <w:tcPr>
            <w:tcW w:w="360" w:type="dxa"/>
            <w:vAlign w:val="bottom"/>
          </w:tcPr>
          <w:p>
            <w:pPr>
              <w:spacing w:after="0"/>
              <w:rPr>
                <w:sz w:val="18"/>
                <w:szCs w:val="18"/>
                <w:color w:val="auto"/>
              </w:rPr>
            </w:pPr>
          </w:p>
        </w:tc>
        <w:tc>
          <w:tcPr>
            <w:tcW w:w="1700" w:type="dxa"/>
            <w:vAlign w:val="bottom"/>
            <w:gridSpan w:val="4"/>
          </w:tcPr>
          <w:p>
            <w:pPr>
              <w:jc w:val="center"/>
              <w:ind w:right="340"/>
              <w:spacing w:after="0"/>
              <w:rPr>
                <w:sz w:val="20"/>
                <w:szCs w:val="20"/>
                <w:color w:val="auto"/>
              </w:rPr>
            </w:pPr>
            <w:r>
              <w:rPr>
                <w:rFonts w:ascii="Arial" w:cs="Arial" w:eastAsia="Arial" w:hAnsi="Arial"/>
                <w:sz w:val="18"/>
                <w:szCs w:val="18"/>
                <w:b w:val="1"/>
                <w:bCs w:val="1"/>
                <w:color w:val="auto"/>
                <w:w w:val="87"/>
              </w:rPr>
              <w:t>Average Exercise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Contractual</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Aggregate</w:t>
            </w:r>
          </w:p>
        </w:tc>
      </w:tr>
      <w:tr>
        <w:trPr>
          <w:trHeight w:val="234"/>
        </w:trPr>
        <w:tc>
          <w:tcPr>
            <w:tcW w:w="4940" w:type="dxa"/>
            <w:vAlign w:val="bottom"/>
          </w:tcPr>
          <w:p>
            <w:pPr>
              <w:spacing w:after="0"/>
              <w:rPr>
                <w:sz w:val="20"/>
                <w:szCs w:val="20"/>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Shares</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3"/>
          </w:tcPr>
          <w:p>
            <w:pPr>
              <w:jc w:val="center"/>
              <w:ind w:right="540"/>
              <w:spacing w:after="0"/>
              <w:rPr>
                <w:sz w:val="20"/>
                <w:szCs w:val="20"/>
                <w:color w:val="auto"/>
              </w:rPr>
            </w:pPr>
            <w:r>
              <w:rPr>
                <w:rFonts w:ascii="Arial" w:cs="Arial" w:eastAsia="Arial" w:hAnsi="Arial"/>
                <w:sz w:val="18"/>
                <w:szCs w:val="18"/>
                <w:b w:val="1"/>
                <w:bCs w:val="1"/>
                <w:color w:val="auto"/>
                <w:w w:val="90"/>
              </w:rPr>
              <w:t>Price</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2"/>
              </w:rPr>
              <w:t>Term (years)</w:t>
            </w: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Intrinsic Value</w:t>
            </w:r>
          </w:p>
        </w:tc>
      </w:tr>
      <w:tr>
        <w:trPr>
          <w:trHeight w:val="210"/>
        </w:trPr>
        <w:tc>
          <w:tcPr>
            <w:tcW w:w="49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Outstanding at January 1, 2014</w:t>
            </w:r>
          </w:p>
        </w:tc>
        <w:tc>
          <w:tcPr>
            <w:tcW w:w="138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2,131,622</w:t>
            </w:r>
          </w:p>
        </w:tc>
        <w:tc>
          <w:tcPr>
            <w:tcW w:w="3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w:t>
            </w:r>
          </w:p>
        </w:tc>
        <w:tc>
          <w:tcPr>
            <w:tcW w:w="34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Granted</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252,500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3.94</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Exercised</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(2,900)</w:t>
            </w:r>
          </w:p>
        </w:tc>
        <w:tc>
          <w:tcPr>
            <w:tcW w:w="3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40" w:type="dxa"/>
            <w:vAlign w:val="bottom"/>
          </w:tcPr>
          <w:p>
            <w:pPr>
              <w:ind w:left="100"/>
              <w:spacing w:after="0"/>
              <w:rPr>
                <w:sz w:val="20"/>
                <w:szCs w:val="20"/>
                <w:color w:val="auto"/>
              </w:rPr>
            </w:pPr>
            <w:r>
              <w:rPr>
                <w:rFonts w:ascii="Arial" w:cs="Arial" w:eastAsia="Arial" w:hAnsi="Arial"/>
                <w:sz w:val="18"/>
                <w:szCs w:val="18"/>
                <w:color w:val="auto"/>
              </w:rPr>
              <w:t>Forfeited</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(28,630)</w:t>
            </w: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3.95</w:t>
            </w: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49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Expired</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(80,669)</w:t>
            </w:r>
          </w:p>
        </w:tc>
        <w:tc>
          <w:tcPr>
            <w:tcW w:w="3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7.85</w:t>
            </w:r>
          </w:p>
        </w:tc>
        <w:tc>
          <w:tcPr>
            <w:tcW w:w="34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63"/>
        </w:trPr>
        <w:tc>
          <w:tcPr>
            <w:tcW w:w="494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Outstanding at June 29, 2014</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2,271,923</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CCEEFF"/>
            </w:tcBorders>
          </w:tcPr>
          <w:p>
            <w:pPr>
              <w:spacing w:after="0"/>
              <w:rPr>
                <w:sz w:val="22"/>
                <w:szCs w:val="22"/>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Borders>
              <w:bottom w:val="single" w:sz="8" w:color="CCEEFF"/>
            </w:tcBorders>
          </w:tcPr>
          <w:p>
            <w:pPr>
              <w:spacing w:after="0"/>
              <w:rPr>
                <w:sz w:val="22"/>
                <w:szCs w:val="22"/>
                <w:color w:val="auto"/>
              </w:rPr>
            </w:pPr>
          </w:p>
        </w:tc>
      </w:tr>
      <w:tr>
        <w:trPr>
          <w:trHeight w:val="197"/>
        </w:trPr>
        <w:tc>
          <w:tcPr>
            <w:tcW w:w="49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Vested and expected to vest at</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83"/>
        </w:trPr>
        <w:tc>
          <w:tcPr>
            <w:tcW w:w="4940" w:type="dxa"/>
            <w:vAlign w:val="bottom"/>
          </w:tcPr>
          <w:p>
            <w:pPr>
              <w:ind w:left="140"/>
              <w:spacing w:after="0"/>
              <w:rPr>
                <w:sz w:val="20"/>
                <w:szCs w:val="20"/>
                <w:color w:val="auto"/>
              </w:rPr>
            </w:pPr>
            <w:r>
              <w:rPr>
                <w:rFonts w:ascii="Arial" w:cs="Arial" w:eastAsia="Arial" w:hAnsi="Arial"/>
                <w:sz w:val="18"/>
                <w:szCs w:val="18"/>
                <w:color w:val="auto"/>
              </w:rPr>
              <w:t>June 29, 2014</w:t>
            </w:r>
          </w:p>
        </w:tc>
        <w:tc>
          <w:tcPr>
            <w:tcW w:w="1380" w:type="dxa"/>
            <w:vAlign w:val="bottom"/>
            <w:gridSpan w:val="2"/>
          </w:tcPr>
          <w:p>
            <w:pPr>
              <w:jc w:val="right"/>
              <w:ind w:right="120"/>
              <w:spacing w:after="0"/>
              <w:rPr>
                <w:sz w:val="20"/>
                <w:szCs w:val="20"/>
                <w:color w:val="auto"/>
              </w:rPr>
            </w:pPr>
            <w:r>
              <w:rPr>
                <w:rFonts w:ascii="Arial" w:cs="Arial" w:eastAsia="Arial" w:hAnsi="Arial"/>
                <w:sz w:val="18"/>
                <w:szCs w:val="18"/>
                <w:color w:val="auto"/>
              </w:rPr>
              <w:t>2,077,123</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6.82</w:t>
            </w:r>
          </w:p>
        </w:tc>
        <w:tc>
          <w:tcPr>
            <w:tcW w:w="340" w:type="dxa"/>
            <w:vAlign w:val="bottom"/>
          </w:tcPr>
          <w:p>
            <w:pPr>
              <w:spacing w:after="0"/>
              <w:rPr>
                <w:sz w:val="24"/>
                <w:szCs w:val="24"/>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8"/>
                <w:szCs w:val="18"/>
                <w:color w:val="auto"/>
              </w:rPr>
              <w:t>3.90</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186</w:t>
            </w:r>
          </w:p>
        </w:tc>
      </w:tr>
      <w:tr>
        <w:trPr>
          <w:trHeight w:val="197"/>
        </w:trPr>
        <w:tc>
          <w:tcPr>
            <w:tcW w:w="4940" w:type="dxa"/>
            <w:vAlign w:val="bottom"/>
            <w:tcBorders>
              <w:top w:val="single" w:sz="8" w:color="CCEEFF"/>
              <w:bottom w:val="single" w:sz="8" w:color="CCEEFF"/>
            </w:tcBorders>
            <w:shd w:val="clear" w:color="auto" w:fill="CCEEFF"/>
          </w:tcPr>
          <w:p>
            <w:pPr>
              <w:ind w:left="100"/>
              <w:spacing w:after="0" w:line="190" w:lineRule="exact"/>
              <w:rPr>
                <w:sz w:val="20"/>
                <w:szCs w:val="20"/>
                <w:color w:val="auto"/>
              </w:rPr>
            </w:pPr>
            <w:r>
              <w:rPr>
                <w:rFonts w:ascii="Arial" w:cs="Arial" w:eastAsia="Arial" w:hAnsi="Arial"/>
                <w:sz w:val="18"/>
                <w:szCs w:val="18"/>
                <w:color w:val="auto"/>
              </w:rPr>
              <w:t>Exercisable at June 29, 2014</w:t>
            </w:r>
          </w:p>
        </w:tc>
        <w:tc>
          <w:tcPr>
            <w:tcW w:w="12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1,247,185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6.14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3.06</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r>
      <w:tr>
        <w:trPr>
          <w:trHeight w:val="20"/>
        </w:trPr>
        <w:tc>
          <w:tcPr>
            <w:tcW w:w="494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3"/>
        </w:trPr>
        <w:tc>
          <w:tcPr>
            <w:tcW w:w="4940" w:type="dxa"/>
            <w:vAlign w:val="bottom"/>
          </w:tcPr>
          <w:p>
            <w:pPr>
              <w:spacing w:after="0"/>
              <w:rPr>
                <w:sz w:val="24"/>
                <w:szCs w:val="24"/>
                <w:color w:val="auto"/>
              </w:rPr>
            </w:pPr>
          </w:p>
        </w:tc>
        <w:tc>
          <w:tcPr>
            <w:tcW w:w="1260" w:type="dxa"/>
            <w:vAlign w:val="bottom"/>
          </w:tcPr>
          <w:p>
            <w:pPr>
              <w:jc w:val="right"/>
              <w:ind w:right="351"/>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66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76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9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669"/>
        </w:trPr>
        <w:tc>
          <w:tcPr>
            <w:tcW w:w="9660" w:type="dxa"/>
            <w:vAlign w:val="bottom"/>
            <w:gridSpan w:val="2"/>
          </w:tcPr>
          <w:p>
            <w:pPr>
              <w:ind w:left="340"/>
              <w:spacing w:after="0"/>
              <w:rPr>
                <w:sz w:val="20"/>
                <w:szCs w:val="20"/>
                <w:color w:val="auto"/>
              </w:rPr>
            </w:pPr>
            <w:r>
              <w:rPr>
                <w:rFonts w:ascii="Arial" w:cs="Arial" w:eastAsia="Arial" w:hAnsi="Arial"/>
                <w:sz w:val="18"/>
                <w:szCs w:val="18"/>
                <w:color w:val="auto"/>
              </w:rPr>
              <w:t>The following assumptions were used to value stock options granted during the six months ended June 29, 2014:</w:t>
            </w:r>
          </w:p>
        </w:tc>
        <w:tc>
          <w:tcPr>
            <w:tcW w:w="176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9260" w:type="dxa"/>
            <w:vAlign w:val="bottom"/>
          </w:tcPr>
          <w:p>
            <w:pPr>
              <w:spacing w:after="0"/>
              <w:rPr>
                <w:sz w:val="18"/>
                <w:szCs w:val="18"/>
                <w:color w:val="auto"/>
              </w:rPr>
            </w:pPr>
          </w:p>
        </w:tc>
        <w:tc>
          <w:tcPr>
            <w:tcW w:w="17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Risk-free interest rate</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16"/>
        </w:trPr>
        <w:tc>
          <w:tcPr>
            <w:tcW w:w="9660" w:type="dxa"/>
            <w:vAlign w:val="bottom"/>
            <w:gridSpan w:val="2"/>
          </w:tcPr>
          <w:p>
            <w:pPr>
              <w:ind w:left="100"/>
              <w:spacing w:after="0"/>
              <w:rPr>
                <w:sz w:val="20"/>
                <w:szCs w:val="20"/>
                <w:color w:val="auto"/>
              </w:rPr>
            </w:pPr>
            <w:r>
              <w:rPr>
                <w:rFonts w:ascii="Arial" w:cs="Arial" w:eastAsia="Arial" w:hAnsi="Arial"/>
                <w:sz w:val="18"/>
                <w:szCs w:val="18"/>
                <w:color w:val="auto"/>
              </w:rPr>
              <w:t>Volatility factor</w:t>
            </w:r>
          </w:p>
        </w:tc>
        <w:tc>
          <w:tcPr>
            <w:tcW w:w="1760" w:type="dxa"/>
            <w:vAlign w:val="bottom"/>
          </w:tcPr>
          <w:p>
            <w:pPr>
              <w:jc w:val="right"/>
              <w:spacing w:after="0"/>
              <w:rPr>
                <w:sz w:val="20"/>
                <w:szCs w:val="20"/>
                <w:color w:val="auto"/>
              </w:rPr>
            </w:pPr>
            <w:r>
              <w:rPr>
                <w:rFonts w:ascii="Arial" w:cs="Arial" w:eastAsia="Arial" w:hAnsi="Arial"/>
                <w:sz w:val="18"/>
                <w:szCs w:val="18"/>
                <w:color w:val="auto"/>
              </w:rPr>
              <w:t>59.94%</w:t>
            </w:r>
          </w:p>
        </w:tc>
      </w:tr>
      <w:tr>
        <w:trPr>
          <w:trHeight w:val="216"/>
        </w:trPr>
        <w:tc>
          <w:tcPr>
            <w:tcW w:w="96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Dividends</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r>
      <w:tr>
        <w:trPr>
          <w:trHeight w:val="230"/>
        </w:trPr>
        <w:tc>
          <w:tcPr>
            <w:tcW w:w="9660" w:type="dxa"/>
            <w:vAlign w:val="bottom"/>
            <w:gridSpan w:val="2"/>
          </w:tcPr>
          <w:p>
            <w:pPr>
              <w:ind w:left="100"/>
              <w:spacing w:after="0"/>
              <w:rPr>
                <w:sz w:val="20"/>
                <w:szCs w:val="20"/>
                <w:color w:val="auto"/>
              </w:rPr>
            </w:pPr>
            <w:r>
              <w:rPr>
                <w:rFonts w:ascii="Arial" w:cs="Arial" w:eastAsia="Arial" w:hAnsi="Arial"/>
                <w:sz w:val="18"/>
                <w:szCs w:val="18"/>
                <w:color w:val="auto"/>
              </w:rPr>
              <w:t>Weighted average expected life (years)</w:t>
            </w:r>
          </w:p>
        </w:tc>
        <w:tc>
          <w:tcPr>
            <w:tcW w:w="1760" w:type="dxa"/>
            <w:vAlign w:val="bottom"/>
          </w:tcPr>
          <w:p>
            <w:pPr>
              <w:jc w:val="right"/>
              <w:ind w:right="70"/>
              <w:spacing w:after="0"/>
              <w:rPr>
                <w:sz w:val="20"/>
                <w:szCs w:val="20"/>
                <w:color w:val="auto"/>
              </w:rPr>
            </w:pPr>
            <w:r>
              <w:rPr>
                <w:rFonts w:ascii="Arial" w:cs="Arial" w:eastAsia="Arial" w:hAnsi="Arial"/>
                <w:sz w:val="18"/>
                <w:szCs w:val="18"/>
                <w:color w:val="auto"/>
              </w:rPr>
              <w:t>4.15</w:t>
            </w:r>
          </w:p>
        </w:tc>
      </w:tr>
    </w:tbl>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Cash flows from excess tax benefits are required to be classified as a part of cash flows from financing activities. Excess tax benefits are realized tax benefits from tax deductions for exercised stock options in excess of the deferred tax asset attributable to stock compensation costs for such stock options. We did not record any excess tax benefits in the first six months of 2014 and 2013. Cash received from stock option exercises under our stock-based compensation plans for the three-month periods ended June 29, 2014 and June 30, 2013 was $11 and $0, respectively. Cash received from stock option exercises for the six-month periods ended June 29, 2014 and June 30, 2013 was $11 and $12, respectively.</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Restricted Stock Awards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No restricted stock was awarded during the three or six month periods ending June 29, 2014. Included in stock compensation expense recorded in our financial statements in the three and six months ended June 29, 2014 was $34 and $83, respectively, relating to the restricted stock units held by our President and Chief Executive Officer. There was $40 in stock compensation expense relating to restricted stock awards in both the three and six month periods ended June 30, 2013. There is $67 of unrecognized compensation cost related to restricted stock units as of June 29, 2014. 30,000 shares of restricted stock units vested during the first six months of 2014.</w:t>
      </w:r>
    </w:p>
    <w:p>
      <w:pPr>
        <w:spacing w:after="0" w:line="188" w:lineRule="exact"/>
        <w:rPr>
          <w:sz w:val="20"/>
          <w:szCs w:val="20"/>
          <w:color w:val="auto"/>
        </w:rPr>
      </w:pPr>
    </w:p>
    <w:p>
      <w:pPr>
        <w:ind w:left="340" w:hanging="332"/>
        <w:spacing w:after="0"/>
        <w:tabs>
          <w:tab w:leader="none" w:pos="34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603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035" cy="128905"/>
                    </a:xfrm>
                    <a:prstGeom prst="rect">
                      <a:avLst/>
                    </a:prstGeom>
                    <a:noFill/>
                  </pic:spPr>
                </pic:pic>
              </a:graphicData>
            </a:graphic>
          </wp:anchor>
        </w:drawing>
      </w:r>
    </w:p>
    <w:p>
      <w:pPr>
        <w:spacing w:after="0" w:line="20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asset and liability method is used in accounting for income taxes. Under this method, deferred tax assets and liabilities are determined based on differences between financial reporting and tax basis of assets and liabilities and are measured using the enacted tax rates and laws that are expected to be in effect when the differences are expected to reverse.</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three-month periods ended June 29, 2014 and June 30, 2013, we recorded $57 and $53, respectively, in income tax expense. For the six-month periods ended June 29, 2014 and June 30, 2013, we recorded $117 and $151, respectively, in income tax expense. The expense is primarily due to the recognition of deferred tax liabilities generated from goodwill and certain intangible assets that cannot be predicted to reverse for book purposes during our loss carryforward periods. The remaining expense in 2014 was due to state income taxes, and in 2013 was primarily due to the income reported for our China operations during the period.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effective consolidated tax rates for the three and six month periods ended June 29, 2014 and June 30, 2013 were:</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216"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7"/>
        </w:trPr>
        <w:tc>
          <w:tcPr>
            <w:tcW w:w="482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434"/>
        </w:trPr>
        <w:tc>
          <w:tcPr>
            <w:tcW w:w="400" w:type="dxa"/>
            <w:vAlign w:val="bottom"/>
            <w:tcBorders>
              <w:top w:val="single" w:sz="8" w:color="0000EE"/>
            </w:tcBorders>
          </w:tcPr>
          <w:p>
            <w:pPr>
              <w:spacing w:after="0"/>
              <w:rPr>
                <w:sz w:val="24"/>
                <w:szCs w:val="24"/>
                <w:color w:val="auto"/>
              </w:rPr>
            </w:pPr>
          </w:p>
        </w:tc>
        <w:tc>
          <w:tcPr>
            <w:tcW w:w="4420" w:type="dxa"/>
            <w:vAlign w:val="bottom"/>
          </w:tcPr>
          <w:p>
            <w:pPr>
              <w:spacing w:after="0"/>
              <w:rPr>
                <w:sz w:val="24"/>
                <w:szCs w:val="24"/>
                <w:color w:val="auto"/>
              </w:rPr>
            </w:pPr>
          </w:p>
        </w:tc>
        <w:tc>
          <w:tcPr>
            <w:tcW w:w="3120" w:type="dxa"/>
            <w:vAlign w:val="bottom"/>
            <w:gridSpan w:val="5"/>
          </w:tcPr>
          <w:p>
            <w:pPr>
              <w:spacing w:after="0"/>
              <w:rPr>
                <w:sz w:val="20"/>
                <w:szCs w:val="20"/>
                <w:color w:val="auto"/>
              </w:rPr>
            </w:pPr>
            <w:r>
              <w:rPr>
                <w:rFonts w:ascii="Arial" w:cs="Arial" w:eastAsia="Arial" w:hAnsi="Arial"/>
                <w:sz w:val="18"/>
                <w:szCs w:val="18"/>
                <w:b w:val="1"/>
                <w:bCs w:val="1"/>
                <w:color w:val="auto"/>
              </w:rPr>
              <w:t>Three-month periods ended</w:t>
            </w:r>
          </w:p>
        </w:tc>
        <w:tc>
          <w:tcPr>
            <w:tcW w:w="2360" w:type="dxa"/>
            <w:vAlign w:val="bottom"/>
            <w:gridSpan w:val="5"/>
          </w:tcPr>
          <w:p>
            <w:pPr>
              <w:ind w:left="340"/>
              <w:spacing w:after="0"/>
              <w:rPr>
                <w:sz w:val="20"/>
                <w:szCs w:val="20"/>
                <w:color w:val="auto"/>
              </w:rPr>
            </w:pPr>
            <w:r>
              <w:rPr>
                <w:rFonts w:ascii="Arial" w:cs="Arial" w:eastAsia="Arial" w:hAnsi="Arial"/>
                <w:sz w:val="18"/>
                <w:szCs w:val="18"/>
                <w:b w:val="1"/>
                <w:bCs w:val="1"/>
                <w:color w:val="auto"/>
                <w:w w:val="92"/>
              </w:rPr>
              <w:t>Six-month periods ended</w:t>
            </w:r>
          </w:p>
        </w:tc>
        <w:tc>
          <w:tcPr>
            <w:tcW w:w="1120" w:type="dxa"/>
            <w:vAlign w:val="bottom"/>
          </w:tcPr>
          <w:p>
            <w:pPr>
              <w:spacing w:after="0"/>
              <w:rPr>
                <w:sz w:val="24"/>
                <w:szCs w:val="24"/>
                <w:color w:val="auto"/>
              </w:rPr>
            </w:pPr>
          </w:p>
        </w:tc>
      </w:tr>
      <w:tr>
        <w:trPr>
          <w:trHeight w:val="230"/>
        </w:trPr>
        <w:tc>
          <w:tcPr>
            <w:tcW w:w="40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29,</w:t>
            </w:r>
          </w:p>
        </w:tc>
        <w:tc>
          <w:tcPr>
            <w:tcW w:w="240" w:type="dxa"/>
            <w:vAlign w:val="bottom"/>
          </w:tcPr>
          <w:p>
            <w:pPr>
              <w:spacing w:after="0"/>
              <w:rPr>
                <w:sz w:val="19"/>
                <w:szCs w:val="19"/>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80" w:type="dxa"/>
            <w:vAlign w:val="bottom"/>
          </w:tcPr>
          <w:p>
            <w:pPr>
              <w:jc w:val="right"/>
              <w:ind w:right="290"/>
              <w:spacing w:after="0"/>
              <w:rPr>
                <w:sz w:val="20"/>
                <w:szCs w:val="20"/>
                <w:color w:val="auto"/>
              </w:rPr>
            </w:pPr>
            <w:r>
              <w:rPr>
                <w:rFonts w:ascii="Arial" w:cs="Arial" w:eastAsia="Arial" w:hAnsi="Arial"/>
                <w:sz w:val="18"/>
                <w:szCs w:val="18"/>
                <w:b w:val="1"/>
                <w:bCs w:val="1"/>
                <w:color w:val="auto"/>
              </w:rPr>
              <w:t>June 29,</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June 30,</w:t>
            </w:r>
          </w:p>
        </w:tc>
      </w:tr>
      <w:tr>
        <w:trPr>
          <w:trHeight w:val="234"/>
        </w:trPr>
        <w:tc>
          <w:tcPr>
            <w:tcW w:w="400" w:type="dxa"/>
            <w:vAlign w:val="bottom"/>
            <w:tcBorders>
              <w:bottom w:val="single" w:sz="8" w:color="CCEEFF"/>
            </w:tcBorders>
          </w:tcPr>
          <w:p>
            <w:pPr>
              <w:spacing w:after="0"/>
              <w:rPr>
                <w:sz w:val="20"/>
                <w:szCs w:val="20"/>
                <w:color w:val="auto"/>
              </w:rPr>
            </w:pPr>
          </w:p>
        </w:tc>
        <w:tc>
          <w:tcPr>
            <w:tcW w:w="44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2014</w:t>
            </w:r>
          </w:p>
        </w:tc>
        <w:tc>
          <w:tcPr>
            <w:tcW w:w="3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2013</w:t>
            </w:r>
          </w:p>
        </w:tc>
      </w:tr>
      <w:tr>
        <w:trPr>
          <w:trHeight w:val="210"/>
        </w:trPr>
        <w:tc>
          <w:tcPr>
            <w:tcW w:w="48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Loss from continuing operations</w:t>
            </w: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ind w:left="240"/>
              <w:spacing w:after="0"/>
              <w:rPr>
                <w:sz w:val="20"/>
                <w:szCs w:val="20"/>
                <w:color w:val="auto"/>
              </w:rPr>
            </w:pPr>
            <w:r>
              <w:rPr>
                <w:rFonts w:ascii="Arial" w:cs="Arial" w:eastAsia="Arial" w:hAnsi="Arial"/>
                <w:sz w:val="18"/>
                <w:szCs w:val="18"/>
                <w:color w:val="auto"/>
              </w:rPr>
              <w:t>before income taxes (a)</w:t>
            </w: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3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(1,903)</w:t>
            </w:r>
          </w:p>
        </w:tc>
        <w:tc>
          <w:tcPr>
            <w:tcW w:w="56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(2,478)</w:t>
            </w:r>
          </w:p>
        </w:tc>
        <w:tc>
          <w:tcPr>
            <w:tcW w:w="6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(1,641)</w:t>
            </w:r>
          </w:p>
        </w:tc>
      </w:tr>
      <w:tr>
        <w:trPr>
          <w:trHeight w:val="216"/>
        </w:trPr>
        <w:tc>
          <w:tcPr>
            <w:tcW w:w="4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16"/>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Income tax provision (b)</w:t>
            </w:r>
          </w:p>
        </w:tc>
        <w:tc>
          <w:tcPr>
            <w:tcW w:w="22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117</w:t>
            </w: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151</w:t>
            </w:r>
          </w:p>
        </w:tc>
      </w:tr>
      <w:tr>
        <w:trPr>
          <w:trHeight w:val="216"/>
        </w:trPr>
        <w:tc>
          <w:tcPr>
            <w:tcW w:w="400" w:type="dxa"/>
            <w:vAlign w:val="bottom"/>
            <w:shd w:val="clear" w:color="auto" w:fill="CCEEFF"/>
          </w:tcPr>
          <w:p>
            <w:pPr>
              <w:spacing w:after="0"/>
              <w:rPr>
                <w:sz w:val="18"/>
                <w:szCs w:val="18"/>
                <w:color w:val="auto"/>
              </w:rPr>
            </w:pPr>
          </w:p>
        </w:tc>
        <w:tc>
          <w:tcPr>
            <w:tcW w:w="4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0"/>
        </w:trPr>
        <w:tc>
          <w:tcPr>
            <w:tcW w:w="4820" w:type="dxa"/>
            <w:vAlign w:val="bottom"/>
            <w:gridSpan w:val="2"/>
          </w:tcPr>
          <w:p>
            <w:pPr>
              <w:ind w:left="100"/>
              <w:spacing w:after="0"/>
              <w:rPr>
                <w:sz w:val="20"/>
                <w:szCs w:val="20"/>
                <w:color w:val="auto"/>
              </w:rPr>
            </w:pPr>
            <w:r>
              <w:rPr>
                <w:rFonts w:ascii="Arial" w:cs="Arial" w:eastAsia="Arial" w:hAnsi="Arial"/>
                <w:sz w:val="18"/>
                <w:szCs w:val="18"/>
                <w:color w:val="auto"/>
              </w:rPr>
              <w:t>Effective income tax rate (b/a)</w:t>
            </w:r>
          </w:p>
        </w:tc>
        <w:tc>
          <w:tcPr>
            <w:tcW w:w="2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87"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The overall effective tax rate is the result of the combination of income and losses in each of our tax jurisdictions, which is particularly influenced by the fact that we have recorded a full reserve against our deferred tax assets pertaining to cumulative historical losses for our U.S. operations and our U.K. subsidiary, as management does not believe, at this time, that it is more likely than not that we will realize the benefit of these losses. We have substantial net operating loss (“NOL”) carryforwards which offset taxable income in the United States. However, we remain subject to the alternative minimum tax in the United States. The alternative minimum tax limits the amount of NOL available to offset taxable income to 90% of the current year income. We incurred $0 and $12 in alternative minimum tax for the three and six months ended June 30, 2013, respectively, and no alternative minimum tax in 2014. The payment of the alternative minimum tax normally results in the establishment of a deferred tax asset; however, we have established a valuation allowance for this related deferred tax asset.</w:t>
      </w:r>
    </w:p>
    <w:p>
      <w:pPr>
        <w:spacing w:after="0" w:line="19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As of June 29, 2014, we have foreign and domestic NOL’s totaling approximately $64,700 available to reduce future taxable income. Foreign loss carryforwards of approximately $12,600 can be carried forward indefinitely. The domestic NOL carryforward of $52,100 expires from 2019 through 2034. The domestic NOL carryforward includes approximately $2,949 for which a benefit will be recorded in capital in excess of par value when realized.</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unrecognized tax benefits related to uncertain tax positions at March 30, 2014 relate to Federal and various state jurisdictions. The following table summarizes the activity related to our unrecognized tax benefits: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00" w:type="dxa"/>
            <w:vAlign w:val="bottom"/>
            <w:gridSpan w:val="6"/>
          </w:tcPr>
          <w:p>
            <w:pPr>
              <w:ind w:left="800"/>
              <w:spacing w:after="0"/>
              <w:rPr>
                <w:sz w:val="20"/>
                <w:szCs w:val="20"/>
                <w:color w:val="auto"/>
              </w:rPr>
            </w:pPr>
            <w:r>
              <w:rPr>
                <w:rFonts w:ascii="Arial" w:cs="Arial" w:eastAsia="Arial" w:hAnsi="Arial"/>
                <w:sz w:val="18"/>
                <w:szCs w:val="18"/>
                <w:b w:val="1"/>
                <w:bCs w:val="1"/>
                <w:color w:val="auto"/>
              </w:rPr>
              <w:t>Six month periods ended</w:t>
            </w:r>
          </w:p>
        </w:tc>
      </w:tr>
      <w:tr>
        <w:trPr>
          <w:trHeight w:val="230"/>
        </w:trPr>
        <w:tc>
          <w:tcPr>
            <w:tcW w:w="7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June 29,</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73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9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ind w:left="34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r>
      <w:tr>
        <w:trPr>
          <w:trHeight w:val="210"/>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Balance – beginning of period</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800"/>
              <w:spacing w:after="0"/>
              <w:rPr>
                <w:sz w:val="20"/>
                <w:szCs w:val="20"/>
                <w:color w:val="auto"/>
              </w:rPr>
            </w:pPr>
            <w:r>
              <w:rPr>
                <w:rFonts w:ascii="Arial" w:cs="Arial" w:eastAsia="Arial" w:hAnsi="Arial"/>
                <w:sz w:val="18"/>
                <w:szCs w:val="18"/>
                <w:color w:val="auto"/>
              </w:rPr>
              <w:t>7,296</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7,508</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Increases related to current year tax positions</w:t>
            </w:r>
          </w:p>
        </w:tc>
        <w:tc>
          <w:tcPr>
            <w:tcW w:w="30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Increases related to prior year tax positions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tcPr>
          <w:p>
            <w:pPr>
              <w:ind w:left="100"/>
              <w:spacing w:after="0"/>
              <w:rPr>
                <w:sz w:val="20"/>
                <w:szCs w:val="20"/>
                <w:color w:val="auto"/>
              </w:rPr>
            </w:pPr>
            <w:r>
              <w:rPr>
                <w:rFonts w:ascii="Arial" w:cs="Arial" w:eastAsia="Arial" w:hAnsi="Arial"/>
                <w:sz w:val="18"/>
                <w:szCs w:val="18"/>
                <w:color w:val="auto"/>
              </w:rPr>
              <w:t>Decreases related to prior year tax positions</w:t>
            </w:r>
          </w:p>
        </w:tc>
        <w:tc>
          <w:tcPr>
            <w:tcW w:w="300" w:type="dxa"/>
            <w:vAlign w:val="bottom"/>
          </w:tcPr>
          <w:p>
            <w:pPr>
              <w:spacing w:after="0"/>
              <w:rPr>
                <w:sz w:val="18"/>
                <w:szCs w:val="18"/>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r>
      <w:tr>
        <w:trPr>
          <w:trHeight w:val="216"/>
        </w:trPr>
        <w:tc>
          <w:tcPr>
            <w:tcW w:w="73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Expiration of statute of limitations for assessment of taxes</w:t>
            </w:r>
          </w:p>
        </w:tc>
        <w:tc>
          <w:tcPr>
            <w:tcW w:w="3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r>
      <w:tr>
        <w:trPr>
          <w:trHeight w:val="230"/>
        </w:trPr>
        <w:tc>
          <w:tcPr>
            <w:tcW w:w="7320" w:type="dxa"/>
            <w:vAlign w:val="bottom"/>
          </w:tcPr>
          <w:p>
            <w:pPr>
              <w:ind w:left="100"/>
              <w:spacing w:after="0"/>
              <w:rPr>
                <w:sz w:val="20"/>
                <w:szCs w:val="20"/>
                <w:color w:val="auto"/>
              </w:rPr>
            </w:pPr>
            <w:r>
              <w:rPr>
                <w:rFonts w:ascii="Arial" w:cs="Arial" w:eastAsia="Arial" w:hAnsi="Arial"/>
                <w:sz w:val="18"/>
                <w:szCs w:val="18"/>
                <w:color w:val="auto"/>
              </w:rPr>
              <w:t>Settlements</w:t>
            </w:r>
          </w:p>
        </w:tc>
        <w:tc>
          <w:tcPr>
            <w:tcW w:w="300" w:type="dxa"/>
            <w:vAlign w:val="bottom"/>
          </w:tcPr>
          <w:p>
            <w:pPr>
              <w:spacing w:after="0"/>
              <w:rPr>
                <w:sz w:val="19"/>
                <w:szCs w:val="19"/>
                <w:color w:val="auto"/>
              </w:rPr>
            </w:pPr>
          </w:p>
        </w:tc>
        <w:tc>
          <w:tcPr>
            <w:tcW w:w="1320" w:type="dxa"/>
            <w:vAlign w:val="bottom"/>
            <w:gridSpan w:val="2"/>
          </w:tcPr>
          <w:p>
            <w:pPr>
              <w:ind w:left="940"/>
              <w:spacing w:after="0"/>
              <w:rPr>
                <w:sz w:val="20"/>
                <w:szCs w:val="20"/>
                <w:color w:val="auto"/>
              </w:rPr>
            </w:pPr>
            <w:r>
              <w:rPr>
                <w:rFonts w:ascii="Arial" w:cs="Arial" w:eastAsia="Arial" w:hAnsi="Arial"/>
                <w:sz w:val="18"/>
                <w:szCs w:val="18"/>
                <w:color w:val="auto"/>
              </w:rPr>
              <w:t>—</w:t>
            </w:r>
          </w:p>
        </w:tc>
        <w:tc>
          <w:tcPr>
            <w:tcW w:w="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gridSpan w:val="2"/>
          </w:tcPr>
          <w:p>
            <w:pPr>
              <w:ind w:left="920"/>
              <w:spacing w:after="0"/>
              <w:rPr>
                <w:sz w:val="20"/>
                <w:szCs w:val="20"/>
                <w:color w:val="auto"/>
              </w:rPr>
            </w:pPr>
            <w:r>
              <w:rPr>
                <w:rFonts w:ascii="Arial" w:cs="Arial" w:eastAsia="Arial" w:hAnsi="Arial"/>
                <w:sz w:val="18"/>
                <w:szCs w:val="18"/>
                <w:color w:val="auto"/>
              </w:rPr>
              <w:t>—</w:t>
            </w:r>
          </w:p>
        </w:tc>
      </w:tr>
      <w:tr>
        <w:trPr>
          <w:trHeight w:val="223"/>
        </w:trPr>
        <w:tc>
          <w:tcPr>
            <w:tcW w:w="7320" w:type="dxa"/>
            <w:vAlign w:val="bottom"/>
            <w:tcBorders>
              <w:top w:val="single" w:sz="8" w:color="CCEEFF"/>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Balance – end of period</w:t>
            </w: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CEEFF"/>
          </w:tcPr>
          <w:p>
            <w:pPr>
              <w:ind w:left="800"/>
              <w:spacing w:after="0"/>
              <w:rPr>
                <w:sz w:val="20"/>
                <w:szCs w:val="20"/>
                <w:color w:val="auto"/>
              </w:rPr>
            </w:pPr>
            <w:r>
              <w:rPr>
                <w:rFonts w:ascii="Arial" w:cs="Arial" w:eastAsia="Arial" w:hAnsi="Arial"/>
                <w:sz w:val="18"/>
                <w:szCs w:val="18"/>
                <w:color w:val="auto"/>
                <w:w w:val="84"/>
              </w:rPr>
              <w:t>7,296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w w:val="88"/>
              </w:rPr>
              <w:t>7,508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7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unrecognized tax benefits balance has been recorded as a decrease in the deferred tax asset relating to our NOL carryforward. Because we have recorded a full valuation allowance against our deferred tax assets, the unrecognized tax benefits balance has no effect on our net (loss) income or financial position, as presented. Interest and penalties would begin to accrue in the period in which the NOL carryforwards related to the uncertain tax positions are utilized. We do not expect our unrecognized tax benefits to change significantly over the next twelve months.</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file income tax returns in various jurisdictions including U.S. federal, U.S. state and foreign jurisdictions. We are routinely subject to examination by taxing authorities in these various jurisdictions. Our U.S. tax matters for the years 2000 through 2013 remain subject to examination by the Internal Revenue Service (“IRS”) and by various state and local tax jurisdictions due to our NOL carryforwards. Our tax matters for the years 2007 through 2013 remain subject to examination by the respective foreign tax jurisdiction authorities. The IRS has completed the examination of our 2009 U.S. federal income tax return, with no resulting material effect to our financial position or results of operations, and has initiated an examination of our 2011 and 2012 U.S. federal income tax returns.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16" w:right="239" w:bottom="1440" w:gutter="0" w:footer="0" w:header="0"/>
        </w:sectPr>
      </w:pPr>
    </w:p>
    <w:bookmarkStart w:id="11" w:name="page12"/>
    <w:bookmarkEnd w:id="1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hanging="332"/>
        <w:spacing w:after="0"/>
        <w:tabs>
          <w:tab w:leader="none" w:pos="340" w:val="left"/>
        </w:tabs>
        <w:numPr>
          <w:ilvl w:val="0"/>
          <w:numId w:val="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have adopted the guidance of the Financial Accounting Standards Board (FASB) for determining whether instruments granted in share-based payment transactions are participating securities. The guidance requires that all outstanding unvested share-based payment awards that contain nonforfeitable rights to dividends or dividend equivalents (such as restricted stock awards granted by us) be considered participating securities. Because restricted stock awards are participating securities, we are required to apply the two-class method of computing basic and diluted earnings per share (the “Two-Class Method”).</w:t>
      </w:r>
    </w:p>
    <w:p>
      <w:pPr>
        <w:spacing w:after="0" w:line="18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Basic earnings per share (“EPS”) is determined using the Two-Class Method and is computed by dividing earnings attributable to the Company’s common shareholders by the weighted-average shares outstanding during the period. The Two-Class Method is an earnings allocation formula that determines EPS for each class of common stock and participating security according to dividends declared and participation rights in undistributed earnings. Diluted EPS includes the dilutive effect of securities, if any, and reflects the more dilutive EPS amount calculated using the treasury stock method or the Two-Class Method. Due to our net losses in the three and six month periods ended June 29, 2014 and June 30, 2013, no dilutive securities were considered.</w:t>
      </w:r>
    </w:p>
    <w:p>
      <w:pPr>
        <w:spacing w:after="0" w:line="15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There were 2,271,923 and 2,289,538 outstanding stock options at June 29, 2014 and June 30, 2013, respectively, that were not included in EPS for the three and six month periods presented as the effect would be anti-dilutive.</w:t>
      </w:r>
    </w:p>
    <w:p>
      <w:pPr>
        <w:spacing w:after="0" w:line="170" w:lineRule="exact"/>
        <w:rPr>
          <w:sz w:val="20"/>
          <w:szCs w:val="20"/>
          <w:color w:val="auto"/>
        </w:rPr>
      </w:pPr>
    </w:p>
    <w:p>
      <w:pPr>
        <w:ind w:left="340" w:right="5840" w:hanging="332"/>
        <w:spacing w:after="0" w:line="501" w:lineRule="auto"/>
        <w:tabs>
          <w:tab w:leader="none" w:pos="34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 xml:space="preserve">COMMITMENTS, CONTINGENCIES AND SUBSEQUENT EVENT </w:t>
      </w:r>
      <w:r>
        <w:rPr>
          <w:rFonts w:ascii="Arial" w:cs="Arial" w:eastAsia="Arial" w:hAnsi="Arial"/>
          <w:sz w:val="18"/>
          <w:szCs w:val="18"/>
          <w:color w:val="auto"/>
        </w:rPr>
        <w:t>a. Purchase Commitments</w:t>
      </w:r>
    </w:p>
    <w:p>
      <w:pPr>
        <w:ind w:left="260"/>
        <w:spacing w:after="0"/>
        <w:rPr>
          <w:sz w:val="20"/>
          <w:szCs w:val="20"/>
          <w:color w:val="auto"/>
        </w:rPr>
      </w:pPr>
      <w:r>
        <w:rPr>
          <w:rFonts w:ascii="Arial" w:cs="Arial" w:eastAsia="Arial" w:hAnsi="Arial"/>
          <w:sz w:val="18"/>
          <w:szCs w:val="18"/>
          <w:color w:val="auto"/>
        </w:rPr>
        <w:t>As of June 29, 2014, we have made commitments to purchase approximately $518 of production machinery and equipment.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 Product Warranties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estimate future costs associated with expected product failure rates, material usage and service costs in the development of our warranty obligations. Warranty reserves are based on historical experience of warranty claims and generally will be estimated as a percentage of sales over the warranty period. In the event the actual results of these items differ from the estimates, an adjustment to the warranty obligation would be recorded. Changes in our product warranty liability during the first three months of 2014 and 2013 were as follows:</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00"/>
        <w:spacing w:after="0"/>
        <w:rPr>
          <w:sz w:val="20"/>
          <w:szCs w:val="20"/>
          <w:color w:val="auto"/>
        </w:rPr>
      </w:pPr>
      <w:r>
        <w:rPr>
          <w:rFonts w:ascii="Arial" w:cs="Arial" w:eastAsia="Arial" w:hAnsi="Arial"/>
          <w:sz w:val="16"/>
          <w:szCs w:val="16"/>
          <w:color w:val="auto"/>
        </w:rPr>
        <w:t>Accrued warranty obligations – beginning</w:t>
      </w:r>
    </w:p>
    <w:p>
      <w:pPr>
        <w:spacing w:after="0" w:line="4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Accruals for warranties issued</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Settlements made</w:t>
      </w:r>
    </w:p>
    <w:p>
      <w:pPr>
        <w:spacing w:after="0" w:line="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Accrued warranty obligations – ending</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900" w:type="dxa"/>
            <w:vAlign w:val="bottom"/>
            <w:gridSpan w:val="7"/>
          </w:tcPr>
          <w:p>
            <w:pPr>
              <w:jc w:val="right"/>
              <w:ind w:right="1100"/>
              <w:spacing w:after="0"/>
              <w:rPr>
                <w:sz w:val="20"/>
                <w:szCs w:val="20"/>
                <w:color w:val="auto"/>
              </w:rPr>
            </w:pPr>
            <w:r>
              <w:rPr>
                <w:rFonts w:ascii="Arial" w:cs="Arial" w:eastAsia="Arial" w:hAnsi="Arial"/>
                <w:sz w:val="18"/>
                <w:szCs w:val="18"/>
                <w:b w:val="1"/>
                <w:bCs w:val="1"/>
                <w:color w:val="auto"/>
              </w:rPr>
              <w:t>Six month periods ended</w:t>
            </w:r>
          </w:p>
        </w:tc>
      </w:tr>
      <w:tr>
        <w:trPr>
          <w:trHeight w:val="234"/>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20" w:type="dxa"/>
            <w:vAlign w:val="bottom"/>
            <w:gridSpan w:val="3"/>
          </w:tcPr>
          <w:p>
            <w:pPr>
              <w:ind w:left="80"/>
              <w:spacing w:after="0"/>
              <w:rPr>
                <w:sz w:val="20"/>
                <w:szCs w:val="20"/>
                <w:color w:val="auto"/>
              </w:rPr>
            </w:pPr>
            <w:r>
              <w:rPr>
                <w:rFonts w:ascii="Arial" w:cs="Arial" w:eastAsia="Arial" w:hAnsi="Arial"/>
                <w:sz w:val="18"/>
                <w:szCs w:val="18"/>
                <w:b w:val="1"/>
                <w:bCs w:val="1"/>
                <w:color w:val="auto"/>
              </w:rPr>
              <w:t>June 29, 2014</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5"/>
              </w:rPr>
              <w:t>June 30, 2013</w:t>
            </w:r>
          </w:p>
        </w:tc>
      </w:tr>
      <w:tr>
        <w:trPr>
          <w:trHeight w:val="195"/>
        </w:trPr>
        <w:tc>
          <w:tcPr>
            <w:tcW w:w="20" w:type="dxa"/>
            <w:vAlign w:val="bottom"/>
          </w:tcPr>
          <w:p>
            <w:pPr>
              <w:spacing w:after="0"/>
              <w:rPr>
                <w:sz w:val="16"/>
                <w:szCs w:val="16"/>
                <w:color w:val="auto"/>
              </w:rPr>
            </w:pPr>
          </w:p>
        </w:tc>
        <w:tc>
          <w:tcPr>
            <w:tcW w:w="180" w:type="dxa"/>
            <w:vAlign w:val="bottom"/>
            <w:tcBorders>
              <w:top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420" w:type="dxa"/>
            <w:vAlign w:val="bottom"/>
            <w:tcBorders>
              <w:top w:val="single" w:sz="8" w:color="auto"/>
            </w:tcBorders>
            <w:gridSpan w:val="2"/>
          </w:tcPr>
          <w:p>
            <w:pPr>
              <w:jc w:val="right"/>
              <w:ind w:right="120"/>
              <w:spacing w:after="0" w:line="195" w:lineRule="exact"/>
              <w:rPr>
                <w:sz w:val="20"/>
                <w:szCs w:val="20"/>
                <w:color w:val="auto"/>
              </w:rPr>
            </w:pPr>
            <w:r>
              <w:rPr>
                <w:rFonts w:ascii="Arial" w:cs="Arial" w:eastAsia="Arial" w:hAnsi="Arial"/>
                <w:sz w:val="18"/>
                <w:szCs w:val="18"/>
                <w:color w:val="auto"/>
              </w:rPr>
              <w:t>513</w:t>
            </w: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top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607</w:t>
            </w:r>
          </w:p>
        </w:tc>
        <w:tc>
          <w:tcPr>
            <w:tcW w:w="100" w:type="dxa"/>
            <w:vAlign w:val="bottom"/>
            <w:tcBorders>
              <w:top w:val="single" w:sz="8" w:color="auto"/>
            </w:tcBorders>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8"/>
                <w:szCs w:val="18"/>
                <w:color w:val="auto"/>
              </w:rPr>
              <w:t>66</w:t>
            </w: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r>
      <w:tr>
        <w:trPr>
          <w:trHeight w:val="244"/>
        </w:trPr>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gridSpan w:val="2"/>
          </w:tcPr>
          <w:p>
            <w:pPr>
              <w:jc w:val="right"/>
              <w:ind w:right="40"/>
              <w:spacing w:after="0"/>
              <w:rPr>
                <w:sz w:val="20"/>
                <w:szCs w:val="20"/>
                <w:color w:val="auto"/>
              </w:rPr>
            </w:pPr>
            <w:r>
              <w:rPr>
                <w:rFonts w:ascii="Arial" w:cs="Arial" w:eastAsia="Arial" w:hAnsi="Arial"/>
                <w:sz w:val="18"/>
                <w:szCs w:val="18"/>
                <w:color w:val="auto"/>
              </w:rPr>
              <w:t>(46)</w:t>
            </w:r>
          </w:p>
        </w:tc>
      </w:tr>
      <w:tr>
        <w:trPr>
          <w:trHeight w:val="223"/>
        </w:trPr>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0"/>
                <w:szCs w:val="10"/>
                <w:color w:val="auto"/>
                <w:w w:val="71"/>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-608330</wp:posOffset>
            </wp:positionV>
            <wp:extent cx="7246620" cy="146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-4642485</wp:posOffset>
            </wp:positionH>
            <wp:positionV relativeFrom="paragraph">
              <wp:posOffset>-325120</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600" w:space="720"/>
            <w:col w:w="4100"/>
          </w:cols>
          <w:pgMar w:left="240" w:top="233" w:right="239" w:bottom="1440" w:gutter="0" w:footer="0" w:header="0"/>
          <w:type w:val="continuous"/>
        </w:sectPr>
      </w:pP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12</w:t>
      </w:r>
    </w:p>
    <w:p>
      <w:pPr>
        <w:sectPr>
          <w:pgSz w:w="11900" w:h="16838" w:orient="portrait"/>
          <w:cols w:equalWidth="0" w:num="1">
            <w:col w:w="11420"/>
          </w:cols>
          <w:pgMar w:left="240" w:top="233" w:right="239" w:bottom="1440" w:gutter="0" w:footer="0" w:header="0"/>
          <w:type w:val="continuous"/>
        </w:sectPr>
      </w:pPr>
    </w:p>
    <w:bookmarkStart w:id="12" w:name="page13"/>
    <w:bookmarkEnd w:id="1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 Contingencies and Legal Matters</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are subject to legal proceedings and claims that arise from time to time in the normal course of business. We believe that the final disposition of such matters, other than the matters described below, will not have a material adverse effect on our financial position, results of operations or cash flows.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Arista Power Litigation</w:t>
      </w:r>
    </w:p>
    <w:p>
      <w:pPr>
        <w:spacing w:after="0" w:line="225"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September 23, 2011, we initiated an action against Arista Power, Inc. (“Arista”) and our former senior sales and engineering employee, David Modeen (“Modeen”) in the State of New York Supreme Court, County of Wayne (the “Wayne County Action”). In our initial Complaint, we alleged that Arista recruited all but one of the members of its executive team from us, subsequently changed and redirected its business to compete directly with us by using our confidential information, and during the summer of 2011, recruited Modeen to become an Arista employee. We also allege that, as a result of actions by Arista and Modeen: (i) Modeen has breached the terms of his Employee Confidentiality, Non-Disclosure, Non-Compete, Non-Disparagement and Assignment Agreement with us as well as other obligations he owed us; (ii) Arista’s employment of Modeen will inevitably lead to the disclosure and use of our trade secrets by Arista, in violation of Modeen’s obligations to us; (iii) Arista unlawfully induced Modeen to breach his obligations to us; and (iv) Arista’s recruitment and employment of Modeen has breached a subcontract between Arista and us. In February 2012, we amended our Complaint to allege more broadly that Arista has misappropriated our trade secrets and confidential and strategic information related to products, technical requirements, markets, customers and sales and marketing, including (but not solely) through the recruitment and employment of Modeen. We seek damages as determined at trial and preliminary and permanent injunctive relief. The defendants answered the allegations set forth in the Complaint and Amended Complaint, without asserting any counterclaims.</w:t>
      </w:r>
    </w:p>
    <w:p>
      <w:pPr>
        <w:spacing w:after="0" w:line="180"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5, 2011, Arista served us with a Complaint it filed on November 29, 2011 in the State of New York Supreme Court, County of Monroe (the “Monroe County Action”)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and seeks damages, an accounting, and preliminary and permanent injunctive relief. After various motions, two amendments to its original Complaint and discovery between the parties, Arista withdrew all of its claims against all defendants other than the Company and one employee and the Stipulation and Order dismissing those claims was filed on September 20, 2013. On March 16, 2014, Arista delivered a Stipulation of Discontinuance With Prejudice agreeing to withdraw all remaining claims against us and our employee with prejudice which would preclude Arista from pursuing the claims that had been asserted in the Monroe County Action against us and our employee in a new suit or as counterclaims in the Wayne County Action.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Wayne County Action continues and discovery is in process.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 Other Matters – Subsequent Event</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first quarter of 2014, we received an informal notice from the landlord of our China facility that we may not be able to extend our lease past its expiration in October 2014 due to possible zoning changes in the village where the facility is located. In response to this informal notification, we changed the period over which the China plant’s leasehold improvements are being depreciated to coincide with the expiration of the lease in October 2014.</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second quarter of 2014, the landlord confirmed to us that the lease for our China facility would not be extended, and we commenced a search for an alternate site to relocate our facility. We also developed plans to increase our manufacturing output in advance of the move so as to minimize the disruption of such a move to both our customers and the Company’s operations.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Subsequent to June 29, 2014, the Company’s subsidiary in China entered into a lease for a replacement facility, also located in Shenzhen. The lease includes a five year term including two rent-free months, and requires rent payments of RMB117 (approximately $19 at the current exchange rate) per month for the first three years, increasing to RMB126 (approximately $20) per month for the final two years. We believe that the expense of the move, net of expected local government reimbursements, will be in the range of $400 to $500, and will be incurred during the third and fourth quarters of 2014.</w:t>
      </w:r>
    </w:p>
    <w:p>
      <w:pPr>
        <w:spacing w:after="0" w:line="154"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BUSINESS SEGMENT INFORMATION</w:t>
      </w:r>
    </w:p>
    <w:p>
      <w:pPr>
        <w:spacing w:after="0" w:line="225"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such as cables. The Communications Systems segment includes: power supplies, cable and connector assemblies, RF amplifiers, amplified speakers, equipment mounts, case equipment, integrated communication system kits and communications and electronics systems design. We believe that reporting performance at the gross profit level is the best indicator of segment performance. As such, we report segment performance at the gross profit level and operating expenses as Corporate charges.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components of segment performance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spacing w:after="0"/>
              <w:rPr>
                <w:sz w:val="20"/>
                <w:szCs w:val="20"/>
                <w:color w:val="auto"/>
              </w:rPr>
            </w:pPr>
            <w:r>
              <w:rPr>
                <w:rFonts w:ascii="Arial" w:cs="Arial" w:eastAsia="Arial" w:hAnsi="Arial"/>
                <w:sz w:val="18"/>
                <w:szCs w:val="18"/>
                <w:b w:val="1"/>
                <w:bCs w:val="1"/>
                <w:color w:val="auto"/>
              </w:rPr>
              <w:t>Three-Month Period Ended June 29, 2014:</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r>
      <w:tr>
        <w:trPr>
          <w:trHeight w:val="414"/>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12,165</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3,034</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15,199</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2,876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1,336</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(5,536)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(1,324)</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attributable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to Ultralife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(1,360)</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37,586</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29,866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19,479</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86,931</w:t>
            </w:r>
          </w:p>
        </w:tc>
      </w:tr>
      <w:tr>
        <w:trPr>
          <w:trHeight w:val="432"/>
        </w:trPr>
        <w:tc>
          <w:tcPr>
            <w:tcW w:w="4240" w:type="dxa"/>
            <w:vAlign w:val="bottom"/>
          </w:tcPr>
          <w:p>
            <w:pPr>
              <w:spacing w:after="0"/>
              <w:rPr>
                <w:sz w:val="20"/>
                <w:szCs w:val="20"/>
                <w:color w:val="auto"/>
              </w:rPr>
            </w:pPr>
            <w:r>
              <w:rPr>
                <w:rFonts w:ascii="Arial" w:cs="Arial" w:eastAsia="Arial" w:hAnsi="Arial"/>
                <w:sz w:val="18"/>
                <w:szCs w:val="18"/>
                <w:b w:val="1"/>
                <w:bCs w:val="1"/>
                <w:color w:val="auto"/>
              </w:rPr>
              <w:t>Three-Month Period Ended June 30, 2013:</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4"/>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jc w:val="center"/>
              <w:ind w:right="90"/>
              <w:spacing w:after="0"/>
              <w:rPr>
                <w:sz w:val="20"/>
                <w:szCs w:val="20"/>
                <w:color w:val="auto"/>
              </w:rPr>
            </w:pPr>
            <w:r>
              <w:rPr>
                <w:rFonts w:ascii="Arial" w:cs="Arial" w:eastAsia="Arial" w:hAnsi="Arial"/>
                <w:sz w:val="18"/>
                <w:szCs w:val="18"/>
                <w:b w:val="1"/>
                <w:bCs w:val="1"/>
                <w:color w:val="auto"/>
                <w:w w:val="97"/>
              </w:rPr>
              <w:t>Battery &amp;</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91"/>
              </w:rPr>
              <w:t>Energy</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70"/>
              <w:spacing w:after="0"/>
              <w:rPr>
                <w:sz w:val="20"/>
                <w:szCs w:val="20"/>
                <w:color w:val="auto"/>
              </w:rPr>
            </w:pPr>
            <w:r>
              <w:rPr>
                <w:rFonts w:ascii="Arial" w:cs="Arial" w:eastAsia="Arial" w:hAnsi="Arial"/>
                <w:sz w:val="18"/>
                <w:szCs w:val="18"/>
                <w:b w:val="1"/>
                <w:bCs w:val="1"/>
                <w:color w:val="auto"/>
                <w:w w:val="87"/>
              </w:rPr>
              <w:t>Products</w:t>
            </w:r>
          </w:p>
        </w:tc>
        <w:tc>
          <w:tcPr>
            <w:tcW w:w="220" w:type="dxa"/>
            <w:vAlign w:val="bottom"/>
          </w:tcPr>
          <w:p>
            <w:pPr>
              <w:spacing w:after="0"/>
              <w:rPr>
                <w:sz w:val="20"/>
                <w:szCs w:val="20"/>
                <w:color w:val="auto"/>
              </w:rPr>
            </w:pP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14,656</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2,623</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17,279</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3,490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1,032</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(6,396)</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(1,874)</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9"/>
              </w:rPr>
              <w:t>(120)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r>
      <w:tr>
        <w:trPr>
          <w:trHeight w:val="216"/>
        </w:trPr>
        <w:tc>
          <w:tcPr>
            <w:tcW w:w="4240" w:type="dxa"/>
            <w:vAlign w:val="bottom"/>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 loss attributable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tcPr>
          <w:p>
            <w:pPr>
              <w:ind w:left="240"/>
              <w:spacing w:after="0"/>
              <w:rPr>
                <w:sz w:val="20"/>
                <w:szCs w:val="20"/>
                <w:color w:val="auto"/>
              </w:rPr>
            </w:pPr>
            <w:r>
              <w:rPr>
                <w:rFonts w:ascii="Arial" w:cs="Arial" w:eastAsia="Arial" w:hAnsi="Arial"/>
                <w:sz w:val="18"/>
                <w:szCs w:val="18"/>
                <w:color w:val="auto"/>
              </w:rPr>
              <w:t>to Ultralife</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(2,073)</w:t>
            </w:r>
          </w:p>
        </w:tc>
      </w:tr>
      <w:tr>
        <w:trPr>
          <w:trHeight w:val="216"/>
        </w:trPr>
        <w:tc>
          <w:tcPr>
            <w:tcW w:w="42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44,357</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31,711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15,067</w:t>
            </w:r>
          </w:p>
        </w:tc>
        <w:tc>
          <w:tcPr>
            <w:tcW w:w="48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91,135</w:t>
            </w:r>
          </w:p>
        </w:tc>
      </w:tr>
      <w:tr>
        <w:trPr>
          <w:trHeight w:val="413"/>
        </w:trPr>
        <w:tc>
          <w:tcPr>
            <w:tcW w:w="4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80" w:type="dxa"/>
            <w:vAlign w:val="bottom"/>
            <w:gridSpan w:val="2"/>
          </w:tcPr>
          <w:p>
            <w:pPr>
              <w:jc w:val="right"/>
              <w:ind w:right="10"/>
              <w:spacing w:after="0"/>
              <w:rPr>
                <w:sz w:val="20"/>
                <w:szCs w:val="20"/>
                <w:color w:val="auto"/>
              </w:rPr>
            </w:pPr>
            <w:r>
              <w:rPr>
                <w:rFonts w:ascii="Arial" w:cs="Arial" w:eastAsia="Arial" w:hAnsi="Arial"/>
                <w:sz w:val="16"/>
                <w:szCs w:val="16"/>
                <w:color w:val="auto"/>
              </w:rPr>
              <w:t>14</w:t>
            </w: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233" w:right="2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2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669"/>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Six-Month Period Ended June 29, 2014:</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4"/>
        </w:trPr>
        <w:tc>
          <w:tcPr>
            <w:tcW w:w="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Battery &amp;</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Products</w:t>
            </w: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26,087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4,397</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30,484</w:t>
            </w:r>
          </w:p>
        </w:tc>
      </w:tr>
      <w:tr>
        <w:trPr>
          <w:trHeight w:val="216"/>
        </w:trPr>
        <w:tc>
          <w:tcPr>
            <w:tcW w:w="4240" w:type="dxa"/>
            <w:vAlign w:val="bottom"/>
            <w:gridSpan w:val="2"/>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6,677</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1,870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(10,967)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(2,420)</w:t>
            </w:r>
          </w:p>
        </w:tc>
      </w:tr>
      <w:tr>
        <w:trPr>
          <w:trHeight w:val="216"/>
        </w:trPr>
        <w:tc>
          <w:tcPr>
            <w:tcW w:w="4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4240" w:type="dxa"/>
            <w:vAlign w:val="bottom"/>
            <w:gridSpan w:val="2"/>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216"/>
        </w:trPr>
        <w:tc>
          <w:tcPr>
            <w:tcW w:w="4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740"/>
              <w:spacing w:after="0"/>
              <w:rPr>
                <w:sz w:val="20"/>
                <w:szCs w:val="20"/>
                <w:color w:val="auto"/>
              </w:rPr>
            </w:pPr>
            <w:r>
              <w:rPr>
                <w:rFonts w:ascii="Arial" w:cs="Arial" w:eastAsia="Arial" w:hAnsi="Arial"/>
                <w:sz w:val="18"/>
                <w:szCs w:val="18"/>
                <w:color w:val="auto"/>
                <w:w w:val="99"/>
              </w:rPr>
              <w:t>(61)</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4240" w:type="dxa"/>
            <w:vAlign w:val="bottom"/>
            <w:gridSpan w:val="2"/>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16"/>
        </w:trPr>
        <w:tc>
          <w:tcPr>
            <w:tcW w:w="4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loss attributable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240" w:type="dxa"/>
            <w:vAlign w:val="bottom"/>
            <w:gridSpan w:val="2"/>
          </w:tcPr>
          <w:p>
            <w:pPr>
              <w:ind w:left="240"/>
              <w:spacing w:after="0"/>
              <w:rPr>
                <w:sz w:val="20"/>
                <w:szCs w:val="20"/>
                <w:color w:val="auto"/>
              </w:rPr>
            </w:pPr>
            <w:r>
              <w:rPr>
                <w:rFonts w:ascii="Arial" w:cs="Arial" w:eastAsia="Arial" w:hAnsi="Arial"/>
                <w:sz w:val="18"/>
                <w:szCs w:val="18"/>
                <w:color w:val="auto"/>
              </w:rPr>
              <w:t>to Ultralife</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(2,646)</w:t>
            </w:r>
          </w:p>
        </w:tc>
      </w:tr>
      <w:tr>
        <w:trPr>
          <w:trHeight w:val="418"/>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Six-Month Period Ended June 30, 2013:</w:t>
            </w: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14"/>
        </w:trPr>
        <w:tc>
          <w:tcPr>
            <w:tcW w:w="4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Battery &amp;</w:t>
            </w: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16"/>
        </w:trPr>
        <w:tc>
          <w:tcPr>
            <w:tcW w:w="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1"/>
              </w:rPr>
              <w:t>Energy</w:t>
            </w:r>
          </w:p>
        </w:tc>
        <w:tc>
          <w:tcPr>
            <w:tcW w:w="160" w:type="dxa"/>
            <w:vAlign w:val="bottom"/>
          </w:tcPr>
          <w:p>
            <w:pPr>
              <w:spacing w:after="0"/>
              <w:rPr>
                <w:sz w:val="18"/>
                <w:szCs w:val="18"/>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Communi-</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Dis-continued</w:t>
            </w: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7"/>
              </w:rPr>
              <w:t>Products</w:t>
            </w:r>
          </w:p>
        </w:tc>
        <w:tc>
          <w:tcPr>
            <w:tcW w:w="152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4"/>
              </w:rPr>
              <w:t>cations systems</w:t>
            </w: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86"/>
              </w:rPr>
              <w:t>operations</w:t>
            </w:r>
          </w:p>
        </w:tc>
        <w:tc>
          <w:tcPr>
            <w:tcW w:w="1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b w:val="1"/>
                <w:bCs w:val="1"/>
                <w:color w:val="auto"/>
                <w:w w:val="97"/>
              </w:rPr>
              <w:t>Corporate</w:t>
            </w: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b w:val="1"/>
                <w:bCs w:val="1"/>
                <w:color w:val="auto"/>
              </w:rPr>
              <w:t>Total</w:t>
            </w:r>
          </w:p>
        </w:tc>
      </w:tr>
      <w:tr>
        <w:trPr>
          <w:trHeight w:val="210"/>
        </w:trPr>
        <w:tc>
          <w:tcPr>
            <w:tcW w:w="4240" w:type="dxa"/>
            <w:vAlign w:val="bottom"/>
            <w:tcBorders>
              <w:top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color w:val="auto"/>
              </w:rPr>
              <w:t>Revenues</w:t>
            </w: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27,709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10,589</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38,298</w:t>
            </w:r>
          </w:p>
        </w:tc>
      </w:tr>
      <w:tr>
        <w:trPr>
          <w:trHeight w:val="216"/>
        </w:trPr>
        <w:tc>
          <w:tcPr>
            <w:tcW w:w="4240" w:type="dxa"/>
            <w:vAlign w:val="bottom"/>
            <w:gridSpan w:val="2"/>
          </w:tcPr>
          <w:p>
            <w:pPr>
              <w:ind w:left="100"/>
              <w:spacing w:after="0"/>
              <w:rPr>
                <w:sz w:val="20"/>
                <w:szCs w:val="20"/>
                <w:color w:val="auto"/>
              </w:rPr>
            </w:pPr>
            <w:r>
              <w:rPr>
                <w:rFonts w:ascii="Arial" w:cs="Arial" w:eastAsia="Arial" w:hAnsi="Arial"/>
                <w:sz w:val="18"/>
                <w:szCs w:val="18"/>
                <w:color w:val="auto"/>
              </w:rPr>
              <w:t>Segment contribution</w:t>
            </w:r>
          </w:p>
        </w:tc>
        <w:tc>
          <w:tcPr>
            <w:tcW w:w="16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6,590</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4,311</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(12,400)</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(1,499)</w:t>
            </w:r>
          </w:p>
        </w:tc>
      </w:tr>
      <w:tr>
        <w:trPr>
          <w:trHeight w:val="216"/>
        </w:trPr>
        <w:tc>
          <w:tcPr>
            <w:tcW w:w="4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Interest, financing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4240" w:type="dxa"/>
            <w:vAlign w:val="bottom"/>
            <w:gridSpan w:val="2"/>
          </w:tcPr>
          <w:p>
            <w:pPr>
              <w:ind w:left="240"/>
              <w:spacing w:after="0"/>
              <w:rPr>
                <w:sz w:val="20"/>
                <w:szCs w:val="20"/>
                <w:color w:val="auto"/>
              </w:rPr>
            </w:pPr>
            <w:r>
              <w:rPr>
                <w:rFonts w:ascii="Arial" w:cs="Arial" w:eastAsia="Arial" w:hAnsi="Arial"/>
                <w:sz w:val="18"/>
                <w:szCs w:val="18"/>
                <w:color w:val="auto"/>
              </w:rPr>
              <w:t>and miscellaneous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42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expense,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r>
      <w:tr>
        <w:trPr>
          <w:trHeight w:val="216"/>
        </w:trPr>
        <w:tc>
          <w:tcPr>
            <w:tcW w:w="4240" w:type="dxa"/>
            <w:vAlign w:val="bottom"/>
            <w:gridSpan w:val="2"/>
          </w:tcPr>
          <w:p>
            <w:pPr>
              <w:ind w:left="100"/>
              <w:spacing w:after="0"/>
              <w:rPr>
                <w:sz w:val="20"/>
                <w:szCs w:val="20"/>
                <w:color w:val="auto"/>
              </w:rPr>
            </w:pPr>
            <w:r>
              <w:rPr>
                <w:rFonts w:ascii="Arial" w:cs="Arial" w:eastAsia="Arial" w:hAnsi="Arial"/>
                <w:sz w:val="18"/>
                <w:szCs w:val="18"/>
                <w:color w:val="auto"/>
              </w:rPr>
              <w:t>Tax provision</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(151)</w:t>
            </w:r>
          </w:p>
        </w:tc>
      </w:tr>
      <w:tr>
        <w:trPr>
          <w:trHeight w:val="216"/>
        </w:trPr>
        <w:tc>
          <w:tcPr>
            <w:tcW w:w="4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Discontinued operations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144</w:t>
            </w:r>
          </w:p>
        </w:tc>
      </w:tr>
      <w:tr>
        <w:trPr>
          <w:trHeight w:val="216"/>
        </w:trPr>
        <w:tc>
          <w:tcPr>
            <w:tcW w:w="4240" w:type="dxa"/>
            <w:vAlign w:val="bottom"/>
            <w:gridSpan w:val="2"/>
          </w:tcPr>
          <w:p>
            <w:pPr>
              <w:ind w:left="100"/>
              <w:spacing w:after="0"/>
              <w:rPr>
                <w:sz w:val="20"/>
                <w:szCs w:val="20"/>
                <w:color w:val="auto"/>
              </w:rPr>
            </w:pPr>
            <w:r>
              <w:rPr>
                <w:rFonts w:ascii="Arial" w:cs="Arial" w:eastAsia="Arial" w:hAnsi="Arial"/>
                <w:sz w:val="18"/>
                <w:szCs w:val="18"/>
                <w:color w:val="auto"/>
              </w:rPr>
              <w:t>Noncontrolling interest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16"/>
        </w:trPr>
        <w:tc>
          <w:tcPr>
            <w:tcW w:w="4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loss attributable</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30"/>
        </w:trPr>
        <w:tc>
          <w:tcPr>
            <w:tcW w:w="4240" w:type="dxa"/>
            <w:vAlign w:val="bottom"/>
            <w:gridSpan w:val="2"/>
          </w:tcPr>
          <w:p>
            <w:pPr>
              <w:ind w:left="240"/>
              <w:spacing w:after="0"/>
              <w:rPr>
                <w:sz w:val="20"/>
                <w:szCs w:val="20"/>
                <w:color w:val="auto"/>
              </w:rPr>
            </w:pPr>
            <w:r>
              <w:rPr>
                <w:rFonts w:ascii="Arial" w:cs="Arial" w:eastAsia="Arial" w:hAnsi="Arial"/>
                <w:sz w:val="18"/>
                <w:szCs w:val="18"/>
                <w:color w:val="auto"/>
              </w:rPr>
              <w:t>to Ultralife</w:t>
            </w: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(1,639)</w:t>
            </w:r>
          </w:p>
        </w:tc>
      </w:tr>
    </w:tbl>
    <w:p>
      <w:pPr>
        <w:spacing w:after="0" w:line="187"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FASB’s guidance for the disclosure regarding fair value of financial instruments requires disclosure of an estimate of the fair value of certain financial instruments. The fair value of financial instruments pursuant to FASB’s guidance for the disclosure regarding fair value of financial instruments approximated their carrying values at June 29, 2014 and December 31, 2013. The fair value of cash, trade accounts receivable, trade accounts payable and accrued liabilities approximates carrying value due to the short-term nature of these instruments.</w:t>
      </w:r>
    </w:p>
    <w:p>
      <w:pPr>
        <w:spacing w:after="0" w:line="187"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FIRE AT MANUFACTURING FACILITY</w:t>
      </w:r>
    </w:p>
    <w:p>
      <w:pPr>
        <w:spacing w:after="0" w:line="22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June 2011, we experienced a fire that damaged certain inventory and machinery and equipment at our facility in China. The total amount of the loss pertaining to assets and the related expenses was approximately $1,589. We have made a claim against our insurance policy, with the majority of our insurance claim related to the recovery of damaged inventory. We have received payments in June 2012 and April 2013 totaling approximately $1,286 as a partial payment on our insurance claim, which resulted in no gain or loss being recognized. As of June 29, 2014 and December 31, 2013, we reflect a receivable from the insurance company relating to this claim of $185, which is net of our deductible of approximately $132, and represents additional proceeds to be received.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216" w:right="239" w:bottom="1440" w:gutter="0" w:footer="0" w:header="0"/>
        </w:sectPr>
      </w:pPr>
    </w:p>
    <w:bookmarkStart w:id="15" w:name="page16"/>
    <w:bookmarkEnd w:id="1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RECENT ACCOUNTING PRONOUNCEMENTS AND DEVELOPMENTS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April 2014, the FASB issued authoritative guidance amending existing requirements for reporting discontinued operations. Under the new guidance, discontinued operations reporting will be limited to disposal transactions that represent strategic shifts having a major effect on operations and financial results. The amended guidance also enhances disclosures and requires assets and liabilities of a discontinued operation to be classified as such for all periods presented in the financial statements. Public entities will apply the amended guidance prospectively to all disposals occurring within annual periods beginning on or after December 15, 2014 and interim periods within those years. The Company will adopt this standard on January 1, 2015. Due to the change in requirements for reporting discontinued operations described above, presentation and disclosures of future disposal transactions after adoption may be different than under current standards.</w:t>
      </w:r>
    </w:p>
    <w:p>
      <w:pPr>
        <w:spacing w:after="0" w:line="189"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No.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With Customers, </w:t>
      </w:r>
      <w:r>
        <w:rPr>
          <w:rFonts w:ascii="Arial" w:cs="Arial" w:eastAsia="Arial" w:hAnsi="Arial"/>
          <w:sz w:val="16"/>
          <w:szCs w:val="16"/>
          <w:color w:val="auto"/>
        </w:rPr>
        <w:t>that outlines a single comprehensive model for entities to use in accounting for revenue arising from contracts with customers and</w:t>
      </w:r>
      <w:r>
        <w:rPr>
          <w:rFonts w:ascii="Arial" w:cs="Arial" w:eastAsia="Arial" w:hAnsi="Arial"/>
          <w:sz w:val="16"/>
          <w:szCs w:val="16"/>
          <w:i w:val="1"/>
          <w:iCs w:val="1"/>
          <w:color w:val="auto"/>
        </w:rPr>
        <w:t xml:space="preserve"> </w:t>
      </w:r>
      <w:r>
        <w:rPr>
          <w:rFonts w:ascii="Arial" w:cs="Arial" w:eastAsia="Arial" w:hAnsi="Arial"/>
          <w:sz w:val="16"/>
          <w:szCs w:val="16"/>
          <w:color w:val="auto"/>
        </w:rPr>
        <w:t>supersedes most current revenue recognition guidance, including industry-specific guidance. The ASU is based on the principle that an entity should recognize revenue to depict the transfer of goods or services to customers in an amount that reflects the consideration to which the entity expects to be entitled in exchange for those goods or services. The ASU also requires additional disclosure about the nature, amount, timing and uncertainty of revenue and cash flows arising from customer contracts, including significant judgments and changes in judgments and assets recognized from costs incurred to fulfill a contract. Entities have the option of using either a full retrospective or a modified retrospective approach for the adoption of the new standard. The ASU becomes effective for annual reporting periods beginning after December 15, 2016, including interim periods within that reporting period; early adoption is not permitted. The Company is currently assessing the impact that this standard will have on its Consolidated Financial Statements.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9"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The Private Securities Litigation Reform Act of 1995 provides a "safe harbor" for forward-looking statements. This report contains certain forward-looking statements and information that are based on the beliefs of management as well as assumptions made by and information currently available to management. The statements contained in this report relating to matters that are not historical facts are forward-looking statements that involve risks and uncertainties, including, but not limited to, our reliance on a certain key customer; possible reduced or further delayed U.S. and foreign defense spending, including the uncertainty of government budget approvals; possible delays or lack of success in our efforts to develop new commercial applications for our products; possible declines in demand for products using our batteries or communications systems; general domestic and global economic conditions; variability in our quarterly and annual results and price of our common stock; the unique risks associated with our Chinese operations; the possibility of impairment of our intangible assets; potential breaches in security and other disruptions; the possibility that our resources could be overwhelmed by our growth prospects; residual effects of negative news related to our industries; potential significant costs from our warranties; loss of top management; possible disruptions in our supply of raw materials and components; failure of customers to meet the volume expectations in our supply agreements; our inability to adequately protect our proprietary and intellectual property; the possibility that our ability to use our NOL carryforwards in the future may be limited; possible adverse effects from violations of the U.S. Foreign Corrupt Practices Act and other anti-corruption laws; variability of foreign currencies; the process of U.S. defense procurement; possible effects of audits of our contracts by the U.S. and foreign governments; our compliance with the regulations for the shipment of our products; business disruptions and other safety risks including those caused by fires; government and environmental regulations; and other risks and uncertainties, certain of which are beyond our control. Should one or more of these risks or uncertainties materialize, or should underlying assumptions prove incorrect, actual results may differ materially from those forward-looking statements described herein. When used in this report, the words “anticipate”, “believe”, “estimate” or “expect” or words of similar import are intended to identify forward-looking statements. For further discussion of certain of the matters described above and other risks and uncertainties, see Item 1A, “Risk Factors” in our Annual Report on Form 10-K for the year ended December 31, 2013.</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233" w:right="239" w:bottom="1440" w:gutter="0" w:footer="0" w:header="0"/>
        </w:sectPr>
      </w:pPr>
    </w:p>
    <w:bookmarkStart w:id="16" w:name="page17"/>
    <w:bookmarkEnd w:id="1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Undue reliance should not be placed on our forward-looking statements. Except as required by law, we disclaim any obligation to update any risk factors or to publicly announce the results of any revisions to any of the forward-looking statements contained in this Quarterly Report on Form 10-Q or our Annual Report on Form 10-K for the year ended December 31, 2013 to reflect new information or risks, future events or other developments.</w:t>
      </w:r>
    </w:p>
    <w:p>
      <w:pPr>
        <w:spacing w:after="0" w:line="16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following discussion and analysis should be read in conjunction with the accompanying Condensed Consolidated Financial Statements and Notes thereto appearing elsewhere in this Form 10-Q and our Consolidated Financial Statements and Notes thereto contained in our Form 10-K for the year ended December 31, 2013.</w:t>
      </w:r>
    </w:p>
    <w:p>
      <w:pPr>
        <w:spacing w:after="0" w:line="18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The financial information in this Management’s Discussion and Analysis of Financial Condition and Results of Operations is presented in thousands of dollars, except for share and per share amounts. All figures presented below represent results from continuing operations, unless otherwise specified.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General</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offer products and services ranging from portable power solutions to communications and electronics systems. Through our engineering and collaborative approach to problem solving, we serve government, defense and commercial customers across the globe. We design, manufacture, install and maintain power and communications systems including: rechargeable and non-rechargeable batteries, charging systems, communications and electronics systems and accessories and custom engineered systems. We continually evaluate ways to grow and broaden the scope of our products and services, including the design, development and sale of new products, expansion of our sales force to penetrate new markets and geographies, as well as seeking opportunities to expand through acquisitions. We sell our products worldwide through a variety of trade channels, including original equipment manufacturers (“OEMs”), industrial and defense supply distributors and directly to U.S. and international defense departments.</w:t>
      </w:r>
    </w:p>
    <w:p>
      <w:pPr>
        <w:spacing w:after="0" w:line="17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report our results in two operating segments: Battery &amp; Energy Products and Communications Systems. The Battery &amp; Energy Products segment includes: lithium 9-volt, cylindrical and various other non-rechargeable batteries, in addition to rechargeable batteries, uninterruptable power supplies, charging systems and accessories. The Communications Systems segment includes: RF amplifiers, power supplies, cable and connector assemblies, amplified speakers, equipment mounts, case equipment, man-portable systems, integrated communication systems for fixed or vehicle applications and communications and electronics systems design. We believe that reporting performance at the gross profit level is the best indicator of segment performance. As such, we report segment performance at the gross profit level and operating expenses as Corporate charges. (See Note 11 in the Notes to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Overview</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Consolidated revenues of $15,199 for the three-month period ended June 29, 2014, decreased by $2,080 or 12.0%, from $17,279 during the three-month period ended June 30, 2013, primarily due to the continued worldwide retrenchment of government and defense spending, which offset a 19% increase in commercial revenue for the Battery &amp; Energy Products business.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Gross profit for the three-month period ended June 29, 2014 was $4,212, or 27.7% of revenues, compared to $4,522, or 26.2% of revenues, for the same quarter a year ago. The 150 basis points improvement is due primarily to the increased overall revenue contribution of the higher margin Communications Systems sales, which increased from 15% of revenues in the second quarter of 2013 to 20% in the 2014 period. The impact of the sales mix was accentuated by the improvement of gross margin for the Communications Systems business which grew 470 basis points to 44.0% for the 2014 period reflecting higher production volumes favorable product mix.</w:t>
      </w:r>
    </w:p>
    <w:p>
      <w:pPr>
        <w:spacing w:after="0" w:line="18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Operating expenses decreased to $5,536 during the three-month period ended June 29, 2014, compared to $6,396 during the three-month period ended June 30, 2013, resulting primarily from continued actions to reduce general and administrative expenses, focused spending in the development of new products and lower overall sales commissions and selling expense.</w:t>
      </w:r>
    </w:p>
    <w:p>
      <w:pPr>
        <w:spacing w:after="0" w:line="18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The lower revenue and resulting impact on gross profit was more than offset by lower operating expenses, resulting in an operating loss of $1,324 for the three-month period ended June 29, 2014, compared to an operating loss of $1,874 for the three-month period ended June 30, 2013.</w:t>
      </w:r>
    </w:p>
    <w:p>
      <w:pPr>
        <w:spacing w:after="0" w:line="14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Net loss from continuing operations was $(1,376), or $(0.08) per share, for the three-month period ended June 29, 2014, compared to a net loss of $(1,956) or $0.11 per share, for the three-month period ended June 30, 2013. Net income (loss) from discontinued operations was $0, or $0.00 per share, for the three-month period ended June 29, 2014 versus $(120), or $(0.01) per share, for the three-month period ended June 30, 2013.</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Adjusted EBITDA from continuing operations, defined as net income (loss) attributable to Ultralife before net interest expense, provision (benefit) for income taxes, depreciation and amortization, plus/minus expenses/income that we do not consider reflective of our ongoing continuing operations, amounted to $(174) in the second quarter of 2014 compared to $(802) for the second quarter of 2013. See the section “Adjusted EBITDA from continuing operations” beginning on page 22 for a reconciliation of Adjusted EBITDA from continuing operations to net (loss) income attributable to Ultralife.</w:t>
      </w:r>
    </w:p>
    <w:p>
      <w:pPr>
        <w:spacing w:after="0" w:line="15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As a result of careful working capital management and cash generated from operations, our liquidity remains solid with no debt, and cash and cash equivalents of $17,160, a $5,588 (or 48%) improvement over the cash position of $11,572 as of the second quarter of 2013. The increase in cash and cash equivalents from the second quarter of 2013 is primarily attributable to our financial performance and cash generated from our Lean initiatives, including reductions in inventory and more timely accounts receivable collections. Cash and cash equivalents as of June 29, 2014 increased by $671 from $16,489 as of December 31, 2013. The increase in cash and cash equivalents from December 31, 2013 is primarily attributable to more timely collections of accounts receivable.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Outlook</w:t>
      </w:r>
    </w:p>
    <w:p>
      <w:pPr>
        <w:spacing w:after="0" w:line="22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Despite the company’s commercial sales momentum, management now expects revenue for the year to be approximately 10% below last year given the reductions in global government and defense spending to date that is likely to persist. As a result of the revised outlook for revenue, management now expects a slight operating loss for the year in the range of 2 – 3% of sales.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cautions that the timing of orders and shipments may cause variability in quarterly results.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Three-month periods ended June 29, 2014 and June 30, 2013</w:t>
      </w:r>
    </w:p>
    <w:p>
      <w:pPr>
        <w:spacing w:after="0" w:line="22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three-month period ended June 29, 2014 amounted to $15,199, a decrease of $2,080, or 12.0%,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$17,279 reported for the three-month period ended June 30, 2013.</w:t>
      </w:r>
    </w:p>
    <w:p>
      <w:pPr>
        <w:spacing w:after="0" w:line="16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Battery &amp; Energy Products revenues decreased $2,491, or 17.0%, from $14,656 for the three-month period ended June 30, 2013 to $12,165 for the three-month period ended June 29, 2014. Commercial sales of this business increased 19% over the 2013 three month period and now comprise 72% of total segment sales versus 50% last year. This increase was more than offset by lower shipments to government and defense customers which declined by 53% from 2013 primarily due to the continued slowdown in U.S. government and defense order rate for rechargeable and non-rechargeable batteries.</w:t>
      </w:r>
    </w:p>
    <w:p>
      <w:pPr>
        <w:spacing w:after="0" w:line="15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Communications Systems revenues increased $411, or 15.7%, from $2,623 during the three-month period ended June 30, 2013 to $3,034 for the three-month period ended June 29, 2014, driven by the fulfillment of a $1,895 order for the recently introduced Universal Vehicle Adaptors.</w:t>
      </w:r>
    </w:p>
    <w:p>
      <w:pPr>
        <w:spacing w:after="0" w:line="143"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Cost of Products Sold. </w:t>
      </w:r>
      <w:r>
        <w:rPr>
          <w:rFonts w:ascii="Arial" w:cs="Arial" w:eastAsia="Arial" w:hAnsi="Arial"/>
          <w:sz w:val="18"/>
          <w:szCs w:val="18"/>
          <w:color w:val="auto"/>
        </w:rPr>
        <w:t>Cost of products sold totaled $10,987 for the quarter ended June 29, 2014, a decrease of $1,770, or 13.9%, from the $12,757</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same three-month period a year ago. Consolidated cost of products sold as a percentage of total revenue decreased from 73.8% for the three-month period ended June 30, 2013 to 72.3% for the three-month period ended June 29, 2014. Correspondingly, consolidated gross margin was 27.7% for the three-month period ended June 29, 2014, compared with 26.2% for the three-month period ended June 30, 2013, reflecting a higher mix of the higher margin Communications Systems revenues.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our Battery &amp; Energy Products segment, the cost of products sold decreased $1,877, from $11,166 during the three-month period ended June 30, 2013 to $9,289 during the three-month period ended June 29, 2014. Battery &amp; Energy Products’ gross profit for the second quarter of 2014 was $2,876, or 23.6% of revenues, a decrease of $614 from gross profit of $3,490, or 23.8% of revenues, for the second quarter of 2013. Battery &amp; Energy Products’ gross margin as a percentage of revenues decreased for the three-month period ended June 29, 2014 by 20 basis points, reflecting product mix.</w:t>
      </w:r>
    </w:p>
    <w:p>
      <w:pPr>
        <w:spacing w:after="0" w:line="154"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our Communications Systems segment, the cost of products sold increased by $107 or 6.7% from $1,591 during the three-month period ended June 30, 2013 to $1,698 during the three-month period ended June 29, 2014. Communications Systems’ gross profit for the first quarter of 2014 was $1,336, or 44.0% of revenues, an increase of $304 from gross profit of $1,032, or 39.3% of revenues, for the second quarter of 2013. The 470 basis points increase in gross margin as a percentage of revenue during 2014 is due to higher production volumes and favorable product mix.</w:t>
      </w:r>
    </w:p>
    <w:p>
      <w:pPr>
        <w:spacing w:after="0" w:line="16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three-month period ended June 29, 2014 totaled $5,536, a decrease of $860 or 13.4%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$6,396 recorded during the three-month period ended June 30, 2013, resulting primarily from continued tight control over general and administrative expenses.</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Overall, operating expenses as a percentage of revenues were 36.4% for the quarter ended June 29, 2014 compared to 37.0% for the quarter ended June 30, 2013. Amortization expense associated with intangible assets related to our acquisitions was $80 for the second quarter of 2014 ($35 in selling, general and administrative expenses and $45 in research and development costs), compared with $98 for the second quarter of 2013 ($43 in selling, general, and administrative expenses and $55 in research and development costs). Research and development costs were $1,560 for the three-month period ended June 29, 2014, a decrease of $109, or 6.5%, from $1,669 for the three-months ended June 30, 2013, as we continued to sharpen our focus on the development of new products with the highest estimated return on investment. Selling, general, and administrative expenses decreased $751, or 15.9%, to $3,976 during the second quarter of 2014 from $4,727 during the second quarter of 2013, reflecting continued actions to reduce discretionary general and administrative expenses and lower sales commissions earned.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totaled $5 for the three-month period ended June 29, 2014 compared to $(29) for the three-month period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2013. Interest and financing expense, net of interest income, decreased $2, to $41 for the second quarter of 2014 from $43 for the comparable period in 2013, as a result of the more favorable unused line fee under our new Credit Agreement with PNC Bank. Miscellaneous income amounted to $46 for the second quarter of 2014 compared with $2 for the second quarter of 2013, primarily due to transactions impacted by changes in foreign currencies relative to the U.S. dollar.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 xml:space="preserve">Income Taxes. </w:t>
      </w:r>
      <w:r>
        <w:rPr>
          <w:rFonts w:ascii="Arial" w:cs="Arial" w:eastAsia="Arial" w:hAnsi="Arial"/>
          <w:sz w:val="16"/>
          <w:szCs w:val="16"/>
          <w:color w:val="auto"/>
        </w:rPr>
        <w:t>We reflected a tax provision of $57 for the second quarter of 2014 compared with a tax provision of $53 for the second quarter of 2013.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The effective consolidated tax rate for the three-month periods ended June 29, 2014 and June 30, 2013 was: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80" w:type="dxa"/>
            <w:vAlign w:val="bottom"/>
            <w:gridSpan w:val="4"/>
          </w:tcPr>
          <w:p>
            <w:pPr>
              <w:jc w:val="right"/>
              <w:ind w:right="930"/>
              <w:spacing w:after="0"/>
              <w:rPr>
                <w:sz w:val="20"/>
                <w:szCs w:val="20"/>
                <w:color w:val="auto"/>
              </w:rPr>
            </w:pPr>
            <w:r>
              <w:rPr>
                <w:rFonts w:ascii="Arial" w:cs="Arial" w:eastAsia="Arial" w:hAnsi="Arial"/>
                <w:sz w:val="18"/>
                <w:szCs w:val="18"/>
                <w:b w:val="1"/>
                <w:bCs w:val="1"/>
                <w:color w:val="auto"/>
              </w:rPr>
              <w:t>Three month periods ended</w:t>
            </w:r>
          </w:p>
        </w:tc>
      </w:tr>
      <w:tr>
        <w:trPr>
          <w:trHeight w:val="230"/>
        </w:trPr>
        <w:tc>
          <w:tcPr>
            <w:tcW w:w="5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29,</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44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1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income from continuing operations before</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income taxes (a)</w:t>
            </w:r>
          </w:p>
        </w:tc>
        <w:tc>
          <w:tcPr>
            <w:tcW w:w="2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(1,319)</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(1,903)</w:t>
            </w:r>
          </w:p>
        </w:tc>
      </w:tr>
      <w:tr>
        <w:trPr>
          <w:trHeight w:val="216"/>
        </w:trPr>
        <w:tc>
          <w:tcPr>
            <w:tcW w:w="5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Income tax provision (b)</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57</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53</w:t>
            </w:r>
          </w:p>
        </w:tc>
      </w:tr>
      <w:tr>
        <w:trPr>
          <w:trHeight w:val="216"/>
        </w:trPr>
        <w:tc>
          <w:tcPr>
            <w:tcW w:w="5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5440" w:type="dxa"/>
            <w:vAlign w:val="bottom"/>
          </w:tcPr>
          <w:p>
            <w:pPr>
              <w:ind w:left="100"/>
              <w:spacing w:after="0"/>
              <w:rPr>
                <w:sz w:val="20"/>
                <w:szCs w:val="20"/>
                <w:color w:val="auto"/>
              </w:rPr>
            </w:pPr>
            <w:r>
              <w:rPr>
                <w:rFonts w:ascii="Arial" w:cs="Arial" w:eastAsia="Arial" w:hAnsi="Arial"/>
                <w:sz w:val="18"/>
                <w:szCs w:val="18"/>
                <w:color w:val="auto"/>
              </w:rPr>
              <w:t>Effective income tax rate (b/a)</w:t>
            </w: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-4.3%</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-2.8%</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Certain of our NOL carryforwards are subject to U.S. alternative minimum tax such that carryforwards can offset only 90% of alternative minimum taxable income. This limitation did not have an impact on income taxes determined for the first quarters of 2014 and 2013. The use of our U.K. NOL carryforwards may be limited due to the change in the U.K. operation during 2008 from a manufacturing and assembly center to primarily a distribution and service center and its subsequent change to a sales center in 2012.</w:t>
      </w:r>
    </w:p>
    <w:p>
      <w:pPr>
        <w:spacing w:after="0" w:line="183"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Discontinued Operations. </w:t>
      </w:r>
      <w:r>
        <w:rPr>
          <w:rFonts w:ascii="Arial" w:cs="Arial" w:eastAsia="Arial" w:hAnsi="Arial"/>
          <w:sz w:val="16"/>
          <w:szCs w:val="16"/>
          <w:color w:val="auto"/>
        </w:rPr>
        <w:t>Income (Loss) from discontinued operations, net of tax, totaled $0 for the second quarter of 2014, compared to $(120)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second quarter of 2013. The loss realized in the second quarter of 2013 was primarily related to the final settlement of the sale of our RedBlack business.</w:t>
      </w:r>
    </w:p>
    <w:p>
      <w:pPr>
        <w:spacing w:after="0" w:line="11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Net Income (Loss) Attributable to Ultralife. </w:t>
      </w:r>
      <w:r>
        <w:rPr>
          <w:rFonts w:ascii="Arial" w:cs="Arial" w:eastAsia="Arial" w:hAnsi="Arial"/>
          <w:sz w:val="18"/>
          <w:szCs w:val="18"/>
          <w:color w:val="auto"/>
        </w:rPr>
        <w:t>Net loss attributable to Ultralife and loss attributable to Ultralife common shareholders per diluted share</w:t>
      </w:r>
      <w:r>
        <w:rPr>
          <w:rFonts w:ascii="Arial" w:cs="Arial" w:eastAsia="Arial" w:hAnsi="Arial"/>
          <w:sz w:val="18"/>
          <w:szCs w:val="18"/>
          <w:b w:val="1"/>
          <w:bCs w:val="1"/>
          <w:color w:val="auto"/>
        </w:rPr>
        <w:t xml:space="preserve"> </w:t>
      </w:r>
      <w:r>
        <w:rPr>
          <w:rFonts w:ascii="Arial" w:cs="Arial" w:eastAsia="Arial" w:hAnsi="Arial"/>
          <w:sz w:val="18"/>
          <w:szCs w:val="18"/>
          <w:color w:val="auto"/>
        </w:rPr>
        <w:t>was $(1,360) and $(0.08), respectively, for the three months ended June 29, 2014, compared to $($2,073) and $(0.11), respectively, for the three months ended June 30, 2013. Average common shares outstanding used to compute diluted earnings per share increased from 17,459,000 in the second quarter of 2013 to 17,533,000 in the second quarter of 2014, mainly due to stock option exercises, vesting of restricted stock units and shares of common stock issued to our non-employee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Six-month periods ended June 29, 2014 and June 30, 2013</w:t>
      </w:r>
    </w:p>
    <w:p>
      <w:pPr>
        <w:spacing w:after="0" w:line="22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Revenues. </w:t>
      </w:r>
      <w:r>
        <w:rPr>
          <w:rFonts w:ascii="Arial" w:cs="Arial" w:eastAsia="Arial" w:hAnsi="Arial"/>
          <w:sz w:val="18"/>
          <w:szCs w:val="18"/>
          <w:color w:val="auto"/>
        </w:rPr>
        <w:t>Consolidated revenues for the six-month period ended June 29, 2014 amounted to $30,484, a decrease of $7,814 or 20.4%, from the $38,298</w:t>
      </w:r>
      <w:r>
        <w:rPr>
          <w:rFonts w:ascii="Arial" w:cs="Arial" w:eastAsia="Arial" w:hAnsi="Arial"/>
          <w:sz w:val="18"/>
          <w:szCs w:val="18"/>
          <w:b w:val="1"/>
          <w:bCs w:val="1"/>
          <w:color w:val="auto"/>
        </w:rPr>
        <w:t xml:space="preserve"> </w:t>
      </w:r>
      <w:r>
        <w:rPr>
          <w:rFonts w:ascii="Arial" w:cs="Arial" w:eastAsia="Arial" w:hAnsi="Arial"/>
          <w:sz w:val="18"/>
          <w:szCs w:val="18"/>
          <w:color w:val="auto"/>
        </w:rPr>
        <w:t>reported for the six-month period ended June 30, 2013.</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Battery &amp; Energy Products revenues decreased $1,622, or 5.9%, from $27,709 for the six-month period ended June 30, 2013 to $26,087 for the six-month period ended June 29, 2014. Commercial sales of this business increased 23.5% over the 2013 six-month period and now comprise 65.5% of total segment sales versus 49.9% last year. This increase was more than offset by lower shipments to government and defense customers which declined by 29.9% from 2013 primarily due to the continued slowdown in U.S. government and defense order rate for rechargeable and non-rechargeable batteries.</w:t>
      </w:r>
    </w:p>
    <w:p>
      <w:pPr>
        <w:spacing w:after="0" w:line="15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Communications Systems revenues decreased $6,192, or 58.5%, from $10,589 during the six-month period ended June 30, 2013 to $4,397 for the six-month period ended June 29, 2014, reflecting continued slowness in closing new orders from the U.S. government.</w:t>
      </w:r>
    </w:p>
    <w:p>
      <w:pPr>
        <w:spacing w:after="0" w:line="16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Cost of Products Sold. </w:t>
      </w:r>
      <w:r>
        <w:rPr>
          <w:rFonts w:ascii="Arial" w:cs="Arial" w:eastAsia="Arial" w:hAnsi="Arial"/>
          <w:sz w:val="18"/>
          <w:szCs w:val="18"/>
          <w:color w:val="auto"/>
        </w:rPr>
        <w:t>Cost of products sold totaled $21,937 for the six-month period ended June 29, 2014, a decrease of $5,460, or 19.9%,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$27,397 reported for the same six-month period a year ago. Consolidated cost of products sold as a percentage of total revenue increased from 71.5% for the six-month period ended June 30, 2013 to 72.0% for the six-month period ended June 29, 2014. Correspondingly, consolidated gross margin was 28.0% for the six-month period ended June 29, 2014, compared with 28.5% for the six-month period ended June 30, 2013, reflecting a lower mix of the higher margin Communications Systems revenues.</w:t>
      </w:r>
    </w:p>
    <w:p>
      <w:pPr>
        <w:spacing w:after="0" w:line="188"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our Battery &amp; Energy Products segment, the cost of products sold decreased $1,709, from $21,119 during the six-month period ended June 30, 2013 to $19,410 during the six-month period ended June 29, 2014. Battery &amp; Energy Products’ gross profit for the 2014 six-month period was $6,677, or 25.6% of revenues, an increase of $87 from gross profit of $6,590, or 23.8% of revenues, for the 2013 six-month period. Battery &amp; Energy Products’ gross margin as a percentage of revenues increased for the six-month period ended June 29, 2014 by 180 basis points, reflecting productivity improvements.</w:t>
      </w:r>
    </w:p>
    <w:p>
      <w:pPr>
        <w:spacing w:after="0" w:line="15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our Communications Systems segment, the cost of products sold decreased by $3,751 or 59.7% from $6,278 during the six-month period ended June 30, 2013 to $2,527 during the six-month period ended June 29, 2014. Communications Systems’ gross profit for the first six months of 2014 was $1,870, or 42.5% of revenues, an decrease of $2,441 from gross profit of $4,331, or 40.7% of revenues, for the second quarter of 2013. The 180 basis points increase in gross margin as a percentage of revenue during 2014 is due to product mix, most notably the shipment of recently introduced Universal Vehicle Adaptors in the second quarter of 2014.</w:t>
      </w:r>
    </w:p>
    <w:p>
      <w:pPr>
        <w:spacing w:after="0" w:line="18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Total operating expenses for the six-month period ended June 29, 2014 totaled $10,967, a decrease of $1,433 or 11.6% from the</w:t>
      </w:r>
      <w:r>
        <w:rPr>
          <w:rFonts w:ascii="Arial" w:cs="Arial" w:eastAsia="Arial" w:hAnsi="Arial"/>
          <w:sz w:val="18"/>
          <w:szCs w:val="18"/>
          <w:b w:val="1"/>
          <w:bCs w:val="1"/>
          <w:color w:val="auto"/>
        </w:rPr>
        <w:t xml:space="preserve"> </w:t>
      </w:r>
      <w:r>
        <w:rPr>
          <w:rFonts w:ascii="Arial" w:cs="Arial" w:eastAsia="Arial" w:hAnsi="Arial"/>
          <w:sz w:val="18"/>
          <w:szCs w:val="18"/>
          <w:color w:val="auto"/>
        </w:rPr>
        <w:t>$12,400 recorded during the six-month period ended June 30, 2013, resulting primarily from continued tight control over general and administrative expenses.</w:t>
      </w:r>
    </w:p>
    <w:p>
      <w:pPr>
        <w:spacing w:after="0" w:line="180"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Overall, operating expenses as a percentage of revenues were 36.0% for the six-month period ended June 29, 2014 compared to 32.4% for the comparable 2013 period. Amortization expense associated with intangible assets related to our acquisitions was $154 for the first six months of 2014 ($67 in selling, general and administrative expenses and $87 in research and development costs), compared with $199 for the first six months of 2013 ($88 in selling, general, and administrative expenses and $111 in research and development costs). Research and development costs were $2,996 for the six-month period ended June 29, 2014, a decrease of $42, or 1.4%, from $3,038 for the six-months ended June 30, 2013, as we continued to sharpen our focus on the development of new products with the highest estimated return on investment. Selling, general, and administrative expenses decreased $1,391, or 14.9%, to $7,971 during the first six months of 2014 from $9,362 during the first six months of 2013, reflecting continued actions to reduce discretionary general and administrative expenses and lower sales commissions earned.</w:t>
      </w:r>
    </w:p>
    <w:p>
      <w:pPr>
        <w:spacing w:after="0" w:line="17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 xml:space="preserve">Other Income (Expense). </w:t>
      </w:r>
      <w:r>
        <w:rPr>
          <w:rFonts w:ascii="Arial" w:cs="Arial" w:eastAsia="Arial" w:hAnsi="Arial"/>
          <w:sz w:val="18"/>
          <w:szCs w:val="18"/>
          <w:color w:val="auto"/>
        </w:rPr>
        <w:t>Other income (expense) totaled $(67) for the six-month period ended June 29, 2014 compared to $(156) for the three-month</w:t>
      </w:r>
      <w:r>
        <w:rPr>
          <w:rFonts w:ascii="Arial" w:cs="Arial" w:eastAsia="Arial" w:hAnsi="Arial"/>
          <w:sz w:val="18"/>
          <w:szCs w:val="18"/>
          <w:b w:val="1"/>
          <w:bCs w:val="1"/>
          <w:color w:val="auto"/>
        </w:rPr>
        <w:t xml:space="preserve"> </w:t>
      </w:r>
      <w:r>
        <w:rPr>
          <w:rFonts w:ascii="Arial" w:cs="Arial" w:eastAsia="Arial" w:hAnsi="Arial"/>
          <w:sz w:val="18"/>
          <w:szCs w:val="18"/>
          <w:color w:val="auto"/>
        </w:rPr>
        <w:t>period ended June 30, 2013. Interest and financing expense, net of interest income, decreased $36, to $97 for the 2014 period from $133 for the comparable period in 2013, as a result of the more favorable unused line fee under our new Credit Agreement with PNC Bank. Miscellaneous income (expense) amounted to $30 for the first six months of 2014 compared with $(23) for the first six months of 2013, primarily due to transactions impacted by changes in foreign currencies relative to the U.S. dollar.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 xml:space="preserve">Income Taxes. </w:t>
      </w:r>
      <w:r>
        <w:rPr>
          <w:rFonts w:ascii="Arial" w:cs="Arial" w:eastAsia="Arial" w:hAnsi="Arial"/>
          <w:sz w:val="18"/>
          <w:szCs w:val="18"/>
          <w:color w:val="auto"/>
        </w:rPr>
        <w:t>We reflected a tax provision of $117 for the first two quarters of 2014 compared with a tax provision of $151 for the first two quarters of</w:t>
      </w:r>
      <w:r>
        <w:rPr>
          <w:rFonts w:ascii="Arial" w:cs="Arial" w:eastAsia="Arial" w:hAnsi="Arial"/>
          <w:sz w:val="18"/>
          <w:szCs w:val="18"/>
          <w:b w:val="1"/>
          <w:bCs w:val="1"/>
          <w:color w:val="auto"/>
        </w:rPr>
        <w:t xml:space="preserve"> </w:t>
      </w:r>
      <w:r>
        <w:rPr>
          <w:rFonts w:ascii="Arial" w:cs="Arial" w:eastAsia="Arial" w:hAnsi="Arial"/>
          <w:sz w:val="18"/>
          <w:szCs w:val="18"/>
          <w:color w:val="auto"/>
        </w:rPr>
        <w:t>2013. The effective consolidated tax rate for the six-month periods ended June 29, 2014 and June 30, 2013 was: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880" w:type="dxa"/>
            <w:vAlign w:val="bottom"/>
            <w:gridSpan w:val="4"/>
          </w:tcPr>
          <w:p>
            <w:pPr>
              <w:jc w:val="right"/>
              <w:ind w:right="1030"/>
              <w:spacing w:after="0"/>
              <w:rPr>
                <w:sz w:val="20"/>
                <w:szCs w:val="20"/>
                <w:color w:val="auto"/>
              </w:rPr>
            </w:pPr>
            <w:r>
              <w:rPr>
                <w:rFonts w:ascii="Arial" w:cs="Arial" w:eastAsia="Arial" w:hAnsi="Arial"/>
                <w:sz w:val="18"/>
                <w:szCs w:val="18"/>
                <w:b w:val="1"/>
                <w:bCs w:val="1"/>
                <w:color w:val="auto"/>
              </w:rPr>
              <w:t>Six-month periods ended</w:t>
            </w:r>
          </w:p>
        </w:tc>
      </w:tr>
      <w:tr>
        <w:trPr>
          <w:trHeight w:val="230"/>
        </w:trPr>
        <w:tc>
          <w:tcPr>
            <w:tcW w:w="54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29,</w:t>
            </w:r>
          </w:p>
        </w:tc>
        <w:tc>
          <w:tcPr>
            <w:tcW w:w="9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40" w:type="dxa"/>
            <w:vAlign w:val="bottom"/>
          </w:tcPr>
          <w:p>
            <w:pPr>
              <w:jc w:val="right"/>
              <w:ind w:right="410"/>
              <w:spacing w:after="0"/>
              <w:rPr>
                <w:sz w:val="20"/>
                <w:szCs w:val="20"/>
                <w:color w:val="auto"/>
              </w:rPr>
            </w:pPr>
            <w:r>
              <w:rPr>
                <w:rFonts w:ascii="Arial" w:cs="Arial" w:eastAsia="Arial" w:hAnsi="Arial"/>
                <w:sz w:val="18"/>
                <w:szCs w:val="18"/>
                <w:b w:val="1"/>
                <w:bCs w:val="1"/>
                <w:color w:val="auto"/>
              </w:rPr>
              <w:t>June 30,</w:t>
            </w:r>
          </w:p>
        </w:tc>
      </w:tr>
      <w:tr>
        <w:trPr>
          <w:trHeight w:val="234"/>
        </w:trPr>
        <w:tc>
          <w:tcPr>
            <w:tcW w:w="5440" w:type="dxa"/>
            <w:vAlign w:val="bottom"/>
            <w:tcBorders>
              <w:bottom w:val="single" w:sz="8" w:color="CCEEFF"/>
            </w:tcBorders>
          </w:tcPr>
          <w:p>
            <w:pPr>
              <w:spacing w:after="0"/>
              <w:rPr>
                <w:sz w:val="20"/>
                <w:szCs w:val="20"/>
                <w:color w:val="auto"/>
              </w:rPr>
            </w:pPr>
          </w:p>
        </w:tc>
        <w:tc>
          <w:tcPr>
            <w:tcW w:w="18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2014</w:t>
            </w:r>
          </w:p>
        </w:tc>
        <w:tc>
          <w:tcPr>
            <w:tcW w:w="9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2013</w:t>
            </w:r>
          </w:p>
        </w:tc>
      </w:tr>
      <w:tr>
        <w:trPr>
          <w:trHeight w:val="210"/>
        </w:trPr>
        <w:tc>
          <w:tcPr>
            <w:tcW w:w="54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(Loss) income from continuing operations before</w:t>
            </w: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5440" w:type="dxa"/>
            <w:vAlign w:val="bottom"/>
          </w:tcPr>
          <w:p>
            <w:pPr>
              <w:ind w:left="240"/>
              <w:spacing w:after="0"/>
              <w:rPr>
                <w:sz w:val="20"/>
                <w:szCs w:val="20"/>
                <w:color w:val="auto"/>
              </w:rPr>
            </w:pPr>
            <w:r>
              <w:rPr>
                <w:rFonts w:ascii="Arial" w:cs="Arial" w:eastAsia="Arial" w:hAnsi="Arial"/>
                <w:sz w:val="18"/>
                <w:szCs w:val="18"/>
                <w:color w:val="auto"/>
              </w:rPr>
              <w:t>income taxes (a)</w:t>
            </w:r>
          </w:p>
        </w:tc>
        <w:tc>
          <w:tcPr>
            <w:tcW w:w="2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(2,478)</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(1,641)</w:t>
            </w:r>
          </w:p>
        </w:tc>
      </w:tr>
      <w:tr>
        <w:trPr>
          <w:trHeight w:val="216"/>
        </w:trPr>
        <w:tc>
          <w:tcPr>
            <w:tcW w:w="5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16"/>
        </w:trPr>
        <w:tc>
          <w:tcPr>
            <w:tcW w:w="5440" w:type="dxa"/>
            <w:vAlign w:val="bottom"/>
          </w:tcPr>
          <w:p>
            <w:pPr>
              <w:ind w:left="100"/>
              <w:spacing w:after="0"/>
              <w:rPr>
                <w:sz w:val="20"/>
                <w:szCs w:val="20"/>
                <w:color w:val="auto"/>
              </w:rPr>
            </w:pPr>
            <w:r>
              <w:rPr>
                <w:rFonts w:ascii="Arial" w:cs="Arial" w:eastAsia="Arial" w:hAnsi="Arial"/>
                <w:sz w:val="18"/>
                <w:szCs w:val="18"/>
                <w:color w:val="auto"/>
              </w:rPr>
              <w:t>Income tax provision (b)</w:t>
            </w:r>
          </w:p>
        </w:tc>
        <w:tc>
          <w:tcPr>
            <w:tcW w:w="1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117</w:t>
            </w:r>
          </w:p>
        </w:tc>
        <w:tc>
          <w:tcPr>
            <w:tcW w:w="9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rPr>
              <w:t>151</w:t>
            </w:r>
          </w:p>
        </w:tc>
      </w:tr>
      <w:tr>
        <w:trPr>
          <w:trHeight w:val="216"/>
        </w:trPr>
        <w:tc>
          <w:tcPr>
            <w:tcW w:w="544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30"/>
        </w:trPr>
        <w:tc>
          <w:tcPr>
            <w:tcW w:w="5440" w:type="dxa"/>
            <w:vAlign w:val="bottom"/>
          </w:tcPr>
          <w:p>
            <w:pPr>
              <w:ind w:left="100"/>
              <w:spacing w:after="0"/>
              <w:rPr>
                <w:sz w:val="20"/>
                <w:szCs w:val="20"/>
                <w:color w:val="auto"/>
              </w:rPr>
            </w:pPr>
            <w:r>
              <w:rPr>
                <w:rFonts w:ascii="Arial" w:cs="Arial" w:eastAsia="Arial" w:hAnsi="Arial"/>
                <w:sz w:val="18"/>
                <w:szCs w:val="18"/>
                <w:color w:val="auto"/>
              </w:rPr>
              <w:t>Effective income tax rate (b/a)</w:t>
            </w:r>
          </w:p>
        </w:tc>
        <w:tc>
          <w:tcPr>
            <w:tcW w:w="1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-4.7%</w:t>
            </w:r>
          </w:p>
        </w:tc>
        <w:tc>
          <w:tcPr>
            <w:tcW w:w="9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-9.2%</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8 in the Notes to Condensed Consolidated Financial Statements for additional information regarding our income taxes.</w:t>
      </w:r>
    </w:p>
    <w:p>
      <w:pPr>
        <w:spacing w:after="0" w:line="221"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Discontinued Operations. </w:t>
      </w:r>
      <w:r>
        <w:rPr>
          <w:rFonts w:ascii="Arial" w:cs="Arial" w:eastAsia="Arial" w:hAnsi="Arial"/>
          <w:sz w:val="18"/>
          <w:szCs w:val="18"/>
          <w:color w:val="auto"/>
        </w:rPr>
        <w:t>Income (Loss) from discontinued operations, net of tax, totaled $(61) for the first six months of 2014, compared to $144 for</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comparable period in 2013. The expense for the 2014 period reflects the final settlements of the sale of our RedBlack business, and the income for the 2013 period primarily reflects the final settlement of the obligation to return the company’s former UK facility back to its original condition per a previous contractual commitment.</w:t>
      </w:r>
    </w:p>
    <w:p>
      <w:pPr>
        <w:spacing w:after="0" w:line="180" w:lineRule="exact"/>
        <w:rPr>
          <w:sz w:val="20"/>
          <w:szCs w:val="20"/>
          <w:color w:val="auto"/>
        </w:rPr>
      </w:pPr>
    </w:p>
    <w:p>
      <w:pPr>
        <w:jc w:val="both"/>
        <w:ind w:firstLine="324"/>
        <w:spacing w:after="0" w:line="303" w:lineRule="auto"/>
        <w:rPr>
          <w:sz w:val="20"/>
          <w:szCs w:val="20"/>
          <w:color w:val="auto"/>
        </w:rPr>
      </w:pPr>
      <w:r>
        <w:rPr>
          <w:rFonts w:ascii="Arial" w:cs="Arial" w:eastAsia="Arial" w:hAnsi="Arial"/>
          <w:sz w:val="16"/>
          <w:szCs w:val="16"/>
          <w:b w:val="1"/>
          <w:bCs w:val="1"/>
          <w:color w:val="auto"/>
        </w:rPr>
        <w:t xml:space="preserve">Net Income (Loss) Attributable to Ultralife. </w:t>
      </w:r>
      <w:r>
        <w:rPr>
          <w:rFonts w:ascii="Arial" w:cs="Arial" w:eastAsia="Arial" w:hAnsi="Arial"/>
          <w:sz w:val="16"/>
          <w:szCs w:val="16"/>
          <w:color w:val="auto"/>
        </w:rPr>
        <w:t>Net loss attributable to Ultralife and loss attributable to Ultralife common shareholders per diluted share</w:t>
      </w:r>
      <w:r>
        <w:rPr>
          <w:rFonts w:ascii="Arial" w:cs="Arial" w:eastAsia="Arial" w:hAnsi="Arial"/>
          <w:sz w:val="16"/>
          <w:szCs w:val="16"/>
          <w:b w:val="1"/>
          <w:bCs w:val="1"/>
          <w:color w:val="auto"/>
        </w:rPr>
        <w:t xml:space="preserve"> </w:t>
      </w:r>
      <w:r>
        <w:rPr>
          <w:rFonts w:ascii="Arial" w:cs="Arial" w:eastAsia="Arial" w:hAnsi="Arial"/>
          <w:sz w:val="16"/>
          <w:szCs w:val="16"/>
          <w:color w:val="auto"/>
        </w:rPr>
        <w:t>was $(2,646) and $(0.15), respectively, for the six months ended June 29, 2014, compared to $($1,639) and $(0.10), respectively, for the six months ended June 30, 2013. Average common shares outstanding used to compute diluted earnings per share increased from 17,458,000 in the 2013 period to 17,523,000 in the 2014 peirod, mainly due to stock option exercises, vesting of restricted stock units and shares of common stock issued to our non-employee directors.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Adjusted EBITDA from continuing operations</w:t>
      </w:r>
    </w:p>
    <w:p>
      <w:pPr>
        <w:spacing w:after="0" w:line="225"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evaluating our business, we consider and use Adjusted EBITDA from continuing operations, a non-GAAP financial measure, as a supplemental measure of our operating performance. We define Adjusted EBITDA from continuing operations as net income (loss) attributable to Ultralife before net interest expense, provision (benefit) for income taxes, depreciation and amortization, plus/minus expenses/income that we do not consider reflective of our ongoing continuing operations. We use Adjusted EBITDA from continuing operations as a supplemental measure to review and assess our operating performance and to enhance comparability between periods. We also believe the use of Adjusted EBITDA from continuing operations facilitates investors’ use of operating performance comparisons from period to period and company to company by backing out potential differences caused by variations in such items as capital structures (affecting relative interest expense and stock-based compensation expense), the book amortization of intangible assets (affecting relative amortization expense), the age and book value of facilities and equipment (affecting relative depreciation expense) and other significant non-operating expenses or income. We also present Adjusted EBITDA from continuing operations because we believe it is frequently used by securities analysts, investors and other interested parties as a measure of financial performance. We reconcile Adjusted EBITDA from continuing operations to net income (loss) attributable to Ultralife, the most comparable financial measure under U.S. generally accepted accounting principles (“U.S. GAAP”).</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33" w:right="239" w:bottom="1440" w:gutter="0" w:footer="0" w:header="0"/>
        </w:sectPr>
      </w:pPr>
    </w:p>
    <w:bookmarkStart w:id="22" w:name="page23"/>
    <w:bookmarkEnd w:id="22"/>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use Adjusted EBITDA from continuing operations in our decision-making processes relating to the operation of our business together with U.S. GAAP financial measures such as income (loss) from operations. We believe that Adjusted EBITDA from continuing operations permits a comparative assessment of our operating performance, relative to our performance based on our U.S. GAAP results, while isolating the effects of depreciation and amortization, which may vary from period to period without any correlation to underlying operating performance, and of non-cash stock-based compensation, which is a non-cash expense that varies widely among companies. We believe that by limiting Adjusted EBITDA to continuing operations, we assist investors in gaining a better understanding of our business on a going forward basis. We provide information relating to our Adjusted EBITDA from continuing operations so that securities analysts, investors and other interested parties have the same data that we employ in assessing our overall operations. We believe that trends in our Adjusted EBITDA from continuing operations are a valuable indicator of our operating performance on a consolidated basis and of our ability to produce operating cash flows to fund working capital needs, to service debt obligations and to fund capital expenditures.</w:t>
      </w:r>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term Adjusted EBITDA from continuing operations is not defined under U.S. GAAP, and is not a measure of operating income, operating performance or liquidity presented in accordance with U.S. GAAP. Our Adjusted EBITDA from continuing operations has limitations as an analytical tool, and when assessing our operating performance, Adjusted EBITDA from continuing operations should not be considered in isolation or as a substitute for net income (loss) attributable to Ultralife or other consolidated statement of operations data prepared in accordance with U.S. GAAP. Some of these limitations include, but are not limited to, the following:</w:t>
      </w:r>
    </w:p>
    <w:p>
      <w:pPr>
        <w:spacing w:after="0" w:line="188" w:lineRule="exact"/>
        <w:rPr>
          <w:sz w:val="20"/>
          <w:szCs w:val="20"/>
          <w:color w:val="auto"/>
        </w:rPr>
      </w:pPr>
    </w:p>
    <w:p>
      <w:pPr>
        <w:jc w:val="both"/>
        <w:ind w:left="1080" w:hanging="316"/>
        <w:spacing w:after="0" w:line="259"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Adjusted EBITDA from continuing operations does not reflect (1) our cash expenditures or future requirements for capital expenditures or contractual commitments; (2) changes in, or cash requirements for, our working capital needs; (3) the interest expense, or the cash requirements necessary to service interest or principal payments, on our debt; (4) income taxes or the cash requirements for any tax payments; and (5) all of the costs associated with operating our business;</w:t>
      </w:r>
    </w:p>
    <w:p>
      <w:pPr>
        <w:spacing w:after="0" w:line="186" w:lineRule="exact"/>
        <w:rPr>
          <w:rFonts w:ascii="Arial" w:cs="Arial" w:eastAsia="Arial" w:hAnsi="Arial"/>
          <w:sz w:val="18"/>
          <w:szCs w:val="18"/>
          <w:color w:val="auto"/>
        </w:rPr>
      </w:pPr>
    </w:p>
    <w:p>
      <w:pPr>
        <w:ind w:left="1080" w:hanging="316"/>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although depreciation and amortization are non-cash charges, the assets being depreciated and amortized often will have to be replaced in the future, and Adjusted EBITDA from continuing operations does not reflect any cash requirements for such replacements;</w:t>
      </w:r>
    </w:p>
    <w:p>
      <w:pPr>
        <w:spacing w:after="0" w:line="146" w:lineRule="exact"/>
        <w:rPr>
          <w:rFonts w:ascii="Arial" w:cs="Arial" w:eastAsia="Arial" w:hAnsi="Arial"/>
          <w:sz w:val="17"/>
          <w:szCs w:val="17"/>
          <w:color w:val="auto"/>
        </w:rPr>
      </w:pPr>
    </w:p>
    <w:p>
      <w:pPr>
        <w:jc w:val="both"/>
        <w:ind w:left="1080" w:hanging="316"/>
        <w:spacing w:after="0" w:line="264"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while stock-based compensation is a component of cost of products sold and operating expenses, the impact on our consolidated financial statements compared to other companies can vary significantly due to such factors as assumed life of the stock-based awards and assumed volatility of our common stock;</w:t>
      </w:r>
    </w:p>
    <w:p>
      <w:pPr>
        <w:spacing w:after="0" w:line="181" w:lineRule="exact"/>
        <w:rPr>
          <w:rFonts w:ascii="Arial" w:cs="Arial" w:eastAsia="Arial" w:hAnsi="Arial"/>
          <w:sz w:val="18"/>
          <w:szCs w:val="18"/>
          <w:color w:val="auto"/>
        </w:rPr>
      </w:pPr>
    </w:p>
    <w:p>
      <w:pPr>
        <w:ind w:left="1080" w:right="20" w:hanging="316"/>
        <w:spacing w:after="0" w:line="308" w:lineRule="auto"/>
        <w:tabs>
          <w:tab w:leader="none" w:pos="1080"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although discontinued operations does not reflect our current business operations, discontinued operations includes the costs we incurred by exiting our Energy Services and certain of our UK businesses and divesting our RedBlack Communications business; and</w:t>
      </w:r>
    </w:p>
    <w:p>
      <w:pPr>
        <w:spacing w:after="0" w:line="146" w:lineRule="exact"/>
        <w:rPr>
          <w:rFonts w:ascii="Arial" w:cs="Arial" w:eastAsia="Arial" w:hAnsi="Arial"/>
          <w:sz w:val="17"/>
          <w:szCs w:val="17"/>
          <w:color w:val="auto"/>
        </w:rPr>
      </w:pPr>
    </w:p>
    <w:p>
      <w:pPr>
        <w:ind w:left="1080" w:hanging="316"/>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companies may calculate Adjusted EBITDA from continuing operations differently than we do, limiting its usefulness as a comparative measure.</w:t>
      </w:r>
    </w:p>
    <w:p>
      <w:pPr>
        <w:spacing w:after="0" w:line="17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compensate for these limitations by relying primarily on our U.S. GAAP results and using Adjusted EBITDA from continuing operations only supplementally. Adjusted EBITDA from continuing operations is calculated as follows for the periods presented: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233"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07"/>
        </w:trPr>
        <w:tc>
          <w:tcPr>
            <w:tcW w:w="3840" w:type="dxa"/>
            <w:vAlign w:val="bottom"/>
            <w:gridSpan w:val="2"/>
          </w:tcPr>
          <w:p>
            <w:pPr>
              <w:spacing w:after="0"/>
              <w:rPr>
                <w:rFonts w:ascii="Arial" w:cs="Arial" w:eastAsia="Arial" w:hAnsi="Arial"/>
                <w:sz w:val="18"/>
                <w:szCs w:val="18"/>
                <w:i w:val="1"/>
                <w:iCs w:val="1"/>
                <w:color w:val="0000EE"/>
              </w:rPr>
            </w:pPr>
            <w:hyperlink w:anchor="page2">
              <w:r>
                <w:rPr>
                  <w:rFonts w:ascii="Arial" w:cs="Arial" w:eastAsia="Arial" w:hAnsi="Arial"/>
                  <w:sz w:val="18"/>
                  <w:szCs w:val="18"/>
                  <w:i w:val="1"/>
                  <w:iCs w:val="1"/>
                  <w:color w:val="0000EE"/>
                </w:rPr>
                <w:t>Index</w:t>
              </w:r>
            </w:hyperlink>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50"/>
        </w:trPr>
        <w:tc>
          <w:tcPr>
            <w:tcW w:w="400" w:type="dxa"/>
            <w:vAlign w:val="bottom"/>
            <w:tcBorders>
              <w:top w:val="single" w:sz="8" w:color="0000EE"/>
            </w:tcBorders>
          </w:tcPr>
          <w:p>
            <w:pPr>
              <w:spacing w:after="0"/>
              <w:rPr>
                <w:sz w:val="24"/>
                <w:szCs w:val="24"/>
                <w:color w:val="auto"/>
              </w:rPr>
            </w:pPr>
          </w:p>
        </w:tc>
        <w:tc>
          <w:tcPr>
            <w:tcW w:w="3440" w:type="dxa"/>
            <w:vAlign w:val="bottom"/>
          </w:tcPr>
          <w:p>
            <w:pPr>
              <w:spacing w:after="0"/>
              <w:rPr>
                <w:sz w:val="24"/>
                <w:szCs w:val="24"/>
                <w:color w:val="auto"/>
              </w:rPr>
            </w:pPr>
          </w:p>
        </w:tc>
        <w:tc>
          <w:tcPr>
            <w:tcW w:w="4200" w:type="dxa"/>
            <w:vAlign w:val="bottom"/>
            <w:gridSpan w:val="8"/>
          </w:tcPr>
          <w:p>
            <w:pPr>
              <w:ind w:left="1100"/>
              <w:spacing w:after="0"/>
              <w:rPr>
                <w:sz w:val="20"/>
                <w:szCs w:val="20"/>
                <w:color w:val="auto"/>
              </w:rPr>
            </w:pPr>
            <w:r>
              <w:rPr>
                <w:rFonts w:ascii="Arial" w:cs="Arial" w:eastAsia="Arial" w:hAnsi="Arial"/>
                <w:sz w:val="18"/>
                <w:szCs w:val="18"/>
                <w:b w:val="1"/>
                <w:bCs w:val="1"/>
                <w:color w:val="auto"/>
              </w:rPr>
              <w:t>Three-month periods ended</w:t>
            </w:r>
          </w:p>
        </w:tc>
        <w:tc>
          <w:tcPr>
            <w:tcW w:w="2320" w:type="dxa"/>
            <w:vAlign w:val="bottom"/>
            <w:gridSpan w:val="7"/>
          </w:tcPr>
          <w:p>
            <w:pPr>
              <w:ind w:left="340"/>
              <w:spacing w:after="0"/>
              <w:rPr>
                <w:sz w:val="20"/>
                <w:szCs w:val="20"/>
                <w:color w:val="auto"/>
              </w:rPr>
            </w:pPr>
            <w:r>
              <w:rPr>
                <w:rFonts w:ascii="Arial" w:cs="Arial" w:eastAsia="Arial" w:hAnsi="Arial"/>
                <w:sz w:val="18"/>
                <w:szCs w:val="18"/>
                <w:b w:val="1"/>
                <w:bCs w:val="1"/>
                <w:color w:val="auto"/>
                <w:w w:val="90"/>
              </w:rPr>
              <w:t>Six-month periods ended</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30"/>
        </w:trPr>
        <w:tc>
          <w:tcPr>
            <w:tcW w:w="40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June 29,</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June 30,</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b w:val="1"/>
                <w:bCs w:val="1"/>
                <w:color w:val="auto"/>
              </w:rPr>
              <w:t>June 29,</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4"/>
              </w:rPr>
              <w:t>June 30,</w:t>
            </w:r>
          </w:p>
        </w:tc>
      </w:tr>
      <w:tr>
        <w:trPr>
          <w:trHeight w:val="234"/>
        </w:trPr>
        <w:tc>
          <w:tcPr>
            <w:tcW w:w="400" w:type="dxa"/>
            <w:vAlign w:val="bottom"/>
            <w:tcBorders>
              <w:bottom w:val="single" w:sz="8" w:color="CCEEFF"/>
            </w:tcBorders>
          </w:tcPr>
          <w:p>
            <w:pPr>
              <w:spacing w:after="0"/>
              <w:rPr>
                <w:sz w:val="20"/>
                <w:szCs w:val="20"/>
                <w:color w:val="auto"/>
              </w:rPr>
            </w:pPr>
          </w:p>
        </w:tc>
        <w:tc>
          <w:tcPr>
            <w:tcW w:w="3440" w:type="dxa"/>
            <w:vAlign w:val="bottom"/>
            <w:tcBorders>
              <w:bottom w:val="single" w:sz="8" w:color="CCEEFF"/>
            </w:tcBorders>
          </w:tcPr>
          <w:p>
            <w:pPr>
              <w:spacing w:after="0"/>
              <w:rPr>
                <w:sz w:val="20"/>
                <w:szCs w:val="20"/>
                <w:color w:val="auto"/>
              </w:rPr>
            </w:pPr>
          </w:p>
        </w:tc>
        <w:tc>
          <w:tcPr>
            <w:tcW w:w="1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36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2014</w:t>
            </w:r>
          </w:p>
        </w:tc>
        <w:tc>
          <w:tcPr>
            <w:tcW w:w="120" w:type="dxa"/>
            <w:vAlign w:val="bottom"/>
            <w:tcBorders>
              <w:bottom w:val="single" w:sz="8" w:color="auto"/>
            </w:tcBorders>
          </w:tcPr>
          <w:p>
            <w:pPr>
              <w:spacing w:after="0"/>
              <w:rPr>
                <w:sz w:val="20"/>
                <w:szCs w:val="20"/>
                <w:color w:val="auto"/>
              </w:rPr>
            </w:pPr>
          </w:p>
        </w:tc>
        <w:tc>
          <w:tcPr>
            <w:tcW w:w="32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2013</w:t>
            </w: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r>
      <w:tr>
        <w:trPr>
          <w:trHeight w:val="210"/>
        </w:trPr>
        <w:tc>
          <w:tcPr>
            <w:tcW w:w="38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Net loss attributable to Ultralife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(2,073)</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(1,639)</w:t>
            </w:r>
          </w:p>
        </w:tc>
      </w:tr>
      <w:tr>
        <w:trPr>
          <w:trHeight w:val="216"/>
        </w:trPr>
        <w:tc>
          <w:tcPr>
            <w:tcW w:w="3840" w:type="dxa"/>
            <w:vAlign w:val="bottom"/>
            <w:gridSpan w:val="2"/>
          </w:tcPr>
          <w:p>
            <w:pPr>
              <w:ind w:left="100"/>
              <w:spacing w:after="0"/>
              <w:rPr>
                <w:sz w:val="20"/>
                <w:szCs w:val="20"/>
                <w:color w:val="auto"/>
              </w:rPr>
            </w:pPr>
            <w:r>
              <w:rPr>
                <w:rFonts w:ascii="Arial" w:cs="Arial" w:eastAsia="Arial" w:hAnsi="Arial"/>
                <w:sz w:val="18"/>
                <w:szCs w:val="18"/>
                <w:color w:val="auto"/>
              </w:rPr>
              <w:t>Add (subtract):</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Interest and financing expense, net</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97</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119</w:t>
            </w:r>
          </w:p>
        </w:tc>
      </w:tr>
      <w:tr>
        <w:trPr>
          <w:trHeight w:val="216"/>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Income tax provision</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57</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117</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Depreciation expense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729</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1,465</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1,559</w:t>
            </w:r>
          </w:p>
        </w:tc>
        <w:tc>
          <w:tcPr>
            <w:tcW w:w="8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ind w:left="180"/>
              <w:spacing w:after="0"/>
              <w:rPr>
                <w:sz w:val="20"/>
                <w:szCs w:val="20"/>
                <w:color w:val="auto"/>
              </w:rPr>
            </w:pPr>
            <w:r>
              <w:rPr>
                <w:rFonts w:ascii="Arial" w:cs="Arial" w:eastAsia="Arial" w:hAnsi="Arial"/>
                <w:sz w:val="18"/>
                <w:szCs w:val="18"/>
                <w:color w:val="auto"/>
              </w:rPr>
              <w:t>Amortization of intangible assets</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154</w:t>
            </w: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199</w:t>
            </w:r>
          </w:p>
        </w:tc>
        <w:tc>
          <w:tcPr>
            <w:tcW w:w="80" w:type="dxa"/>
            <w:vAlign w:val="bottom"/>
          </w:tcPr>
          <w:p>
            <w:pPr>
              <w:spacing w:after="0"/>
              <w:rPr>
                <w:sz w:val="18"/>
                <w:szCs w:val="18"/>
                <w:color w:val="auto"/>
              </w:rPr>
            </w:pPr>
          </w:p>
        </w:tc>
      </w:tr>
      <w:tr>
        <w:trPr>
          <w:trHeight w:val="216"/>
        </w:trPr>
        <w:tc>
          <w:tcPr>
            <w:tcW w:w="38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Stock-based compensation expense</w:t>
            </w:r>
          </w:p>
        </w:tc>
        <w:tc>
          <w:tcPr>
            <w:tcW w:w="1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523</w:t>
            </w:r>
          </w:p>
        </w:tc>
        <w:tc>
          <w:tcPr>
            <w:tcW w:w="3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w:t>
            </w:r>
          </w:p>
        </w:tc>
        <w:tc>
          <w:tcPr>
            <w:tcW w:w="80" w:type="dxa"/>
            <w:vAlign w:val="bottom"/>
            <w:shd w:val="clear" w:color="auto" w:fill="CCEEFF"/>
          </w:tcPr>
          <w:p>
            <w:pPr>
              <w:spacing w:after="0"/>
              <w:rPr>
                <w:sz w:val="18"/>
                <w:szCs w:val="18"/>
                <w:color w:val="auto"/>
              </w:rPr>
            </w:pPr>
          </w:p>
        </w:tc>
      </w:tr>
      <w:tr>
        <w:trPr>
          <w:trHeight w:val="216"/>
        </w:trPr>
        <w:tc>
          <w:tcPr>
            <w:tcW w:w="3840" w:type="dxa"/>
            <w:vAlign w:val="bottom"/>
            <w:gridSpan w:val="2"/>
          </w:tcPr>
          <w:p>
            <w:pPr>
              <w:ind w:left="200"/>
              <w:spacing w:after="0"/>
              <w:rPr>
                <w:sz w:val="20"/>
                <w:szCs w:val="20"/>
                <w:color w:val="auto"/>
              </w:rPr>
            </w:pPr>
            <w:r>
              <w:rPr>
                <w:rFonts w:ascii="Arial" w:cs="Arial" w:eastAsia="Arial" w:hAnsi="Arial"/>
                <w:sz w:val="18"/>
                <w:szCs w:val="18"/>
                <w:color w:val="auto"/>
              </w:rPr>
              <w:t>Loss (gain) from discontinued</w:t>
            </w: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384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operations</w:t>
            </w: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center"/>
              <w:ind w:left="470"/>
              <w:spacing w:after="0"/>
              <w:rPr>
                <w:sz w:val="20"/>
                <w:szCs w:val="20"/>
                <w:color w:val="auto"/>
              </w:rPr>
            </w:pPr>
            <w:r>
              <w:rPr>
                <w:rFonts w:ascii="Arial" w:cs="Arial" w:eastAsia="Arial" w:hAnsi="Arial"/>
                <w:sz w:val="18"/>
                <w:szCs w:val="18"/>
                <w:color w:val="auto"/>
                <w:w w:val="99"/>
              </w:rPr>
              <w:t>—</w:t>
            </w:r>
          </w:p>
        </w:tc>
        <w:tc>
          <w:tcPr>
            <w:tcW w:w="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c>
          <w:tcPr>
            <w:tcW w:w="3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w:t>
            </w:r>
          </w:p>
        </w:tc>
        <w:tc>
          <w:tcPr>
            <w:tcW w:w="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(144)</w:t>
            </w:r>
          </w:p>
        </w:tc>
      </w:tr>
      <w:tr>
        <w:trPr>
          <w:trHeight w:val="223"/>
        </w:trPr>
        <w:tc>
          <w:tcPr>
            <w:tcW w:w="3840" w:type="dxa"/>
            <w:vAlign w:val="bottom"/>
            <w:gridSpan w:val="2"/>
          </w:tcPr>
          <w:p>
            <w:pPr>
              <w:ind w:left="100"/>
              <w:spacing w:after="0"/>
              <w:rPr>
                <w:sz w:val="20"/>
                <w:szCs w:val="20"/>
                <w:color w:val="auto"/>
              </w:rPr>
            </w:pPr>
            <w:r>
              <w:rPr>
                <w:rFonts w:ascii="Arial" w:cs="Arial" w:eastAsia="Arial" w:hAnsi="Arial"/>
                <w:sz w:val="18"/>
                <w:szCs w:val="18"/>
                <w:color w:val="auto"/>
              </w:rPr>
              <w:t>Adjusted EBITDA</w:t>
            </w:r>
          </w:p>
        </w:tc>
        <w:tc>
          <w:tcPr>
            <w:tcW w:w="11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(802</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(229</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3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675</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4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Liquidity and Capital Resources</w:t>
      </w:r>
    </w:p>
    <w:p>
      <w:pPr>
        <w:spacing w:after="0" w:line="22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As of June 29, 2014, cash and cash equivalents totaled $17,160, an increase of $671 from the beginning of the year. During the six-month period ended June 29, 2014, we generated $986 of cash from our operating activities as compared to cash generated totaling $2,045 during the six-month period ended June 30, 2013. Cash generated from operations in 2014 was positive despite our net loss of $2,656, as the loss was largely offset by non-cash expenses (depreciation, amortization and stock-based compensation) totaling $2,178. Cash generated from operations in 2014 resulted primarily from a $4,128 decrease in accounts receivable, offset partially by our loss of $2,656, a decrease in accounts payable and other liabilities of $2,106 and an increase in inventories which totaled $1,042. Cash generated from operations in 2013 resulted primarily from a $8,543 decrease in accounts receivable, offset partially by our loss of $1,648 and a decrease in accounts payable and accrued expenses of $4,384.</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Inventory turnover for the first six months of 2014 was an annualized rate of approximately 2.0 turns per year, unchanged from the first six months of 2013.</w:t>
      </w:r>
    </w:p>
    <w:p>
      <w:pPr>
        <w:spacing w:after="0" w:line="24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We used $398 in cash for investing activities during the six month period ended June 29, 2014 compared with $440 in cash used for investing activities in the same period in 2013. In both periods, this spending was principally for the purchase of property, equipment and improvements.</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June 29, 2014, we had made commitments to purchase approximately $518 of production machinery and equipment, which we expect to fund through operating cash flows or debt borrowings.</w:t>
      </w:r>
    </w:p>
    <w:p>
      <w:pPr>
        <w:spacing w:after="0" w:line="17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28, 2014, the Company’s Board of Directors approved a share repurchase program (the “Share Repurchase Program”) which became effective on May 1, 2014, under which the Company plans to repurchase up to 1.8 million shares of its outstanding common stock over a period not to exceed twelve months. Share repurchases, if any, will be made in accordance with SEC Rule 10b-18 using a variety of methods, which may include open market purchases, privately negotiated transactions and block trades, or any combination of such methods, in accordance with applicable insider trading and other securities laws and regulations. The timing, manner, price and amount of any repurchase will be determined in the Company’s discretion and the Share Repurchase Program may be suspended, terminated or modified by the Company at any time and for any reason. The Share Repurchase Program does not obligate the Company to repurchase any specific number of shares. No purchases have been made under this program through the period ended June 29, 2014.</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216" w:right="239" w:bottom="1440" w:gutter="0" w:footer="0" w:header="0"/>
        </w:sectPr>
      </w:pPr>
    </w:p>
    <w:bookmarkStart w:id="24" w:name="page25"/>
    <w:bookmarkEnd w:id="24"/>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Commitments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financing through our Credit Facility with PNC Bank, which provides a $20 million secured asset-based revolving credit facility that includes a $1 million letter of credit sub-facility. As of June 29, 2014, we had approximately $12,361 of borrowing capacity under our $20 million Credit Facility with PNC Bank, in addition to our cash on hand of $17,160, and we had no outstanding borrowings or outstanding letters of credit under the Credit Facility at either June 29, 2014 or June 30, 2013.</w:t>
      </w:r>
    </w:p>
    <w:p>
      <w:pPr>
        <w:spacing w:after="0" w:line="18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available borrowing limit under the Credit Facility is based on a borrowing base formula equal to a percentage of accounts receivable, inventory and eligible foreign in-transit inventory. Interest is payable quarterly and accrues on outstanding indebtedness under the Credit Agreement at either a LIBOR-based rate or an alternate base rate, as defined in the Credit Agreement. We pay a quarterly fee on the Credit Facility’s unused availability at 0.375% per annum.</w:t>
      </w:r>
    </w:p>
    <w:p>
      <w:pPr>
        <w:spacing w:after="0" w:line="18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April 30, 2014, the Company and PNC entered into an amendment (the “Amendment”) to the Credit Agreement. The Amendment permits the Company to commence the Share Repurchase Program described above, provided that (a) the Company is not in default under the Credit Agreement, (b) the Company’s undrawn availability under the Credit Agreement is at least $6 million both prior to and immediately following any repurchase, (c) the Company’s undrawn availability under the Credit Agreement plus domestic unrestricted cash is at least $8 million both prior to and immediately following any repurchase, and (d) the Company uses its unrestricted cash for such repurchases and does not request advances against the Credit Agreement for such purposes.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During the first quarter of 2014, we received an informal notice from the landlord of our China facility that we may not be able to extend our lease past its expiration in October 2014 due to possible zoning changes in the village where the facility is located. In response to this informal notification, we changed the period over which the China plant’s leasehold improvements are being depreciated to coincide with the expiration of the lease in October 2014.</w:t>
      </w:r>
    </w:p>
    <w:p>
      <w:pPr>
        <w:spacing w:after="0" w:line="14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the second quarter of 2014, the landlord confirmed to us that the lease for our China facility would not be extended, and we commenced a search for an alternate site to relocate our facility. We also developed plans to increase our manufacturing output in advance of the move so as to minimize the disruption of such a move to both our customers and the Company’s operations.</w:t>
      </w:r>
    </w:p>
    <w:p>
      <w:pPr>
        <w:spacing w:after="0" w:line="18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Subsequent to June 29, 2014, the Company’s subsidiary in China entered into a lease for a replacement facility, also located in Shenzhen. The lease includes a five year term including two rent-free months, and requires rent payments of RMB117 (approximately $19 at the current exchange rate) per month for the first three years, increasing to RMB126 (approximately $20) per month for the final two years. We believe that the expense of the move, net of expected local government reimbursements, will be in the range of $400 to $500, and will be incurred during the third and fourth quarters of 2014.</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Matters</w:t>
      </w:r>
    </w:p>
    <w:p>
      <w:pPr>
        <w:spacing w:after="0" w:line="225"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With respect to our battery products, we typically offer warranties against any defects due to product malfunction or workmanship for a period up to one year from the date of purchase. With respect to our communications accessory products, we typically offer a three-year warranty. We provide for a reserve for these potential warranty expenses, which is based on an analysis of historical warranty issues. There is no assurance that future warranty claims will be consistent with past history, and in the event we experience a significant increase in warranty claims, there is no assurance that our reserves would be sufficient. This could have a material adverse effect on our business, financial condition and results of operations.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Critical Accounting Policies</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Management exercises judgment in making important decisions pertaining to choosing and applying accounting policies and methodologies in many areas. Not only are these decisions necessary to comply with U.S. GAAP, but they also reflect management’s view of the most appropriate manner in which to record and report our overall financial performance. All accounting policies are important, and all policies described in Note 1 (“Summary of Operations and Significant Accounting Policies”) to our Consolidated Financial Statements in our 2013 Annual Report on Form 10-K should be reviewed for a greater understanding of how our financial performance is recorded and reported.</w:t>
      </w:r>
    </w:p>
    <w:p>
      <w:pPr>
        <w:spacing w:after="0" w:line="18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During the first three months of 2014, there were no significant changes in the manner in which our significant accounting policies were applied or in which related assumptions and estimates were developed.</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Evaluation Of Disclosure Controls And Procedures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President and Chief Executive Officer (Principal Executive Officer) and our Chief Financial Officer and Treasurer (Principal Financial Officer) have evaluated our disclosure controls and procedures (as defined in Securities Exchange Act Rules 13a-15(e)) as of the end of the period covered by this quarterly report. Based on this evaluation, our President and Chief Executive Officer and Chief Financial Officer and Treasurer concluded that our disclosure controls and procedures were effective as of such date.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has been no change in our internal control over financial reporting (as defined in Securities Exchange Act Rule 13a-15(f)) that occurred during the fiscal quarter covered by this quarterly report that has materially affected, or is reasonably likely to materially affect, our internal control over financial reporting.</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On September 23, 2011, we initiated an action against Arista Power, Inc. (“Arista”) and our former senior sales and engineering employee, David Modeen (“Modeen”) in the State of New York Supreme Court, County of Wayne (the “Wayne County Action”). In our initial Complaint, we alleged that Arista recruited all but one of the members of its executive team from us, subsequently changed and redirected its business to compete directly with us by using our confidential information, and during the summer of 2011, recruited Modeen to become an Arista employee. We also allege that, as a result of actions by Arista and Modeen: (i) Modeen has breached the terms of his Employee Confidentiality, Non-Disclosure, Non-Compete, Non-Disparagement and Assignment Agreement with us as well as other obligations he owed us; (ii) Arista’s employment of Modeen will inevitably lead to the disclosure and use of our trade secrets by Arista, in violation of Modeen’s obligations to us; (iii) Arista unlawfully induced Modeen to breach his obligations to us; and (iv) Arista’s recruitment and employment of Modeen has breached a subcontract between Arista and us. In February 2012, we amended our Complaint to allege more broadly that Arista has misappropriated our trade secrets and confidential and strategic information related to products, technical requirements, markets, customers and sales and marketing, including (but not solely) through the recruitment and employment of Modeen. We seek damages as determined at trial and preliminary and permanent injunctive relief. The defendants answered the allegations set forth in the Complaint and Amended Complaint, without asserting any counterclaims.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41"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On December 5, 2011, Arista served us with a Complaint it filed on November 29, 2011 in the State of New York Supreme Court, County of Monroe (the “Monroe County Action”) against us, our officers, several of our directors, and an employee. In its Complaint, Arista alleges that we and our named defendants have violated the terms of a Confidentiality Agreement with Arista and have unfairly competed against Arista by unlawfully appropriating Arista’s trade secrets and that as a result of such activity, Arista has incurred damages in excess of $60,000, and seeks damages, an accounting, and preliminary and permanent injunctive relief. After various motions, two amendments to its original Complaint and discovery between the parties, Arista withdrew all of its claims against all defendants other than the Company and one employee and the Stipulation and Order dismissing those claims was filed on September 20, 2013. On March 16, 2014, Arista delivered a Stipulation of Discontinuance With Prejudice agreeing to withdraw all remaining claims against us and our employee with prejudice which would preclude Arista from pursuing the claims that had been asserted in the Monroe County Action against us and our employee in a new suit or as counterclaims in the Wayne County Action.</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Wayne County Action continues and discovery is in process.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Exhibit</w:t>
            </w:r>
          </w:p>
        </w:tc>
        <w:tc>
          <w:tcPr>
            <w:tcW w:w="534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Index</w:t>
            </w:r>
          </w:p>
        </w:tc>
        <w:tc>
          <w:tcPr>
            <w:tcW w:w="5340" w:type="dxa"/>
            <w:vAlign w:val="bottom"/>
          </w:tcPr>
          <w:p>
            <w:pPr>
              <w:ind w:left="280"/>
              <w:spacing w:after="0"/>
              <w:rPr>
                <w:sz w:val="20"/>
                <w:szCs w:val="20"/>
                <w:color w:val="auto"/>
              </w:rPr>
            </w:pPr>
            <w:r>
              <w:rPr>
                <w:rFonts w:ascii="Arial" w:cs="Arial" w:eastAsia="Arial" w:hAnsi="Arial"/>
                <w:sz w:val="18"/>
                <w:szCs w:val="18"/>
                <w:color w:val="auto"/>
              </w:rPr>
              <w:t>Description of Document</w:t>
            </w:r>
          </w:p>
        </w:tc>
        <w:tc>
          <w:tcPr>
            <w:tcW w:w="3740" w:type="dxa"/>
            <w:vAlign w:val="bottom"/>
          </w:tcPr>
          <w:p>
            <w:pPr>
              <w:ind w:left="1340"/>
              <w:spacing w:after="0"/>
              <w:rPr>
                <w:sz w:val="20"/>
                <w:szCs w:val="20"/>
                <w:color w:val="auto"/>
              </w:rPr>
            </w:pPr>
            <w:r>
              <w:rPr>
                <w:rFonts w:ascii="Arial" w:cs="Arial" w:eastAsia="Arial" w:hAnsi="Arial"/>
                <w:sz w:val="18"/>
                <w:szCs w:val="18"/>
                <w:color w:val="auto"/>
                <w:w w:val="91"/>
              </w:rPr>
              <w:t>Incorporated By Reference from:</w:t>
            </w:r>
          </w:p>
        </w:tc>
      </w:tr>
      <w:tr>
        <w:trPr>
          <w:trHeight w:val="418"/>
        </w:trPr>
        <w:tc>
          <w:tcPr>
            <w:tcW w:w="980" w:type="dxa"/>
            <w:vAlign w:val="bottom"/>
          </w:tcPr>
          <w:p>
            <w:pPr>
              <w:spacing w:after="0"/>
              <w:rPr>
                <w:sz w:val="20"/>
                <w:szCs w:val="20"/>
                <w:color w:val="auto"/>
              </w:rPr>
            </w:pPr>
            <w:r>
              <w:rPr>
                <w:rFonts w:ascii="Arial" w:cs="Arial" w:eastAsia="Arial" w:hAnsi="Arial"/>
                <w:sz w:val="18"/>
                <w:szCs w:val="18"/>
                <w:color w:val="auto"/>
              </w:rPr>
              <w:t>31.1</w:t>
            </w:r>
          </w:p>
        </w:tc>
        <w:tc>
          <w:tcPr>
            <w:tcW w:w="5340" w:type="dxa"/>
            <w:vAlign w:val="bottom"/>
          </w:tcPr>
          <w:p>
            <w:pPr>
              <w:ind w:left="280"/>
              <w:spacing w:after="0"/>
              <w:rPr>
                <w:sz w:val="20"/>
                <w:szCs w:val="20"/>
                <w:color w:val="auto"/>
              </w:rPr>
            </w:pPr>
            <w:r>
              <w:rPr>
                <w:rFonts w:ascii="Arial" w:cs="Arial" w:eastAsia="Arial" w:hAnsi="Arial"/>
                <w:sz w:val="18"/>
                <w:szCs w:val="18"/>
                <w:color w:val="auto"/>
              </w:rPr>
              <w:t>Rule 13a-14(a) / 15d-14(a) CEO Certifications</w:t>
            </w:r>
          </w:p>
        </w:tc>
        <w:tc>
          <w:tcPr>
            <w:tcW w:w="3740" w:type="dxa"/>
            <w:vAlign w:val="bottom"/>
          </w:tcPr>
          <w:p>
            <w:pPr>
              <w:ind w:left="134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31.2</w:t>
            </w:r>
          </w:p>
        </w:tc>
        <w:tc>
          <w:tcPr>
            <w:tcW w:w="5340" w:type="dxa"/>
            <w:vAlign w:val="bottom"/>
          </w:tcPr>
          <w:p>
            <w:pPr>
              <w:ind w:left="280"/>
              <w:spacing w:after="0"/>
              <w:rPr>
                <w:sz w:val="20"/>
                <w:szCs w:val="20"/>
                <w:color w:val="auto"/>
              </w:rPr>
            </w:pPr>
            <w:r>
              <w:rPr>
                <w:rFonts w:ascii="Arial" w:cs="Arial" w:eastAsia="Arial" w:hAnsi="Arial"/>
                <w:sz w:val="18"/>
                <w:szCs w:val="18"/>
                <w:color w:val="auto"/>
              </w:rPr>
              <w:t>Rule 13a-14(a) / 15d-14(a) CFO Certifications</w:t>
            </w:r>
          </w:p>
        </w:tc>
        <w:tc>
          <w:tcPr>
            <w:tcW w:w="3740" w:type="dxa"/>
            <w:vAlign w:val="bottom"/>
          </w:tcPr>
          <w:p>
            <w:pPr>
              <w:ind w:left="134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32</w:t>
            </w:r>
          </w:p>
        </w:tc>
        <w:tc>
          <w:tcPr>
            <w:tcW w:w="5340" w:type="dxa"/>
            <w:vAlign w:val="bottom"/>
          </w:tcPr>
          <w:p>
            <w:pPr>
              <w:ind w:left="280"/>
              <w:spacing w:after="0"/>
              <w:rPr>
                <w:sz w:val="20"/>
                <w:szCs w:val="20"/>
                <w:color w:val="auto"/>
              </w:rPr>
            </w:pPr>
            <w:r>
              <w:rPr>
                <w:rFonts w:ascii="Arial" w:cs="Arial" w:eastAsia="Arial" w:hAnsi="Arial"/>
                <w:sz w:val="18"/>
                <w:szCs w:val="18"/>
                <w:color w:val="auto"/>
              </w:rPr>
              <w:t>Section 1350 Certifications</w:t>
            </w:r>
          </w:p>
        </w:tc>
        <w:tc>
          <w:tcPr>
            <w:tcW w:w="3740" w:type="dxa"/>
            <w:vAlign w:val="bottom"/>
          </w:tcPr>
          <w:p>
            <w:pPr>
              <w:ind w:left="1340"/>
              <w:spacing w:after="0"/>
              <w:rPr>
                <w:sz w:val="20"/>
                <w:szCs w:val="20"/>
                <w:color w:val="auto"/>
              </w:rPr>
            </w:pPr>
            <w:r>
              <w:rPr>
                <w:rFonts w:ascii="Arial" w:cs="Arial" w:eastAsia="Arial" w:hAnsi="Arial"/>
                <w:sz w:val="18"/>
                <w:szCs w:val="18"/>
                <w:color w:val="auto"/>
              </w:rPr>
              <w:t>Filed herewith</w:t>
            </w: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5340" w:type="dxa"/>
            <w:vAlign w:val="bottom"/>
          </w:tcPr>
          <w:p>
            <w:pPr>
              <w:ind w:left="280"/>
              <w:spacing w:after="0"/>
              <w:rPr>
                <w:sz w:val="20"/>
                <w:szCs w:val="20"/>
                <w:color w:val="auto"/>
              </w:rPr>
            </w:pPr>
            <w:r>
              <w:rPr>
                <w:rFonts w:ascii="Arial" w:cs="Arial" w:eastAsia="Arial" w:hAnsi="Arial"/>
                <w:sz w:val="18"/>
                <w:szCs w:val="18"/>
                <w:color w:val="auto"/>
              </w:rPr>
              <w:t>XBRL Instance Document</w:t>
            </w:r>
          </w:p>
        </w:tc>
        <w:tc>
          <w:tcPr>
            <w:tcW w:w="374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Extension Schema Document</w:t>
            </w:r>
          </w:p>
        </w:tc>
        <w:tc>
          <w:tcPr>
            <w:tcW w:w="374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Calculation Linkbase Document</w:t>
            </w:r>
          </w:p>
        </w:tc>
        <w:tc>
          <w:tcPr>
            <w:tcW w:w="374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Label Linkbase Document</w:t>
            </w:r>
          </w:p>
        </w:tc>
        <w:tc>
          <w:tcPr>
            <w:tcW w:w="3740" w:type="dxa"/>
            <w:vAlign w:val="bottom"/>
          </w:tcPr>
          <w:p>
            <w:pPr>
              <w:spacing w:after="0"/>
              <w:rPr>
                <w:sz w:val="18"/>
                <w:szCs w:val="18"/>
                <w:color w:val="auto"/>
              </w:rPr>
            </w:pPr>
          </w:p>
        </w:tc>
      </w:tr>
      <w:tr>
        <w:trPr>
          <w:trHeight w:val="216"/>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Presentation Linkbase Document</w:t>
            </w:r>
          </w:p>
        </w:tc>
        <w:tc>
          <w:tcPr>
            <w:tcW w:w="3740" w:type="dxa"/>
            <w:vAlign w:val="bottom"/>
          </w:tcPr>
          <w:p>
            <w:pPr>
              <w:spacing w:after="0"/>
              <w:rPr>
                <w:sz w:val="18"/>
                <w:szCs w:val="18"/>
                <w:color w:val="auto"/>
              </w:rPr>
            </w:pPr>
          </w:p>
        </w:tc>
      </w:tr>
      <w:tr>
        <w:trPr>
          <w:trHeight w:val="230"/>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5340" w:type="dxa"/>
            <w:vAlign w:val="bottom"/>
          </w:tcPr>
          <w:p>
            <w:pPr>
              <w:ind w:left="280"/>
              <w:spacing w:after="0"/>
              <w:rPr>
                <w:sz w:val="20"/>
                <w:szCs w:val="20"/>
                <w:color w:val="auto"/>
              </w:rPr>
            </w:pPr>
            <w:r>
              <w:rPr>
                <w:rFonts w:ascii="Arial" w:cs="Arial" w:eastAsia="Arial" w:hAnsi="Arial"/>
                <w:sz w:val="18"/>
                <w:szCs w:val="18"/>
                <w:color w:val="auto"/>
              </w:rPr>
              <w:t>XBRL Taxonomy Definition Document</w:t>
            </w:r>
          </w:p>
        </w:tc>
        <w:tc>
          <w:tcPr>
            <w:tcW w:w="37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00" w:lineRule="exact"/>
        <w:rPr>
          <w:sz w:val="20"/>
          <w:szCs w:val="20"/>
          <w:color w:val="auto"/>
        </w:rPr>
      </w:pPr>
    </w:p>
    <w:p>
      <w:pPr>
        <w:spacing w:after="0" w:line="23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4680"/>
        <w:spacing w:after="0"/>
        <w:rPr>
          <w:sz w:val="20"/>
          <w:szCs w:val="20"/>
          <w:color w:val="auto"/>
        </w:rPr>
      </w:pPr>
      <w:r>
        <w:rPr>
          <w:rFonts w:ascii="Arial" w:cs="Arial" w:eastAsia="Arial" w:hAnsi="Arial"/>
          <w:sz w:val="18"/>
          <w:szCs w:val="18"/>
          <w:b w:val="1"/>
          <w:bCs w:val="1"/>
          <w:u w:val="single" w:color="auto"/>
          <w:color w:val="auto"/>
        </w:rPr>
        <w:t>ULTRALIFE CORPORATION</w:t>
      </w:r>
    </w:p>
    <w:p>
      <w:pPr>
        <w:spacing w:after="0" w:line="27"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340" w:type="dxa"/>
            <w:vAlign w:val="bottom"/>
            <w:gridSpan w:val="2"/>
          </w:tcPr>
          <w:p>
            <w:pPr>
              <w:ind w:left="280"/>
              <w:spacing w:after="0"/>
              <w:rPr>
                <w:sz w:val="20"/>
                <w:szCs w:val="20"/>
                <w:color w:val="auto"/>
              </w:rPr>
            </w:pPr>
            <w:r>
              <w:rPr>
                <w:rFonts w:ascii="Arial" w:cs="Arial" w:eastAsia="Arial" w:hAnsi="Arial"/>
                <w:sz w:val="18"/>
                <w:szCs w:val="18"/>
                <w:color w:val="auto"/>
              </w:rPr>
              <w:t>(Registrant)</w:t>
            </w:r>
          </w:p>
        </w:tc>
      </w:tr>
      <w:tr>
        <w:trPr>
          <w:trHeight w:val="377"/>
        </w:trPr>
        <w:tc>
          <w:tcPr>
            <w:tcW w:w="2840" w:type="dxa"/>
            <w:vAlign w:val="bottom"/>
            <w:gridSpan w:val="3"/>
          </w:tcPr>
          <w:p>
            <w:pPr>
              <w:spacing w:after="0"/>
              <w:rPr>
                <w:sz w:val="20"/>
                <w:szCs w:val="20"/>
                <w:color w:val="auto"/>
              </w:rPr>
            </w:pPr>
            <w:r>
              <w:rPr>
                <w:rFonts w:ascii="Arial" w:cs="Arial" w:eastAsia="Arial" w:hAnsi="Arial"/>
                <w:sz w:val="18"/>
                <w:szCs w:val="18"/>
                <w:color w:val="auto"/>
              </w:rPr>
              <w:t>Date: August 6, 2014</w:t>
            </w:r>
          </w:p>
        </w:tc>
        <w:tc>
          <w:tcPr>
            <w:tcW w:w="1620" w:type="dxa"/>
            <w:vAlign w:val="bottom"/>
          </w:tcPr>
          <w:p>
            <w:pPr>
              <w:ind w:left="1280"/>
              <w:spacing w:after="0"/>
              <w:rPr>
                <w:sz w:val="20"/>
                <w:szCs w:val="20"/>
                <w:color w:val="auto"/>
              </w:rPr>
            </w:pPr>
            <w:r>
              <w:rPr>
                <w:rFonts w:ascii="Arial" w:cs="Arial" w:eastAsia="Arial" w:hAnsi="Arial"/>
                <w:sz w:val="18"/>
                <w:szCs w:val="18"/>
                <w:color w:val="auto"/>
              </w:rPr>
              <w:t>By:</w:t>
            </w:r>
          </w:p>
        </w:tc>
        <w:tc>
          <w:tcPr>
            <w:tcW w:w="2400" w:type="dxa"/>
            <w:vAlign w:val="bottom"/>
            <w:gridSpan w:val="3"/>
          </w:tcPr>
          <w:p>
            <w:pPr>
              <w:ind w:left="60"/>
              <w:spacing w:after="0"/>
              <w:rPr>
                <w:sz w:val="20"/>
                <w:szCs w:val="20"/>
                <w:color w:val="auto"/>
              </w:rPr>
            </w:pPr>
            <w:r>
              <w:rPr>
                <w:rFonts w:ascii="Arial" w:cs="Arial" w:eastAsia="Arial" w:hAnsi="Arial"/>
                <w:sz w:val="18"/>
                <w:szCs w:val="18"/>
                <w:color w:val="auto"/>
              </w:rPr>
              <w:t>/s/ Michael D. Popielec</w:t>
            </w:r>
          </w:p>
        </w:tc>
      </w:tr>
      <w:tr>
        <w:trPr>
          <w:trHeight w:val="20"/>
        </w:trPr>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0" w:type="dxa"/>
            <w:vAlign w:val="bottom"/>
            <w:tcBorders>
              <w:left w:val="single" w:sz="8" w:color="auto"/>
            </w:tcBorders>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gridSpan w:val="4"/>
          </w:tcPr>
          <w:p>
            <w:pPr>
              <w:ind w:left="1280"/>
              <w:spacing w:after="0"/>
              <w:rPr>
                <w:sz w:val="20"/>
                <w:szCs w:val="20"/>
                <w:color w:val="auto"/>
              </w:rPr>
            </w:pPr>
            <w:r>
              <w:rPr>
                <w:rFonts w:ascii="Arial" w:cs="Arial" w:eastAsia="Arial" w:hAnsi="Arial"/>
                <w:sz w:val="18"/>
                <w:szCs w:val="18"/>
                <w:color w:val="auto"/>
              </w:rPr>
              <w:t>Michael D. Popielec</w:t>
            </w:r>
          </w:p>
        </w:tc>
      </w:tr>
      <w:tr>
        <w:trPr>
          <w:trHeight w:val="216"/>
        </w:trPr>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4020" w:type="dxa"/>
            <w:vAlign w:val="bottom"/>
            <w:gridSpan w:val="4"/>
          </w:tcPr>
          <w:p>
            <w:pPr>
              <w:ind w:left="1280"/>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20" w:type="dxa"/>
            <w:vAlign w:val="bottom"/>
            <w:gridSpan w:val="4"/>
          </w:tcPr>
          <w:p>
            <w:pPr>
              <w:ind w:left="1280"/>
              <w:spacing w:after="0"/>
              <w:rPr>
                <w:sz w:val="20"/>
                <w:szCs w:val="20"/>
                <w:color w:val="auto"/>
              </w:rPr>
            </w:pPr>
            <w:r>
              <w:rPr>
                <w:rFonts w:ascii="Arial" w:cs="Arial" w:eastAsia="Arial" w:hAnsi="Arial"/>
                <w:sz w:val="18"/>
                <w:szCs w:val="18"/>
                <w:color w:val="auto"/>
              </w:rPr>
              <w:t>(Principal Executive Officer)</w:t>
            </w:r>
          </w:p>
        </w:tc>
      </w:tr>
      <w:tr>
        <w:trPr>
          <w:trHeight w:val="392"/>
        </w:trPr>
        <w:tc>
          <w:tcPr>
            <w:tcW w:w="2840" w:type="dxa"/>
            <w:vAlign w:val="bottom"/>
            <w:gridSpan w:val="3"/>
          </w:tcPr>
          <w:p>
            <w:pPr>
              <w:spacing w:after="0"/>
              <w:rPr>
                <w:sz w:val="20"/>
                <w:szCs w:val="20"/>
                <w:color w:val="auto"/>
              </w:rPr>
            </w:pPr>
            <w:r>
              <w:rPr>
                <w:rFonts w:ascii="Arial" w:cs="Arial" w:eastAsia="Arial" w:hAnsi="Arial"/>
                <w:sz w:val="18"/>
                <w:szCs w:val="18"/>
                <w:color w:val="auto"/>
              </w:rPr>
              <w:t>Date: August 6, 2014</w:t>
            </w:r>
          </w:p>
        </w:tc>
        <w:tc>
          <w:tcPr>
            <w:tcW w:w="1620" w:type="dxa"/>
            <w:vAlign w:val="bottom"/>
          </w:tcPr>
          <w:p>
            <w:pPr>
              <w:ind w:left="1280"/>
              <w:spacing w:after="0"/>
              <w:rPr>
                <w:sz w:val="20"/>
                <w:szCs w:val="20"/>
                <w:color w:val="auto"/>
              </w:rPr>
            </w:pPr>
            <w:r>
              <w:rPr>
                <w:rFonts w:ascii="Arial" w:cs="Arial" w:eastAsia="Arial" w:hAnsi="Arial"/>
                <w:sz w:val="18"/>
                <w:szCs w:val="18"/>
                <w:color w:val="auto"/>
              </w:rPr>
              <w:t>By:</w:t>
            </w:r>
          </w:p>
        </w:tc>
        <w:tc>
          <w:tcPr>
            <w:tcW w:w="2400" w:type="dxa"/>
            <w:vAlign w:val="bottom"/>
            <w:gridSpan w:val="3"/>
          </w:tcPr>
          <w:p>
            <w:pPr>
              <w:ind w:left="60"/>
              <w:spacing w:after="0"/>
              <w:rPr>
                <w:sz w:val="20"/>
                <w:szCs w:val="20"/>
                <w:color w:val="auto"/>
              </w:rPr>
            </w:pPr>
            <w:r>
              <w:rPr>
                <w:rFonts w:ascii="Arial" w:cs="Arial" w:eastAsia="Arial" w:hAnsi="Arial"/>
                <w:sz w:val="18"/>
                <w:szCs w:val="18"/>
                <w:color w:val="auto"/>
              </w:rPr>
              <w:t>/s/ Philip A. Fain</w:t>
            </w:r>
          </w:p>
        </w:tc>
      </w:tr>
      <w:tr>
        <w:trPr>
          <w:trHeight w:val="20"/>
        </w:trPr>
        <w:tc>
          <w:tcPr>
            <w:tcW w:w="4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80" w:type="dxa"/>
            <w:vAlign w:val="bottom"/>
            <w:gridSpan w:val="2"/>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22"/>
        </w:trPr>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4020" w:type="dxa"/>
            <w:vAlign w:val="bottom"/>
            <w:gridSpan w:val="4"/>
          </w:tcPr>
          <w:p>
            <w:pPr>
              <w:ind w:left="1280"/>
              <w:spacing w:after="0"/>
              <w:rPr>
                <w:sz w:val="20"/>
                <w:szCs w:val="20"/>
                <w:color w:val="auto"/>
              </w:rPr>
            </w:pPr>
            <w:r>
              <w:rPr>
                <w:rFonts w:ascii="Arial" w:cs="Arial" w:eastAsia="Arial" w:hAnsi="Arial"/>
                <w:sz w:val="18"/>
                <w:szCs w:val="18"/>
                <w:color w:val="auto"/>
              </w:rPr>
              <w:t>Philip A. Fain</w:t>
            </w:r>
          </w:p>
        </w:tc>
      </w:tr>
      <w:tr>
        <w:trPr>
          <w:trHeight w:val="230"/>
        </w:trPr>
        <w:tc>
          <w:tcPr>
            <w:tcW w:w="4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20" w:type="dxa"/>
            <w:vAlign w:val="bottom"/>
            <w:gridSpan w:val="4"/>
          </w:tcPr>
          <w:p>
            <w:pPr>
              <w:ind w:left="1280"/>
              <w:spacing w:after="0"/>
              <w:rPr>
                <w:sz w:val="20"/>
                <w:szCs w:val="20"/>
                <w:color w:val="auto"/>
              </w:rPr>
            </w:pPr>
            <w:r>
              <w:rPr>
                <w:rFonts w:ascii="Arial" w:cs="Arial" w:eastAsia="Arial" w:hAnsi="Arial"/>
                <w:sz w:val="18"/>
                <w:szCs w:val="18"/>
                <w:color w:val="auto"/>
                <w:w w:val="92"/>
              </w:rPr>
              <w:t>Chief Financial Officer and Treasurer</w:t>
            </w:r>
          </w:p>
        </w:tc>
      </w:tr>
    </w:tbl>
    <w:p>
      <w:pPr>
        <w:jc w:val="right"/>
        <w:ind w:right="4240"/>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jc w:val="right"/>
        <w:ind w:right="420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1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220"/>
          </w:cols>
          <w:pgMar w:left="240" w:top="233" w:right="439" w:bottom="1440" w:gutter="0" w:footer="0" w:header="0"/>
        </w:sectPr>
      </w:pPr>
    </w:p>
    <w:bookmarkStart w:id="28" w:name="page29"/>
    <w:bookmarkEnd w:id="28"/>
    <w:p>
      <w:pPr>
        <w:spacing w:after="0"/>
        <w:rPr>
          <w:rFonts w:ascii="Arial" w:cs="Arial" w:eastAsia="Arial" w:hAnsi="Arial"/>
          <w:sz w:val="18"/>
          <w:szCs w:val="18"/>
          <w:i w:val="1"/>
          <w:iCs w:val="1"/>
          <w:u w:val="single" w:color="auto"/>
          <w:color w:val="0000EE"/>
        </w:rPr>
      </w:pPr>
      <w:hyperlink w:anchor="page2">
        <w:r>
          <w:rPr>
            <w:rFonts w:ascii="Arial" w:cs="Arial" w:eastAsia="Arial" w:hAnsi="Arial"/>
            <w:sz w:val="18"/>
            <w:szCs w:val="18"/>
            <w:i w:val="1"/>
            <w:iCs w:val="1"/>
            <w:u w:val="single" w:color="auto"/>
            <w:color w:val="0000EE"/>
          </w:rPr>
          <w:t>Index</w:t>
        </w:r>
      </w:hyperlink>
    </w:p>
    <w:p>
      <w:pPr>
        <w:spacing w:after="0" w:line="225"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20" w:type="dxa"/>
            <w:vAlign w:val="bottom"/>
          </w:tcPr>
          <w:p>
            <w:pPr>
              <w:spacing w:after="0"/>
              <w:rPr>
                <w:sz w:val="20"/>
                <w:szCs w:val="20"/>
                <w:color w:val="auto"/>
              </w:rPr>
            </w:pPr>
          </w:p>
        </w:tc>
        <w:tc>
          <w:tcPr>
            <w:tcW w:w="9600" w:type="dxa"/>
            <w:vAlign w:val="bottom"/>
          </w:tcPr>
          <w:p>
            <w:pPr>
              <w:ind w:left="3620"/>
              <w:spacing w:after="0"/>
              <w:rPr>
                <w:sz w:val="20"/>
                <w:szCs w:val="20"/>
                <w:color w:val="auto"/>
              </w:rPr>
            </w:pPr>
            <w:r>
              <w:rPr>
                <w:rFonts w:ascii="Arial" w:cs="Arial" w:eastAsia="Arial" w:hAnsi="Arial"/>
                <w:sz w:val="18"/>
                <w:szCs w:val="18"/>
                <w:color w:val="auto"/>
              </w:rPr>
              <w:t>Index to Exhibits</w:t>
            </w:r>
          </w:p>
        </w:tc>
      </w:tr>
      <w:tr>
        <w:trPr>
          <w:trHeight w:val="41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Executive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9600" w:type="dxa"/>
            <w:vAlign w:val="bottom"/>
          </w:tcPr>
          <w:p>
            <w:pPr>
              <w:ind w:left="140"/>
              <w:spacing w:after="0"/>
              <w:rPr>
                <w:sz w:val="20"/>
                <w:szCs w:val="20"/>
                <w:color w:val="auto"/>
              </w:rPr>
            </w:pPr>
            <w:r>
              <w:rPr>
                <w:rFonts w:ascii="Arial" w:cs="Arial" w:eastAsia="Arial" w:hAnsi="Arial"/>
                <w:sz w:val="18"/>
                <w:szCs w:val="18"/>
                <w:color w:val="auto"/>
                <w:w w:val="91"/>
              </w:rPr>
              <w:t>Certification of Chief Financial Officer Pursuant to Rule 13a-14(a) of the Securities Exchange Act of 1934, as adopted pursuant to</w:t>
            </w:r>
          </w:p>
        </w:tc>
      </w:tr>
      <w:tr>
        <w:trPr>
          <w:trHeight w:val="216"/>
        </w:trPr>
        <w:tc>
          <w:tcPr>
            <w:tcW w:w="820" w:type="dxa"/>
            <w:vAlign w:val="bottom"/>
          </w:tcPr>
          <w:p>
            <w:pPr>
              <w:spacing w:after="0"/>
              <w:rPr>
                <w:sz w:val="18"/>
                <w:szCs w:val="18"/>
                <w:color w:val="auto"/>
              </w:rPr>
            </w:pPr>
          </w:p>
        </w:tc>
        <w:tc>
          <w:tcPr>
            <w:tcW w:w="9600" w:type="dxa"/>
            <w:vAlign w:val="bottom"/>
          </w:tcPr>
          <w:p>
            <w:pPr>
              <w:ind w:left="140"/>
              <w:spacing w:after="0"/>
              <w:rPr>
                <w:sz w:val="20"/>
                <w:szCs w:val="20"/>
                <w:color w:val="auto"/>
              </w:rPr>
            </w:pPr>
            <w:r>
              <w:rPr>
                <w:rFonts w:ascii="Arial" w:cs="Arial" w:eastAsia="Arial" w:hAnsi="Arial"/>
                <w:sz w:val="18"/>
                <w:szCs w:val="18"/>
                <w:color w:val="auto"/>
              </w:rPr>
              <w:t>Section 302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32</w:t>
            </w:r>
          </w:p>
        </w:tc>
        <w:tc>
          <w:tcPr>
            <w:tcW w:w="9600" w:type="dxa"/>
            <w:vAlign w:val="bottom"/>
          </w:tcPr>
          <w:p>
            <w:pPr>
              <w:ind w:left="140"/>
              <w:spacing w:after="0"/>
              <w:rPr>
                <w:sz w:val="20"/>
                <w:szCs w:val="20"/>
                <w:color w:val="auto"/>
              </w:rPr>
            </w:pPr>
            <w:r>
              <w:rPr>
                <w:rFonts w:ascii="Arial" w:cs="Arial" w:eastAsia="Arial" w:hAnsi="Arial"/>
                <w:sz w:val="18"/>
                <w:szCs w:val="18"/>
                <w:color w:val="auto"/>
                <w:w w:val="98"/>
              </w:rPr>
              <w:t>Certification pursuant to 18 U.S.C. Section 1350, as adopted pursuant to Section 906 of the Sarbanes-Oxley Act of 2002</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9600" w:type="dxa"/>
            <w:vAlign w:val="bottom"/>
          </w:tcPr>
          <w:p>
            <w:pPr>
              <w:ind w:left="140"/>
              <w:spacing w:after="0"/>
              <w:rPr>
                <w:sz w:val="20"/>
                <w:szCs w:val="20"/>
                <w:color w:val="auto"/>
              </w:rPr>
            </w:pPr>
            <w:r>
              <w:rPr>
                <w:rFonts w:ascii="Arial" w:cs="Arial" w:eastAsia="Arial" w:hAnsi="Arial"/>
                <w:sz w:val="18"/>
                <w:szCs w:val="18"/>
                <w:color w:val="auto"/>
              </w:rPr>
              <w:t>XBRL Instance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101.SCH</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101.CAL</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Calculation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101.LAB</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Label Linkbase Document</w:t>
            </w:r>
          </w:p>
        </w:tc>
      </w:tr>
      <w:tr>
        <w:trPr>
          <w:trHeight w:val="216"/>
        </w:trPr>
        <w:tc>
          <w:tcPr>
            <w:tcW w:w="820" w:type="dxa"/>
            <w:vAlign w:val="bottom"/>
          </w:tcPr>
          <w:p>
            <w:pPr>
              <w:spacing w:after="0"/>
              <w:rPr>
                <w:sz w:val="20"/>
                <w:szCs w:val="20"/>
                <w:color w:val="auto"/>
              </w:rPr>
            </w:pPr>
            <w:r>
              <w:rPr>
                <w:rFonts w:ascii="Arial" w:cs="Arial" w:eastAsia="Arial" w:hAnsi="Arial"/>
                <w:sz w:val="18"/>
                <w:szCs w:val="18"/>
                <w:color w:val="auto"/>
              </w:rPr>
              <w:t>101.PRE</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Presentation Linkbase Document</w:t>
            </w:r>
          </w:p>
        </w:tc>
      </w:tr>
      <w:tr>
        <w:trPr>
          <w:trHeight w:val="230"/>
        </w:trPr>
        <w:tc>
          <w:tcPr>
            <w:tcW w:w="820" w:type="dxa"/>
            <w:vAlign w:val="bottom"/>
          </w:tcPr>
          <w:p>
            <w:pPr>
              <w:spacing w:after="0"/>
              <w:rPr>
                <w:sz w:val="20"/>
                <w:szCs w:val="20"/>
                <w:color w:val="auto"/>
              </w:rPr>
            </w:pPr>
            <w:r>
              <w:rPr>
                <w:rFonts w:ascii="Arial" w:cs="Arial" w:eastAsia="Arial" w:hAnsi="Arial"/>
                <w:sz w:val="18"/>
                <w:szCs w:val="18"/>
                <w:color w:val="auto"/>
              </w:rPr>
              <w:t>101.DEF</w:t>
            </w:r>
          </w:p>
        </w:tc>
        <w:tc>
          <w:tcPr>
            <w:tcW w:w="9600" w:type="dxa"/>
            <w:vAlign w:val="bottom"/>
          </w:tcPr>
          <w:p>
            <w:pPr>
              <w:ind w:left="140"/>
              <w:spacing w:after="0"/>
              <w:rPr>
                <w:sz w:val="20"/>
                <w:szCs w:val="20"/>
                <w:color w:val="auto"/>
              </w:rPr>
            </w:pPr>
            <w:r>
              <w:rPr>
                <w:rFonts w:ascii="Arial" w:cs="Arial" w:eastAsia="Arial" w:hAnsi="Arial"/>
                <w:sz w:val="18"/>
                <w:szCs w:val="18"/>
                <w:color w:val="auto"/>
              </w:rPr>
              <w:t>XBRL Taxonomy Definition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080"/>
          </w:cols>
          <w:pgMar w:left="240" w:top="233" w:right="579" w:bottom="1440" w:gutter="0" w:footer="0" w:header="0"/>
        </w:sectPr>
      </w:pPr>
    </w:p>
    <w:bookmarkStart w:id="29" w:name="page30"/>
    <w:bookmarkEnd w:id="29"/>
    <w:p>
      <w:pPr>
        <w:jc w:val="right"/>
        <w:spacing w:after="0"/>
        <w:rPr>
          <w:sz w:val="20"/>
          <w:szCs w:val="20"/>
          <w:color w:val="auto"/>
        </w:rPr>
      </w:pPr>
      <w:r>
        <w:rPr>
          <w:rFonts w:ascii="Arial" w:cs="Arial" w:eastAsia="Arial" w:hAnsi="Arial"/>
          <w:sz w:val="20"/>
          <w:szCs w:val="20"/>
          <w:color w:val="auto"/>
        </w:rPr>
        <w:t>Exhibit 31.1</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Michael D. Popielec, certify that:</w:t>
      </w:r>
    </w:p>
    <w:p>
      <w:pPr>
        <w:spacing w:after="0" w:line="229" w:lineRule="exact"/>
        <w:rPr>
          <w:sz w:val="20"/>
          <w:szCs w:val="20"/>
          <w:color w:val="auto"/>
        </w:rPr>
      </w:pPr>
    </w:p>
    <w:p>
      <w:pPr>
        <w:ind w:left="200" w:hanging="192"/>
        <w:spacing w:after="0"/>
        <w:tabs>
          <w:tab w:leader="none" w:pos="200" w:val="left"/>
        </w:tabs>
        <w:numPr>
          <w:ilvl w:val="0"/>
          <w:numId w:val="18"/>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18"/>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18"/>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18"/>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18"/>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18"/>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18"/>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18"/>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18"/>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920" w:type="dxa"/>
            <w:vAlign w:val="bottom"/>
            <w:gridSpan w:val="3"/>
          </w:tcPr>
          <w:p>
            <w:pPr>
              <w:spacing w:after="0"/>
              <w:rPr>
                <w:sz w:val="20"/>
                <w:szCs w:val="20"/>
                <w:color w:val="auto"/>
              </w:rPr>
            </w:pPr>
            <w:r>
              <w:rPr>
                <w:rFonts w:ascii="Arial" w:cs="Arial" w:eastAsia="Arial" w:hAnsi="Arial"/>
                <w:sz w:val="20"/>
                <w:szCs w:val="20"/>
                <w:color w:val="auto"/>
              </w:rPr>
              <w:t>Date: August 6, 2014</w:t>
            </w:r>
          </w:p>
        </w:tc>
        <w:tc>
          <w:tcPr>
            <w:tcW w:w="4860" w:type="dxa"/>
            <w:vAlign w:val="bottom"/>
            <w:gridSpan w:val="3"/>
          </w:tcPr>
          <w:p>
            <w:pPr>
              <w:ind w:left="1200"/>
              <w:spacing w:after="0"/>
              <w:rPr>
                <w:sz w:val="20"/>
                <w:szCs w:val="20"/>
                <w:color w:val="auto"/>
              </w:rPr>
            </w:pPr>
            <w:r>
              <w:rPr>
                <w:rFonts w:ascii="Arial" w:cs="Arial" w:eastAsia="Arial" w:hAnsi="Arial"/>
                <w:sz w:val="20"/>
                <w:szCs w:val="20"/>
                <w:color w:val="auto"/>
              </w:rPr>
              <w:t>By:  /s/ Michael D. Popielec</w:t>
            </w:r>
          </w:p>
        </w:tc>
      </w:tr>
      <w:tr>
        <w:trPr>
          <w:trHeight w:val="233"/>
        </w:trPr>
        <w:tc>
          <w:tcPr>
            <w:tcW w:w="48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70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Michael D. Popielec</w:t>
            </w:r>
          </w:p>
        </w:tc>
        <w:tc>
          <w:tcPr>
            <w:tcW w:w="52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220" w:type="dxa"/>
            <w:vAlign w:val="bottom"/>
            <w:gridSpan w:val="2"/>
          </w:tcPr>
          <w:p>
            <w:pPr>
              <w:ind w:left="200"/>
              <w:spacing w:after="0"/>
              <w:rPr>
                <w:sz w:val="20"/>
                <w:szCs w:val="20"/>
                <w:color w:val="auto"/>
              </w:rPr>
            </w:pPr>
            <w:r>
              <w:rPr>
                <w:rFonts w:ascii="Arial" w:cs="Arial" w:eastAsia="Arial" w:hAnsi="Arial"/>
                <w:sz w:val="20"/>
                <w:szCs w:val="20"/>
                <w:color w:val="auto"/>
                <w:w w:val="90"/>
              </w:rPr>
              <w:t>President and Chief Executive Officer</w:t>
            </w:r>
          </w:p>
        </w:tc>
      </w:tr>
    </w:tbl>
    <w:p>
      <w:pPr>
        <w:sectPr>
          <w:pgSz w:w="11900" w:h="16838" w:orient="portrait"/>
          <w:cols w:equalWidth="0" w:num="1">
            <w:col w:w="11420"/>
          </w:cols>
          <w:pgMar w:left="240" w:top="121" w:right="239" w:bottom="1440" w:gutter="0" w:footer="0" w:header="0"/>
        </w:sectPr>
      </w:pPr>
    </w:p>
    <w:bookmarkStart w:id="30" w:name="page31"/>
    <w:bookmarkEnd w:id="30"/>
    <w:p>
      <w:pPr>
        <w:jc w:val="right"/>
        <w:spacing w:after="0"/>
        <w:rPr>
          <w:sz w:val="20"/>
          <w:szCs w:val="20"/>
          <w:color w:val="auto"/>
        </w:rPr>
      </w:pPr>
      <w:r>
        <w:rPr>
          <w:rFonts w:ascii="Arial" w:cs="Arial" w:eastAsia="Arial" w:hAnsi="Arial"/>
          <w:sz w:val="20"/>
          <w:szCs w:val="20"/>
          <w:color w:val="auto"/>
        </w:rPr>
        <w:t>Exhibit 31.2</w:t>
      </w: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color w:val="auto"/>
        </w:rPr>
        <w:t>I, Philip A. Fain, certify that:</w:t>
      </w:r>
    </w:p>
    <w:p>
      <w:pPr>
        <w:spacing w:after="0" w:line="229" w:lineRule="exact"/>
        <w:rPr>
          <w:sz w:val="20"/>
          <w:szCs w:val="20"/>
          <w:color w:val="auto"/>
        </w:rPr>
      </w:pPr>
    </w:p>
    <w:p>
      <w:pPr>
        <w:ind w:left="200" w:hanging="192"/>
        <w:spacing w:after="0"/>
        <w:tabs>
          <w:tab w:leader="none" w:pos="200" w:val="left"/>
        </w:tabs>
        <w:numPr>
          <w:ilvl w:val="0"/>
          <w:numId w:val="1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Ultralife Corporation;</w:t>
      </w:r>
    </w:p>
    <w:p>
      <w:pPr>
        <w:spacing w:after="0" w:line="229" w:lineRule="exact"/>
        <w:rPr>
          <w:rFonts w:ascii="Arial" w:cs="Arial" w:eastAsia="Arial" w:hAnsi="Arial"/>
          <w:sz w:val="20"/>
          <w:szCs w:val="20"/>
          <w:color w:val="auto"/>
        </w:rPr>
      </w:pPr>
    </w:p>
    <w:p>
      <w:pPr>
        <w:jc w:val="both"/>
        <w:ind w:firstLine="8"/>
        <w:spacing w:after="0" w:line="250" w:lineRule="auto"/>
        <w:tabs>
          <w:tab w:leader="none" w:pos="216" w:val="left"/>
        </w:tabs>
        <w:numPr>
          <w:ilvl w:val="0"/>
          <w:numId w:val="1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firstLine="8"/>
        <w:spacing w:after="0" w:line="287" w:lineRule="auto"/>
        <w:tabs>
          <w:tab w:leader="none" w:pos="230" w:val="left"/>
        </w:tabs>
        <w:numPr>
          <w:ilvl w:val="0"/>
          <w:numId w:val="19"/>
        </w:numPr>
        <w:rPr>
          <w:rFonts w:ascii="Arial" w:cs="Arial" w:eastAsia="Arial" w:hAnsi="Arial"/>
          <w:sz w:val="19"/>
          <w:szCs w:val="19"/>
          <w:color w:val="auto"/>
        </w:rPr>
      </w:pPr>
      <w:r>
        <w:rPr>
          <w:rFonts w:ascii="Arial" w:cs="Arial" w:eastAsia="Arial" w:hAnsi="Arial"/>
          <w:sz w:val="19"/>
          <w:szCs w:val="19"/>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6" w:lineRule="exact"/>
        <w:rPr>
          <w:rFonts w:ascii="Arial" w:cs="Arial" w:eastAsia="Arial" w:hAnsi="Arial"/>
          <w:sz w:val="19"/>
          <w:szCs w:val="19"/>
          <w:color w:val="auto"/>
        </w:rPr>
      </w:pPr>
    </w:p>
    <w:p>
      <w:pPr>
        <w:jc w:val="both"/>
        <w:ind w:firstLine="8"/>
        <w:spacing w:after="0" w:line="250" w:lineRule="auto"/>
        <w:tabs>
          <w:tab w:leader="none" w:pos="229"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jc w:val="both"/>
        <w:ind w:left="660" w:firstLine="645"/>
        <w:spacing w:after="0" w:line="291" w:lineRule="auto"/>
        <w:tabs>
          <w:tab w:leader="none" w:pos="1585"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jc w:val="both"/>
        <w:ind w:left="660" w:firstLine="645"/>
        <w:spacing w:after="0" w:line="250" w:lineRule="auto"/>
        <w:tabs>
          <w:tab w:leader="none" w:pos="1624" w:val="left"/>
        </w:tabs>
        <w:numPr>
          <w:ilvl w:val="1"/>
          <w:numId w:val="19"/>
        </w:numPr>
        <w:rPr>
          <w:rFonts w:ascii="Arial" w:cs="Arial" w:eastAsia="Arial" w:hAnsi="Arial"/>
          <w:sz w:val="20"/>
          <w:szCs w:val="20"/>
          <w:color w:val="auto"/>
        </w:rPr>
      </w:pPr>
      <w:r>
        <w:rPr>
          <w:rFonts w:ascii="Arial" w:cs="Arial" w:eastAsia="Arial" w:hAnsi="Arial"/>
          <w:sz w:val="20"/>
          <w:szCs w:val="20"/>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637" w:val="left"/>
        </w:tabs>
        <w:numPr>
          <w:ilvl w:val="1"/>
          <w:numId w:val="1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6" w:lineRule="exact"/>
        <w:rPr>
          <w:rFonts w:ascii="Arial" w:cs="Arial" w:eastAsia="Arial" w:hAnsi="Arial"/>
          <w:sz w:val="20"/>
          <w:szCs w:val="20"/>
          <w:color w:val="auto"/>
        </w:rPr>
      </w:pPr>
    </w:p>
    <w:p>
      <w:pPr>
        <w:jc w:val="both"/>
        <w:ind w:left="660" w:firstLine="645"/>
        <w:spacing w:after="0" w:line="269" w:lineRule="auto"/>
        <w:tabs>
          <w:tab w:leader="none" w:pos="1617" w:val="left"/>
        </w:tabs>
        <w:numPr>
          <w:ilvl w:val="1"/>
          <w:numId w:val="19"/>
        </w:numPr>
        <w:rPr>
          <w:rFonts w:ascii="Arial" w:cs="Arial" w:eastAsia="Arial" w:hAnsi="Arial"/>
          <w:sz w:val="19"/>
          <w:szCs w:val="19"/>
          <w:color w:val="auto"/>
        </w:rPr>
      </w:pPr>
      <w:r>
        <w:rPr>
          <w:rFonts w:ascii="Arial" w:cs="Arial" w:eastAsia="Arial" w:hAnsi="Arial"/>
          <w:sz w:val="19"/>
          <w:szCs w:val="19"/>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0" w:lineRule="exact"/>
        <w:rPr>
          <w:rFonts w:ascii="Arial" w:cs="Arial" w:eastAsia="Arial" w:hAnsi="Arial"/>
          <w:sz w:val="19"/>
          <w:szCs w:val="19"/>
          <w:color w:val="auto"/>
        </w:rPr>
      </w:pPr>
    </w:p>
    <w:p>
      <w:pPr>
        <w:jc w:val="both"/>
        <w:ind w:firstLine="8"/>
        <w:spacing w:after="0" w:line="250" w:lineRule="auto"/>
        <w:tabs>
          <w:tab w:leader="none" w:pos="233" w:val="left"/>
        </w:tabs>
        <w:numPr>
          <w:ilvl w:val="0"/>
          <w:numId w:val="19"/>
        </w:numPr>
        <w:rPr>
          <w:rFonts w:ascii="Arial" w:cs="Arial" w:eastAsia="Arial" w:hAnsi="Arial"/>
          <w:sz w:val="20"/>
          <w:szCs w:val="20"/>
          <w:color w:val="auto"/>
        </w:rPr>
      </w:pPr>
      <w:r>
        <w:rPr>
          <w:rFonts w:ascii="Arial" w:cs="Arial" w:eastAsia="Arial" w:hAnsi="Arial"/>
          <w:sz w:val="20"/>
          <w:szCs w:val="20"/>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jc w:val="both"/>
        <w:ind w:left="660" w:firstLine="645"/>
        <w:spacing w:after="0" w:line="250" w:lineRule="auto"/>
        <w:tabs>
          <w:tab w:leader="none" w:pos="1591" w:val="left"/>
        </w:tabs>
        <w:numPr>
          <w:ilvl w:val="1"/>
          <w:numId w:val="19"/>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6" w:lineRule="exact"/>
        <w:rPr>
          <w:rFonts w:ascii="Arial" w:cs="Arial" w:eastAsia="Arial" w:hAnsi="Arial"/>
          <w:sz w:val="20"/>
          <w:szCs w:val="20"/>
          <w:color w:val="auto"/>
        </w:rPr>
      </w:pPr>
    </w:p>
    <w:p>
      <w:pPr>
        <w:ind w:left="660" w:right="20" w:firstLine="645"/>
        <w:spacing w:after="0" w:line="260" w:lineRule="auto"/>
        <w:tabs>
          <w:tab w:leader="none" w:pos="1622" w:val="left"/>
        </w:tabs>
        <w:numPr>
          <w:ilvl w:val="1"/>
          <w:numId w:val="19"/>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920" w:type="dxa"/>
            <w:vAlign w:val="bottom"/>
            <w:gridSpan w:val="3"/>
          </w:tcPr>
          <w:p>
            <w:pPr>
              <w:spacing w:after="0"/>
              <w:rPr>
                <w:sz w:val="20"/>
                <w:szCs w:val="20"/>
                <w:color w:val="auto"/>
              </w:rPr>
            </w:pPr>
            <w:r>
              <w:rPr>
                <w:rFonts w:ascii="Arial" w:cs="Arial" w:eastAsia="Arial" w:hAnsi="Arial"/>
                <w:sz w:val="20"/>
                <w:szCs w:val="20"/>
                <w:color w:val="auto"/>
              </w:rPr>
              <w:t>Date: August 6, 2014</w:t>
            </w:r>
          </w:p>
        </w:tc>
        <w:tc>
          <w:tcPr>
            <w:tcW w:w="4780" w:type="dxa"/>
            <w:vAlign w:val="bottom"/>
            <w:gridSpan w:val="3"/>
          </w:tcPr>
          <w:p>
            <w:pPr>
              <w:ind w:left="1200"/>
              <w:spacing w:after="0"/>
              <w:rPr>
                <w:sz w:val="20"/>
                <w:szCs w:val="20"/>
                <w:color w:val="auto"/>
              </w:rPr>
            </w:pPr>
            <w:r>
              <w:rPr>
                <w:rFonts w:ascii="Arial" w:cs="Arial" w:eastAsia="Arial" w:hAnsi="Arial"/>
                <w:sz w:val="20"/>
                <w:szCs w:val="20"/>
                <w:color w:val="auto"/>
              </w:rPr>
              <w:t>By:  /s/ Philip A. Fain</w:t>
            </w:r>
          </w:p>
        </w:tc>
      </w:tr>
      <w:tr>
        <w:trPr>
          <w:trHeight w:val="233"/>
        </w:trPr>
        <w:tc>
          <w:tcPr>
            <w:tcW w:w="480" w:type="dxa"/>
            <w:vAlign w:val="bottom"/>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12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340" w:type="dxa"/>
            <w:vAlign w:val="bottom"/>
            <w:tcBorders>
              <w:top w:val="single" w:sz="8" w:color="auto"/>
            </w:tcBorders>
          </w:tcPr>
          <w:p>
            <w:pPr>
              <w:ind w:left="160"/>
              <w:spacing w:after="0"/>
              <w:rPr>
                <w:sz w:val="20"/>
                <w:szCs w:val="20"/>
                <w:color w:val="auto"/>
              </w:rPr>
            </w:pPr>
            <w:r>
              <w:rPr>
                <w:rFonts w:ascii="Arial" w:cs="Arial" w:eastAsia="Arial" w:hAnsi="Arial"/>
                <w:sz w:val="20"/>
                <w:szCs w:val="20"/>
                <w:color w:val="auto"/>
              </w:rPr>
              <w:t>Philip A. Fain</w:t>
            </w:r>
          </w:p>
        </w:tc>
        <w:tc>
          <w:tcPr>
            <w:tcW w:w="800" w:type="dxa"/>
            <w:vAlign w:val="bottom"/>
          </w:tcPr>
          <w:p>
            <w:pPr>
              <w:spacing w:after="0"/>
              <w:rPr>
                <w:sz w:val="20"/>
                <w:szCs w:val="20"/>
                <w:color w:val="auto"/>
              </w:rPr>
            </w:pPr>
          </w:p>
        </w:tc>
      </w:tr>
      <w:tr>
        <w:trPr>
          <w:trHeight w:val="250"/>
        </w:trPr>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3140" w:type="dxa"/>
            <w:vAlign w:val="bottom"/>
            <w:gridSpan w:val="2"/>
          </w:tcPr>
          <w:p>
            <w:pPr>
              <w:ind w:left="160"/>
              <w:spacing w:after="0"/>
              <w:rPr>
                <w:sz w:val="20"/>
                <w:szCs w:val="20"/>
                <w:color w:val="auto"/>
              </w:rPr>
            </w:pPr>
            <w:r>
              <w:rPr>
                <w:rFonts w:ascii="Arial" w:cs="Arial" w:eastAsia="Arial" w:hAnsi="Arial"/>
                <w:sz w:val="20"/>
                <w:szCs w:val="20"/>
                <w:color w:val="auto"/>
                <w:w w:val="90"/>
              </w:rPr>
              <w:t>Chief Financial Officer and Treasurer</w:t>
            </w:r>
          </w:p>
        </w:tc>
      </w:tr>
    </w:tbl>
    <w:p>
      <w:pPr>
        <w:sectPr>
          <w:pgSz w:w="11900" w:h="16838" w:orient="portrait"/>
          <w:cols w:equalWidth="0" w:num="1">
            <w:col w:w="11420"/>
          </w:cols>
          <w:pgMar w:left="240" w:top="121" w:right="239" w:bottom="1440" w:gutter="0" w:footer="0" w:header="0"/>
        </w:sectPr>
      </w:pPr>
    </w:p>
    <w:bookmarkStart w:id="31" w:name="page32"/>
    <w:bookmarkEnd w:id="31"/>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Section 1350 Certification</w:t>
      </w:r>
    </w:p>
    <w:p>
      <w:pPr>
        <w:spacing w:after="0" w:line="235" w:lineRule="exact"/>
        <w:rPr>
          <w:sz w:val="20"/>
          <w:szCs w:val="20"/>
          <w:color w:val="auto"/>
        </w:rPr>
      </w:pPr>
    </w:p>
    <w:p>
      <w:pPr>
        <w:jc w:val="both"/>
        <w:spacing w:after="0" w:line="260" w:lineRule="auto"/>
        <w:rPr>
          <w:sz w:val="20"/>
          <w:szCs w:val="20"/>
          <w:color w:val="auto"/>
        </w:rPr>
      </w:pPr>
      <w:r>
        <w:rPr>
          <w:rFonts w:ascii="Arial" w:cs="Arial" w:eastAsia="Arial" w:hAnsi="Arial"/>
          <w:sz w:val="19"/>
          <w:szCs w:val="19"/>
          <w:color w:val="auto"/>
        </w:rPr>
        <w:t>Pursuant to 18 U.S.C. Section 1350, as adopted pursuant to Section 906 of the Sarbanes-Oxley Act of 2002 (“Section 906”), Michael D. Popielec and Philip A. Fain, the President and Chief Executive Officer and Chief Financial Officer and Treasurer, respectively, of Ultralife Corporation, certify that (i) the Quarterly Report on Form 10-Q for the quarter ended June 29, 2014 fully complies with the requirements of Section 13(a) or 15(d) of the Securities Exchange Act of 1934 and (ii) the information contained in such report fairly presents, in all material respects, the financial condition and results of operations of Ultralife Corporation.</w:t>
      </w:r>
    </w:p>
    <w:p>
      <w:pPr>
        <w:spacing w:after="0" w:line="194" w:lineRule="exact"/>
        <w:rPr>
          <w:sz w:val="20"/>
          <w:szCs w:val="20"/>
          <w:color w:val="auto"/>
        </w:rPr>
      </w:pPr>
    </w:p>
    <w:p>
      <w:pPr>
        <w:jc w:val="both"/>
        <w:spacing w:after="0" w:line="260" w:lineRule="auto"/>
        <w:rPr>
          <w:sz w:val="20"/>
          <w:szCs w:val="20"/>
          <w:color w:val="auto"/>
        </w:rPr>
      </w:pPr>
      <w:r>
        <w:rPr>
          <w:rFonts w:ascii="Arial" w:cs="Arial" w:eastAsia="Arial" w:hAnsi="Arial"/>
          <w:sz w:val="20"/>
          <w:szCs w:val="20"/>
          <w:color w:val="auto"/>
        </w:rPr>
        <w:t>A signed original of this written statement required by Section 906 has been provided to Ultralife Corporation and will be retained by Ultralife Corporation and furnished to the Securities and Exchange Commission or its staff upon request.</w:t>
      </w:r>
    </w:p>
    <w:p>
      <w:pPr>
        <w:spacing w:after="0" w:line="396" w:lineRule="exact"/>
        <w:rPr>
          <w:sz w:val="20"/>
          <w:szCs w:val="20"/>
          <w:color w:val="auto"/>
        </w:rPr>
      </w:pPr>
    </w:p>
    <w:tbl>
      <w:tblPr>
        <w:tblLayout w:type="fixed"/>
        <w:tblInd w:w="560" w:type="dxa"/>
        <w:tblCellMar>
          <w:top w:w="0" w:type="dxa"/>
          <w:left w:w="0" w:type="dxa"/>
          <w:bottom w:w="0" w:type="dxa"/>
          <w:right w:w="0" w:type="dxa"/>
        </w:tblCellMar>
      </w:tblPr>
      <w:tr>
        <w:trPr>
          <w:trHeight w:val="230"/>
        </w:trPr>
        <w:tc>
          <w:tcPr>
            <w:tcW w:w="2920" w:type="dxa"/>
            <w:vAlign w:val="bottom"/>
            <w:gridSpan w:val="3"/>
          </w:tcPr>
          <w:p>
            <w:pPr>
              <w:spacing w:after="0"/>
              <w:rPr>
                <w:sz w:val="20"/>
                <w:szCs w:val="20"/>
                <w:color w:val="auto"/>
              </w:rPr>
            </w:pPr>
            <w:r>
              <w:rPr>
                <w:rFonts w:ascii="Arial" w:cs="Arial" w:eastAsia="Arial" w:hAnsi="Arial"/>
                <w:sz w:val="20"/>
                <w:szCs w:val="20"/>
                <w:color w:val="auto"/>
              </w:rPr>
              <w:t>Date: August 6, 2014</w:t>
            </w:r>
          </w:p>
        </w:tc>
        <w:tc>
          <w:tcPr>
            <w:tcW w:w="1560" w:type="dxa"/>
            <w:vAlign w:val="bottom"/>
          </w:tcPr>
          <w:p>
            <w:pPr>
              <w:ind w:left="1200"/>
              <w:spacing w:after="0"/>
              <w:rPr>
                <w:sz w:val="20"/>
                <w:szCs w:val="20"/>
                <w:color w:val="auto"/>
              </w:rPr>
            </w:pPr>
            <w:r>
              <w:rPr>
                <w:rFonts w:ascii="Arial" w:cs="Arial" w:eastAsia="Arial" w:hAnsi="Arial"/>
                <w:sz w:val="20"/>
                <w:szCs w:val="20"/>
                <w:color w:val="auto"/>
              </w:rPr>
              <w:t>By:</w:t>
            </w:r>
          </w:p>
        </w:tc>
        <w:tc>
          <w:tcPr>
            <w:tcW w:w="2660" w:type="dxa"/>
            <w:vAlign w:val="bottom"/>
            <w:gridSpan w:val="3"/>
          </w:tcPr>
          <w:p>
            <w:pPr>
              <w:ind w:left="80"/>
              <w:spacing w:after="0"/>
              <w:rPr>
                <w:sz w:val="20"/>
                <w:szCs w:val="20"/>
                <w:color w:val="auto"/>
              </w:rPr>
            </w:pPr>
            <w:r>
              <w:rPr>
                <w:rFonts w:ascii="Arial" w:cs="Arial" w:eastAsia="Arial" w:hAnsi="Arial"/>
                <w:sz w:val="20"/>
                <w:szCs w:val="20"/>
                <w:color w:val="auto"/>
              </w:rPr>
              <w:t>/s/ Michael D. Popielec</w:t>
            </w:r>
          </w:p>
        </w:tc>
      </w:tr>
      <w:tr>
        <w:trPr>
          <w:trHeight w:val="20"/>
        </w:trPr>
        <w:tc>
          <w:tcPr>
            <w:tcW w:w="48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r>
      <w:tr>
        <w:trPr>
          <w:trHeight w:val="233"/>
        </w:trPr>
        <w:tc>
          <w:tcPr>
            <w:tcW w:w="4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4220" w:type="dxa"/>
            <w:vAlign w:val="bottom"/>
            <w:gridSpan w:val="4"/>
          </w:tcPr>
          <w:p>
            <w:pPr>
              <w:ind w:left="1200"/>
              <w:spacing w:after="0"/>
              <w:rPr>
                <w:sz w:val="20"/>
                <w:szCs w:val="20"/>
                <w:color w:val="auto"/>
              </w:rPr>
            </w:pPr>
            <w:r>
              <w:rPr>
                <w:rFonts w:ascii="Arial" w:cs="Arial" w:eastAsia="Arial" w:hAnsi="Arial"/>
                <w:sz w:val="20"/>
                <w:szCs w:val="20"/>
                <w:color w:val="auto"/>
              </w:rPr>
              <w:t>Michael D. Popielec</w:t>
            </w:r>
          </w:p>
        </w:tc>
      </w:tr>
      <w:tr>
        <w:trPr>
          <w:trHeight w:val="250"/>
        </w:trPr>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20" w:type="dxa"/>
            <w:vAlign w:val="bottom"/>
            <w:gridSpan w:val="4"/>
          </w:tcPr>
          <w:p>
            <w:pPr>
              <w:ind w:left="1200"/>
              <w:spacing w:after="0"/>
              <w:rPr>
                <w:sz w:val="20"/>
                <w:szCs w:val="20"/>
                <w:color w:val="auto"/>
              </w:rPr>
            </w:pPr>
            <w:r>
              <w:rPr>
                <w:rFonts w:ascii="Arial" w:cs="Arial" w:eastAsia="Arial" w:hAnsi="Arial"/>
                <w:sz w:val="20"/>
                <w:szCs w:val="20"/>
                <w:color w:val="auto"/>
                <w:w w:val="90"/>
              </w:rPr>
              <w:t>President and Chief Executive Officer</w:t>
            </w:r>
          </w:p>
        </w:tc>
      </w:tr>
      <w:tr>
        <w:trPr>
          <w:trHeight w:val="415"/>
        </w:trPr>
        <w:tc>
          <w:tcPr>
            <w:tcW w:w="2920" w:type="dxa"/>
            <w:vAlign w:val="bottom"/>
            <w:gridSpan w:val="3"/>
          </w:tcPr>
          <w:p>
            <w:pPr>
              <w:spacing w:after="0"/>
              <w:rPr>
                <w:sz w:val="20"/>
                <w:szCs w:val="20"/>
                <w:color w:val="auto"/>
              </w:rPr>
            </w:pPr>
            <w:r>
              <w:rPr>
                <w:rFonts w:ascii="Arial" w:cs="Arial" w:eastAsia="Arial" w:hAnsi="Arial"/>
                <w:sz w:val="20"/>
                <w:szCs w:val="20"/>
                <w:color w:val="auto"/>
              </w:rPr>
              <w:t>Date: August 6, 2014</w:t>
            </w:r>
          </w:p>
        </w:tc>
        <w:tc>
          <w:tcPr>
            <w:tcW w:w="1560" w:type="dxa"/>
            <w:vAlign w:val="bottom"/>
          </w:tcPr>
          <w:p>
            <w:pPr>
              <w:ind w:left="1200"/>
              <w:spacing w:after="0"/>
              <w:rPr>
                <w:sz w:val="20"/>
                <w:szCs w:val="20"/>
                <w:color w:val="auto"/>
              </w:rPr>
            </w:pPr>
            <w:r>
              <w:rPr>
                <w:rFonts w:ascii="Arial" w:cs="Arial" w:eastAsia="Arial" w:hAnsi="Arial"/>
                <w:sz w:val="20"/>
                <w:szCs w:val="20"/>
                <w:color w:val="auto"/>
              </w:rPr>
              <w:t>By:</w:t>
            </w:r>
          </w:p>
        </w:tc>
        <w:tc>
          <w:tcPr>
            <w:tcW w:w="2660" w:type="dxa"/>
            <w:vAlign w:val="bottom"/>
            <w:gridSpan w:val="3"/>
          </w:tcPr>
          <w:p>
            <w:pPr>
              <w:ind w:left="80"/>
              <w:spacing w:after="0"/>
              <w:rPr>
                <w:sz w:val="20"/>
                <w:szCs w:val="20"/>
                <w:color w:val="auto"/>
              </w:rPr>
            </w:pPr>
            <w:r>
              <w:rPr>
                <w:rFonts w:ascii="Arial" w:cs="Arial" w:eastAsia="Arial" w:hAnsi="Arial"/>
                <w:sz w:val="20"/>
                <w:szCs w:val="20"/>
                <w:color w:val="auto"/>
              </w:rPr>
              <w:t>/s/ Philip A. Fain</w:t>
            </w:r>
          </w:p>
        </w:tc>
      </w:tr>
      <w:tr>
        <w:trPr>
          <w:trHeight w:val="20"/>
        </w:trPr>
        <w:tc>
          <w:tcPr>
            <w:tcW w:w="480" w:type="dxa"/>
            <w:vAlign w:val="bottom"/>
          </w:tcPr>
          <w:p>
            <w:pPr>
              <w:spacing w:after="0" w:line="20" w:lineRule="exact"/>
              <w:rPr>
                <w:sz w:val="1"/>
                <w:szCs w:val="1"/>
                <w:color w:val="auto"/>
              </w:rPr>
            </w:pPr>
          </w:p>
        </w:tc>
        <w:tc>
          <w:tcPr>
            <w:tcW w:w="1220" w:type="dxa"/>
            <w:vAlign w:val="bottom"/>
            <w:tcBorders>
              <w:bottom w:val="single" w:sz="8" w:color="auto"/>
            </w:tcBorders>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213"/>
        </w:trPr>
        <w:tc>
          <w:tcPr>
            <w:tcW w:w="4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220" w:type="dxa"/>
            <w:vAlign w:val="bottom"/>
            <w:gridSpan w:val="4"/>
          </w:tcPr>
          <w:p>
            <w:pPr>
              <w:ind w:left="1200"/>
              <w:spacing w:after="0" w:line="213" w:lineRule="exact"/>
              <w:rPr>
                <w:sz w:val="20"/>
                <w:szCs w:val="20"/>
                <w:color w:val="auto"/>
              </w:rPr>
            </w:pPr>
            <w:r>
              <w:rPr>
                <w:rFonts w:ascii="Arial" w:cs="Arial" w:eastAsia="Arial" w:hAnsi="Arial"/>
                <w:sz w:val="20"/>
                <w:szCs w:val="20"/>
                <w:color w:val="auto"/>
              </w:rPr>
              <w:t>Philip A. Fain</w:t>
            </w:r>
          </w:p>
        </w:tc>
      </w:tr>
      <w:tr>
        <w:trPr>
          <w:trHeight w:val="250"/>
        </w:trPr>
        <w:tc>
          <w:tcPr>
            <w:tcW w:w="48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4220" w:type="dxa"/>
            <w:vAlign w:val="bottom"/>
            <w:gridSpan w:val="4"/>
          </w:tcPr>
          <w:p>
            <w:pPr>
              <w:ind w:left="1200"/>
              <w:spacing w:after="0"/>
              <w:rPr>
                <w:sz w:val="20"/>
                <w:szCs w:val="20"/>
                <w:color w:val="auto"/>
              </w:rPr>
            </w:pPr>
            <w:r>
              <w:rPr>
                <w:rFonts w:ascii="Arial" w:cs="Arial" w:eastAsia="Arial" w:hAnsi="Arial"/>
                <w:sz w:val="20"/>
                <w:szCs w:val="20"/>
                <w:color w:val="auto"/>
                <w:w w:val="91"/>
              </w:rPr>
              <w:t>Chief Financial Officer and Treasurer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decimal"/>
      <w:start w:val="1"/>
    </w:lvl>
  </w:abstractNum>
  <w:abstractNum w:abstractNumId="3">
    <w:nsid w:val="1190CDE7"/>
    <w:multiLevelType w:val="hybridMultilevel"/>
    <w:lvl w:ilvl="0">
      <w:lvlJc w:val="left"/>
      <w:lvlText w:val="%1."/>
      <w:numFmt w:val="decimal"/>
      <w:start w:val="2"/>
    </w:lvl>
  </w:abstractNum>
  <w:abstractNum w:abstractNumId="4">
    <w:nsid w:val="66EF438D"/>
    <w:multiLevelType w:val="hybridMultilevel"/>
    <w:lvl w:ilvl="0">
      <w:lvlJc w:val="left"/>
      <w:lvlText w:val="%1."/>
      <w:numFmt w:val="decimal"/>
      <w:start w:val="3"/>
    </w:lvl>
  </w:abstractNum>
  <w:abstractNum w:abstractNumId="5">
    <w:nsid w:val="140E0F76"/>
    <w:multiLevelType w:val="hybridMultilevel"/>
    <w:lvl w:ilvl="0">
      <w:lvlJc w:val="left"/>
      <w:lvlText w:val="%1."/>
      <w:numFmt w:val="decimal"/>
      <w:start w:val="4"/>
    </w:lvl>
  </w:abstractNum>
  <w:abstractNum w:abstractNumId="6">
    <w:nsid w:val="3352255A"/>
    <w:multiLevelType w:val="hybridMultilevel"/>
    <w:lvl w:ilvl="0">
      <w:lvlJc w:val="left"/>
      <w:lvlText w:val="%1."/>
      <w:numFmt w:val="decimal"/>
      <w:start w:val="5"/>
    </w:lvl>
  </w:abstractNum>
  <w:abstractNum w:abstractNumId="7">
    <w:nsid w:val="109CF92E"/>
    <w:multiLevelType w:val="hybridMultilevel"/>
    <w:lvl w:ilvl="0">
      <w:lvlJc w:val="left"/>
      <w:lvlText w:val="%1."/>
      <w:numFmt w:val="decimal"/>
      <w:start w:val="6"/>
    </w:lvl>
  </w:abstractNum>
  <w:abstractNum w:abstractNumId="8">
    <w:nsid w:val="DED7263"/>
    <w:multiLevelType w:val="hybridMultilevel"/>
    <w:lvl w:ilvl="0">
      <w:lvlJc w:val="left"/>
      <w:lvlText w:val="%1."/>
      <w:numFmt w:val="decimal"/>
      <w:start w:val="7"/>
    </w:lvl>
  </w:abstractNum>
  <w:abstractNum w:abstractNumId="9">
    <w:nsid w:val="7FDCC233"/>
    <w:multiLevelType w:val="hybridMultilevel"/>
    <w:lvl w:ilvl="0">
      <w:lvlJc w:val="left"/>
      <w:lvlText w:val="%1."/>
      <w:numFmt w:val="decimal"/>
      <w:start w:val="8"/>
    </w:lvl>
  </w:abstractNum>
  <w:abstractNum w:abstractNumId="10">
    <w:nsid w:val="1BEFD79F"/>
    <w:multiLevelType w:val="hybridMultilevel"/>
    <w:lvl w:ilvl="0">
      <w:lvlJc w:val="left"/>
      <w:lvlText w:val="%1."/>
      <w:numFmt w:val="decimal"/>
      <w:start w:val="9"/>
    </w:lvl>
  </w:abstractNum>
  <w:abstractNum w:abstractNumId="11">
    <w:nsid w:val="41A7C4C9"/>
    <w:multiLevelType w:val="hybridMultilevel"/>
    <w:lvl w:ilvl="0">
      <w:lvlJc w:val="left"/>
      <w:lvlText w:val="%1."/>
      <w:numFmt w:val="decimal"/>
      <w:start w:val="10"/>
    </w:lvl>
  </w:abstractNum>
  <w:abstractNum w:abstractNumId="12">
    <w:nsid w:val="6B68079A"/>
    <w:multiLevelType w:val="hybridMultilevel"/>
    <w:lvl w:ilvl="0">
      <w:lvlJc w:val="left"/>
      <w:lvlText w:val="%1."/>
      <w:numFmt w:val="decimal"/>
      <w:start w:val="11"/>
    </w:lvl>
  </w:abstractNum>
  <w:abstractNum w:abstractNumId="13">
    <w:nsid w:val="4E6AFB66"/>
    <w:multiLevelType w:val="hybridMultilevel"/>
    <w:lvl w:ilvl="0">
      <w:lvlJc w:val="left"/>
      <w:lvlText w:val="%1."/>
      <w:numFmt w:val="decimal"/>
      <w:start w:val="12"/>
    </w:lvl>
  </w:abstractNum>
  <w:abstractNum w:abstractNumId="14">
    <w:nsid w:val="25E45D32"/>
    <w:multiLevelType w:val="hybridMultilevel"/>
    <w:lvl w:ilvl="0">
      <w:lvlJc w:val="left"/>
      <w:lvlText w:val="%1."/>
      <w:numFmt w:val="decimal"/>
      <w:start w:val="13"/>
    </w:lvl>
  </w:abstractNum>
  <w:abstractNum w:abstractNumId="15">
    <w:nsid w:val="519B500D"/>
    <w:multiLevelType w:val="hybridMultilevel"/>
    <w:lvl w:ilvl="0">
      <w:lvlJc w:val="left"/>
      <w:lvlText w:val="%1."/>
      <w:numFmt w:val="decimal"/>
      <w:start w:val="14"/>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1."/>
      <w:numFmt w:val="decimal"/>
      <w:start w:val="1"/>
    </w:lvl>
    <w:lvl w:ilvl="1">
      <w:lvlJc w:val="left"/>
      <w:lvlText w:val="(%2)"/>
      <w:numFmt w:val="lowerLetter"/>
      <w:start w:val="1"/>
    </w:lvl>
  </w:abstractNum>
  <w:abstractNum w:abstractNumId="18">
    <w:nsid w:val="7C83E45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2019-12-06T04:20:36Z</dcterms:created>
  <dcterms:modified xsi:type="dcterms:W3CDTF">2019-12-06T04:20:36Z</dcterms:modified>
</cp:coreProperties>
</file>