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340" w:right="1900" w:hanging="3332"/>
        <w:spacing w:after="0" w:line="498"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0-20852</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ULTRALIFE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16"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16-1387013</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1116" w:right="339" w:bottom="1440" w:gutter="0" w:footer="0" w:header="0"/>
          <w:type w:val="continuous"/>
        </w:sectPr>
      </w:pPr>
    </w:p>
    <w:p>
      <w:pPr>
        <w:spacing w:after="0" w:line="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2000 Technology Parkway Newark, New York 14513</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(315) 332-7100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1" w:lineRule="exact"/>
        <w:rPr>
          <w:sz w:val="24"/>
          <w:szCs w:val="24"/>
          <w:color w:val="auto"/>
        </w:rPr>
      </w:pPr>
    </w:p>
    <w:p>
      <w:pPr>
        <w:sectPr>
          <w:pgSz w:w="11900" w:h="16838" w:orient="portrait"/>
          <w:cols w:equalWidth="0" w:num="2">
            <w:col w:w="5800" w:space="720"/>
            <w:col w:w="4720"/>
          </w:cols>
          <w:pgMar w:left="320" w:top="1116"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3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Common Stock, $0.10 par value per</w:t>
      </w:r>
    </w:p>
    <w:p>
      <w:pPr>
        <w:sectPr>
          <w:pgSz w:w="11900" w:h="16838" w:orient="portrait"/>
          <w:cols w:equalWidth="0" w:num="1">
            <w:col w:w="11240"/>
          </w:cols>
          <w:pgMar w:left="320" w:top="1116" w:right="339" w:bottom="1440" w:gutter="0" w:footer="0" w:header="0"/>
          <w:type w:val="continuous"/>
        </w:sectPr>
      </w:pP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share</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(Name of each exchange on which</w:t>
      </w:r>
    </w:p>
    <w:p>
      <w:pPr>
        <w:spacing w:after="0" w:line="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registered)</w:t>
      </w:r>
    </w:p>
    <w:p>
      <w:pPr>
        <w:spacing w:after="0" w:line="200" w:lineRule="exact"/>
        <w:rPr>
          <w:sz w:val="24"/>
          <w:szCs w:val="24"/>
          <w:color w:val="auto"/>
        </w:rPr>
      </w:pPr>
    </w:p>
    <w:p>
      <w:pPr>
        <w:sectPr>
          <w:pgSz w:w="11900" w:h="16838" w:orient="portrait"/>
          <w:cols w:equalWidth="0" w:num="3">
            <w:col w:w="4260" w:space="720"/>
            <w:col w:w="2420" w:space="720"/>
            <w:col w:w="3120"/>
          </w:cols>
          <w:pgMar w:left="320" w:top="11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well-known seasoned issuer, as defined in Rule 405 of the Securities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746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16"/>
        </w:trPr>
        <w:tc>
          <w:tcPr>
            <w:tcW w:w="37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746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303"/>
        </w:trPr>
        <w:tc>
          <w:tcPr>
            <w:tcW w:w="3780" w:type="dxa"/>
            <w:vAlign w:val="bottom"/>
          </w:tcPr>
          <w:p>
            <w:pPr>
              <w:spacing w:after="0"/>
              <w:rPr>
                <w:sz w:val="24"/>
                <w:szCs w:val="24"/>
                <w:color w:val="auto"/>
              </w:rPr>
            </w:pPr>
          </w:p>
        </w:tc>
        <w:tc>
          <w:tcPr>
            <w:tcW w:w="746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r>
        <w:trPr>
          <w:trHeight w:val="541"/>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2025, the aggregate market value of the common stock held by non-affiliates as defined in Rule 405 under the Securities Act of 1933) of the registrant was approximately $90,469,809 (in whole dollars) based upon the closing price for such common stock as reported on the NASDAQ Global Market on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March 20, 2026, the registrant had 16,656,503 shares of common stock outstanding.</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portions of the registrant’s definitive proxy statement relating to the Annual Meeting of Stockholders are specifically incorporated by reference in Part III, Items 10, 11, 12, 13 and 14 of this Annual Report on Form 10-K, except for the equity plan information required by Item 12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70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864"/>
        </w:trPr>
        <w:tc>
          <w:tcPr>
            <w:tcW w:w="900" w:type="dxa"/>
            <w:vAlign w:val="bottom"/>
          </w:tcPr>
          <w:p>
            <w:pPr>
              <w:spacing w:after="0"/>
              <w:rPr>
                <w:sz w:val="24"/>
                <w:szCs w:val="24"/>
                <w:color w:val="auto"/>
              </w:rPr>
            </w:pPr>
          </w:p>
        </w:tc>
        <w:tc>
          <w:tcPr>
            <w:tcW w:w="9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ITEM</w:t>
            </w:r>
          </w:p>
        </w:tc>
        <w:tc>
          <w:tcPr>
            <w:tcW w:w="1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1B</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1C</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Selected Financial Data</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9A</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9B</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9C</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14</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15</w:t>
            </w:r>
          </w:p>
        </w:tc>
        <w:tc>
          <w:tcPr>
            <w:tcW w:w="8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00" w:type="dxa"/>
            <w:vAlign w:val="bottom"/>
          </w:tcPr>
          <w:p>
            <w:pPr>
              <w:spacing w:after="0"/>
              <w:rPr>
                <w:sz w:val="18"/>
                <w:szCs w:val="18"/>
                <w:color w:val="auto"/>
              </w:rPr>
            </w:pPr>
          </w:p>
        </w:tc>
        <w:tc>
          <w:tcPr>
            <w:tcW w:w="92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9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Signatures</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tariffs and supply chain disruptions affecting our business, revenues and earnings adversely; our reliance on certain key customers; reductions or delays in U.S. and foreign military spending; our efforts to develop new products or new commercial applications for our products and the subsequent transition to high-volume production; potential disruptions in our supply of raw materials and components; our resources being overwhelmed by our growth; our ability to recruit and retain top management and key personnel; breaches in information systems security and other disruptions in our information technology systems; fluctuations in the price of oil and the resulting impact on the demand for downhole drilling; the unique risks associated with our China operations; possible future declines in demand for the products that use our batteries or communications systems; safety risks, including the risk of fire; variability in our quarterly and annual results and the price of our common stock; purchases by our customers of product quantities not meeting the volume expectations in our supply agreements; rising interest rates increasing the cost of our variable borrowings; our inability to comply with changes to the regulations for the shipment of our products; our entrance into new end-markets which could lead to additional financial exposure; costs and demand on management’s time of litigation and claims; the potential impact of future pandemics and other related or non-related viruses causing delays in the manufacture and delivery of our mission critical products to end customers; potential costs attributable to the warranties we supply with our products and services; negative publicity concerning Lithium-ion batteries; rules and procedures regarding contracting with the U.S. and foreign governments; our exposure to foreign currency fluctuations; our ability to utilize our net operating loss carryforwards; the risk that we are unable to protect our proprietary and intellectual property; our ability to comply with government regulations regarding the use of “conflict minerals”; possible impairments of our goodwill and other intangible assets; known and unknown environmental matters; possible audits of our contracts by the U.S. and foreign governments and their respective defense agencies; exposure to possible violations of the U.S. Foreign Corrupt Practices Act, the U.K. Bribery Act or other anti-corruption laws; and other risks and uncertainties, certain of which are beyond our control.</w:t>
      </w:r>
    </w:p>
    <w:p>
      <w:pPr>
        <w:spacing w:after="0" w:line="200" w:lineRule="exact"/>
        <w:rPr>
          <w:sz w:val="20"/>
          <w:szCs w:val="20"/>
          <w:color w:val="auto"/>
        </w:rPr>
      </w:pP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 When used in this report, the words “anticipate”, “believe”, “estimate”, “plan”, “intend”, “foresee”, “may”, “could”, “will”, “likely” or “expect” or words of similar import are intended to identify some, but not all, such forward-looking statements. For further discussion of certain of the matters described above and other risks and uncertainties, see “Risk Factors” in Item 1A and Management’s Discussion and Analysis of Financial Condition and Results of Operations in Item 7 of this Form 10-K Annual Report.</w:t>
      </w:r>
    </w:p>
    <w:p>
      <w:pPr>
        <w:spacing w:after="0" w:line="21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used in this Form 10-K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Electrochem Solutions, Inc. (“Electrochem”); and its majority-owned joint venture Ultralife Batteries India Private Limited (“Ultralife India”).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throughout this Form 10-K Annual Report are presented in thousands of dollars, except for per share amounts.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Historically, we utilized the following brands, tradenames and trademarks (“sub-brands”) to promote our products in the markets we serve: Ultralife®, Ultralife Thin Cell®, Ultralife HiRate®, Ultralife &amp; design®, LithiumPower®, LithiumPower &amp; Design®, SMART CIRCUIT®, SMARTCIRCUIT®, SMART CIRCUIT &amp; 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POW-R-BMS®, POW-R TOTE® and Electrochem®. As explained below, our rebranding initiative will eliminate or de-emphasize our reference to the sub-brands going forward. We have sales, operations and product development facilities in North America, Europe and Asia.</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strategic evolution, in October 2025, Ultralife decided to undergo a comprehensive rebranding initiative that consolidates all sub-brands under a singular, unified master brand – Ultralife. This move reflects our commitment to clarity, consistency and amplified brand equity across all markets. By streamlining our global identity, we aim to strengthen customer recognition, enhance operational efficiency and better align to our customers’ needs with a singular, powerful brand narrative. To this end, the Accutronics, Southwest Electronic Energy, Excell Battery, McDowell Research and AMTI brands will no longer be emphasized. The Electrochem brand will remain, but as a product brand on select primary cells. This transformation positions Ultralife for ongoing growth and stronger market impact as we continue to lead in mission critical battery and RF power solutions. This rebranding initiative had a non-cash impact of $12,181 to reduce the value of our tradename and trademark intangible assets recorded during our 2025 fourth quarter.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segment contribution, defined as gross profit less direct selling, general and administrative (“SG&amp;A”) and research and development expenses, is the best indicator of segment performance. As such, we report segment results at the segment contribution level. (See Note 10 in the notes to consolidated financial statements contained in Item 8 of this Form 10-K.)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and/or market a family of Lithium Manganese Dioxide (Li-MnO2), Lithium Manganese Dioxide Carbon Monofluoride (Li-CFx/MnO2) hybrid and Lithium Thionyl Chloride (Li-SOCl2) non-rechargeable batteries including 9-volt, Ultralife HiRate® cylindrical, Ultralife Thin Cell®, and other form factors. Applications for our 9-volt batteries include smoke alarms, wireless security systems and intensive care monitors, among many other devices. Our Ultralife HiRate® and Ultralife Thin Cell® Lithium non-rechargeable batteries are sold primarily to the military and to OEMs in industrial and medical markets for use in a variety of applications including radios, emergency radio beacons, search and rescue transponders, pipeline inspection gauges, portable medical devices, wearable medical products, Bluetooth tracking devices and other specialty applications. Military applications for our non-rechargeable Ultralife HiRate® batteries include manpack and survival radios, night vision devices, targeting devices, chemical agent monitors and thermal imaging equipment. Our Lithium Thionyl Chloride batteries, sold under our Electrochem and Ultralife brands as well as a private label brand, are used in a variety of applications including utility meters, wireless security devices, electronic meters, automotive electronics, and downhole drilling, geothermal and pipeline inspection devices. We believe that the chemistry of Lithium batteries provides significant advantages over other currently available non-rechargeable battery technologies. These advantages include higher energy density, lighter weight, longer operating time, longer shelf life and a wider operating temperature range. Our non-rechargeable batteries also have relatively flat voltage profiles, which provide stable power. Conventional non-rechargeable batteries, such as alkaline batteries, have sloping voltage profiles that result in decreasing power output during discharge. While the price of our Lithium batteries is generally higher than alkaline batteries, the increased energy per unit of weight and volume of our Lithium batteries allow for longer operating times and less frequent battery replacements for our targeted applications.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ability to design and produce lightweight, high-energy Lithium-ion and Nickel Metal Hydride (NiMH) rechargeable batteries and charging systems in a variety of custom sizes, shapes, and thicknesses offers substantial benefits to our customers. We market Lithium-ion and Nickel Metal Hydride rechargeable batteries comprising cells manufactured by qualified cell manufacturers. Our rechargeable products can be used in a wide variety of applications including communications, medical and other portable electronic devices.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this segment, we also seek to fund the development of new products that we hope will advance our technologies through contracts with both government agencies and private sector third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be awarded development contracts with public and private customers resulting in intellectual property that we believe will enhance our efforts to commercialize new products that we develop. Revenues in this segment that pertain to product development may vary widely each year, depending upon the quantity and size of contracts awarded.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this segment for the year ended December 31, 2025, were $178,042 and segment contribution was $20,223, as compared to revenues of $144,081 and segment contribution of $18,997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design and manufacture a line of communications systems and accessories to support military communications requirements and under our Ultralife brand we provide system integration products and services.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military systems include RF amplifiers, power supplies, power cables, connector assemblies, amplified speakers, equipment mounts, case equipment, man-portable systems and integrated communication systems for fixed or vehicle applications such as vehicle amplifier-adaptors (“VAA”) for multiple programs. Key programs include U.S. Army Leader Radio Program and Family of Special Operations Vehicles (FOSOV) which is a U.S. Special Operations Command program managing ground mobility and focusing on vehicle sustainment and technology upgrades. All systems are packaged to meet specific customer needs in rugged enclosures to allow for their use in extreme environments. We market these products to all branches of the U.S. military and to foreign defense organizations that we are permitted to sell our products to, as well as to U.S. and to international prime defense contractors.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products offered to date under the Ultralife brand integrate information technology equipment and power conversion capability into rugged cases, supporting use in various industries. We market these products to automotive, cellular carriers and manufacturing industries.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this segment for the year ended December 31, 2025, were $13,117 and segment contribution was $(1,290), as compared to revenues of $20,375 and segment contribution of $1,191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revenues, cost of sales and direct operating expenses for the above operating segments. The direct operating expenses include research &amp; development, selling and general administration expenses that are determined, controlled and monitored by the operating segments. The balance of operating expenses, comprised of unallocated general administration and merger &amp; acquisition expenses for corporate functions including board of directors, executive officers, accounting and finance, treasury management, shareholder communications, human resources, legal and compliance and information technology, are reported as Corporate operating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Corporate had no revenues for the years ended December 31, 2025, and 2024. Corporate operating expenses, including costs incurred in connection with business acquisitions and other non-recurring actions, were $24,835 and $10,223 for the years ended December 31, 2025, and 2024, respectively. For 2025, the one-time intangible asset impairment charge resulting from our global rebranding of $12,181 is included in Corporate operating expenses.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and the 2025 Consolidated Financial Statements and Notes thereto contained in this Form 10-K Annual Report for additional information on the expenses referred to above. For information relating to total assets by segment, revenues for the last two years by segment, and contribution by segment for the last two years, see Note 10 in the notes to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Ultralife was formed as a Delaware corporation in December 1990. In March 1991, we acquired certain technology and assets from Eastman Kodak Company (“Kodak”) relating to its 9-volt Lithium Manganese Dioxide non-rechargeable battery. In December 1992, we completed our initial public offering and became listed on NASDAQ.</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2006, we acquired ABLE New Energy Co., Ltd. (“ABLE”), an established manufacturer of Lithium batteries located in Shenzhen, China, which broadened our product offering, including a wide range of Lithium Thionyl Chloride and Lithium Manganese batteries, and provided additional exposure to new consumer markets.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2006, we acquired substantially all the assets of McDowell Research, Ltd. (“McDowell”), a manufacturer of military communications accessories. This acquisition expanded our product distribution channels into the military communications area and strengthened our presence in global defense markets. During the second half of 2007, the operations of the Waco, Texas facility of McDowell were relocated to our Newark, New York facility. In January 2012, we relocated these operations to our Virginia Beach, Virginia facility in order to gain operational efficiencies.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2008, we formed a joint venture, named Ultralife Batteries India Private Limited (“India JV”), with our distributor partner in India. The India JV assembles Ultralife power solution products and manages local sales and marketing activities, serving commercial, government and defense customers throughout India. We used cash as consideration for our 51% ownership stake in the India JV.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2009, we acquired the tactical communications products business of Science Applications International Corporation. The tactical communications products business designs, develops and manufactures tactical communications products including amplifiers, man-portable systems, cables, power solutions and ancillary communications equipment, which are sold by Ultralife under the brand name AMTI. The acquisition strengthened our communications systems business and provided us with direct entry into the handheld radio/amplifier market, complementing Ultralife’s communications systems offerings.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With a portfolio encompassing custom battery design, development and manufacturing for OEM’s; standard smart batteries, chargers and accessories; and pre-engineered batteries and power solutions for specific applications, Accutronics primarily serves the portable medical device market throughout Europe. Medical applications include digital imaging, ventilators, anesthesia, endoscopy, patient monitoring, cardiopulmonary care, oxygen concentration and aspiration. With our acquisition of Accutronics we advanced our strategy of commercial revenue diversification, expanded our geographical penetration, and achieved revenue growth from new product development. We continue to experience sales synergies between Accutronics and our existing commercial battery business as we cross-sell our existing products and the acquired Accutronics’ products to our respective customer bases.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further supported our strategy of commercial revenue diversification by providing entry to the oil and gas exploration and production, and subsea electrification markets, which were previously unserved by Ultralife. Another key benefit of our acquisition of SWE was obtaining a highly valuable technical team of battery pack and charger system engineers and technicians which has added to our new product development-based revenue growth initiatives in our commercial end-markets particularly asset tracking devices, smart metering for utilities and other industrial applications, as well as their contribution to the development of certain government and defense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and together with Excell Canada and 656700, collectively, “Excell”), which operate under the name Excell Battery Group. Based in Canada with U.S. operations,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ruggedized computers, and mining, marine and other mission critical applications which demand uncompromised safety, service, reliability and quality. Our acquisition of Excell has been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did not previously serve, enhance our contributed value to our customers and realize cost synergies. Furthermore, we utilize Excell experienced technical resources in our global new product initiatives and add a complementary line of highly engineered products, both existing and in development, that are costly for our customers to substitute with products of a competitor.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31, 2024, we acquired Electrochem Solutions, Inc, a Massachusetts corporation (“Electrochem”). Based in Raynham, Massachusetts with over forty years of battery technology experience in critical applications where the cost of failure is high, Electrochem designs and manufactures primary Lithium metal and ultracapacitor cells and battery packs serving energy, military and various environmental, industrial and utility end markets. Acquiring Electrochem advances our strategy of more fully realizing the operating leverage of our business model through scale and creates opportunities for gross margin expansion through the realization of manufacturing cost efficiencies, U.S.-based vertical integration, supply chain and lean initiatives. Electrochem primarily services a blue-chip customer base which had little or no overlap with Ultralife’s other customers, has long-tenured technical resources which we are utilizing in advancing our global new product initiatives, and has a complimentary portfolio of highly engineered Thionyl, Sulfuryl and Bromine Chloride cells and packs which can be commercially cost prohibitive to substitute or replace. We believe this acquisition has created highly attractive opportunities to drive revenue growth through heightened cross-selling activities and extends our reach into underserved adjacent markets that demand uncompromised safety, service, reliability and quality. Furthermore, with Electrochem we believe we are increasing our value to our customers and significantly strengthening our competitive position in our end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Services and Technology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non-rechargeable battery is used until discharged and then replaced. The principal competing non-rechargeable battery technologies are Carbon Zinc, Alkaline and Lithium. We manufacture a range of non-rechargeable battery products based on Lithium Manganese Dioxide, Lithium Manganese Dioxide Carbon Monofluoride hybrid, and Lithium Thionyl Chloride technologies.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chemistry of Lithium batteries provides significant advantages over other currently available non-rechargeable battery technologies, which include lighter weight, longer operating time, longer shelf life, and a wider operating temperature range. Our non-rechargeable batteries also have relatively flat voltage profiles, which provide more stable power. Conventional non-rechargeable batteries, such as Alkaline batteries, have sloping voltage profiles that result in decreasing power during discharge. While the prices for our Lithium batteries are generally higher than commercially available Alkaline batteries produced by others, we believe that the increased energy per unit of weight and volume of our batteries will allow longer operating time and less frequent battery replacements for our targeted applications. As a result, we believe that our non-rechargeable batteries are priced competitively with other battery technologies on a price per unit of energy or volume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non-rechargeable products include the following product configurations:</w:t>
      </w:r>
    </w:p>
    <w:p>
      <w:pPr>
        <w:spacing w:after="0" w:line="18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i w:val="1"/>
          <w:iCs w:val="1"/>
          <w:color w:val="auto"/>
        </w:rPr>
        <w:t>9</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Volt Lithium Battery. </w:t>
      </w:r>
      <w:r>
        <w:rPr>
          <w:rFonts w:ascii="Times New Roman" w:cs="Times New Roman" w:eastAsia="Times New Roman" w:hAnsi="Times New Roman"/>
          <w:sz w:val="18"/>
          <w:szCs w:val="18"/>
          <w:color w:val="auto"/>
        </w:rPr>
        <w:t>Our 9-volt Lithium battery delivers a unique combination of the highest-available energy density and stable voltage, which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longer operating life for the battery and, accordingly, fewer battery replacements. While our 9-volt Lithium battery price is generally higher than conventional 9-volt Carbon Zinc and Alkaline batteries, we believe the enhanced operating performance and decreased costs associated with longer battery life make our 9-volt Lithium battery more cost effective than conventional batteries on a cost per unit of energy or volume basis when used in a variety of applications.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9-volt Lithium batteries to OEM, distributor and retail markets including industrial electronics, safety and security, and medical. Typical applications include smoke alarms, wireless alarm systems, bone growth stimulators, telemetry devices, blood analyzers, ambulatory infusion pumps and parking meters. A significant portion of the sales of our 9-volt Lithium battery is to major smoke alarm OEMs for use in their long-life smoke alarms. We also manufacture our 9-volt Lithium battery under private labels for a variety of companies. Additionally, we sell our 9-volt Lithium battery to the broader consumer market through national and regional retail chains and online retailers.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current 9-volt Lithium battery manufacturing capacity is adequate to meet forecasted customer demand over the next three years.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Cylindrical Batteries. </w:t>
      </w:r>
      <w:r>
        <w:rPr>
          <w:rFonts w:ascii="Times New Roman" w:cs="Times New Roman" w:eastAsia="Times New Roman" w:hAnsi="Times New Roman"/>
          <w:sz w:val="18"/>
          <w:szCs w:val="18"/>
          <w:color w:val="auto"/>
        </w:rPr>
        <w:t>Featuring high energy, wide temperature range, long shelf life and operating life, our cylindrical cells and batteries, based on Lithium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Manganese Dioxide, Lithium Manganese Dioxide Carbon Monofluoride hybrid and Lithium Thionyl Chloride technologies, represent some of the most advanced Lithium power sources currently available. We market a wide range of cylindrical non-rechargeable Lithium cells and batteries in various sizes under both the Ultralife HiRate and Electrochem brands. These include D, C, 5/4 C, 1/2 AA, 2/3 A, CR123A and other sizes, which are sold individually as well as packaged into multi-cell battery packs, including our leading BA-5390 military battery, an alternative to the competing Li-SO2 BA-5590 battery, a widely used battery type in the U.S. armed forces for portable applications. Our BA-5390 battery provides 50% to 100% more energy (mission time) than the BA-5590, and it is used in approximately 60 military applications. With the introduction of our Lithium Carbon Monofluoride hybrid chemistry, we now offer a D-cell that has 100% more energy than the competing Li-SO2 D-cell.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market our line of Lithium cells and batteries to the OEM market for commercial, defense, medical, asset tracking and search and rescue applications, among others. Significant commercial applications include oil and gas downhole drilling, pipeline inspection equipment, automatic re-closers and oceanographic and subsea devices. Asset tracking applications include Radio Frequency Identification (“RFID”), cellular, and Bluetooth systems. Among the defense uses are manpack radios, night vision goggles, chemical agent monitors and thermal imaging equipment. Medical applications include Automated External Defibrillators, infusion pumps, wearable patient monitoring and telemetry systems. Search and rescue applications include Emergency Locator Transmitters for aircraft and Emergency Position Indicating Radio Beacons for ships. Oil and gas applications include battery packs for downhole and directional drilling applications such as Measurement While Drilling and Logging While Drilling and pipeline inspection and monitoring.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Thin Cell Batteries. </w:t>
      </w:r>
      <w:r>
        <w:rPr>
          <w:rFonts w:ascii="Times New Roman" w:cs="Times New Roman" w:eastAsia="Times New Roman" w:hAnsi="Times New Roman"/>
          <w:sz w:val="18"/>
          <w:szCs w:val="18"/>
          <w:color w:val="auto"/>
        </w:rPr>
        <w:t>We manufacture a range of thin Lithium Manganese Dioxide batteries under the Ultralife Thin Cell® brand. Thin Cell batteries are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lightweight batteries providing a unique combination of high energy, long shelf life, wide operating temperature range and very low profile. We are currently marketing these batteries to OEMs for applications such as displays, wearable medical devices, toll passes, theft detection systems, and RFID and Bluetooth tracking devices.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Rechargeable Batteries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contrast to non-rechargeable batteries, after a rechargeable battery is discharged, it can be recharged and reused many times. Generally, discharge and recharge cycles can be repeated hundreds or thousands of times in rechargeable batteries depending on the technology of the battery. The achievable number of cycles (cycle life) varies among technologies and is an important competitive factor. All rechargeable batteries experience a small, but measurable, loss in energy capacity with each cycle. The industry commonly reports cycle life in the number of cycles a battery can achieve until 80% of the battery’s initial energy capacity remains. In the rechargeable battery market, the principal competing technologies are Nickel Metal Hydride and Lithium-ion (including Lithium polymer) batteries. Rechargeable batteries are used in many applications, such as military radios, laptop computers, mobile telephones, portable medical devices, wearable devices and many other commercial, defense and consumer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Three important performance characteristics of a rechargeable battery are design flexibility, energy density and cycle life. Design flexibility refers to the ability of rechargeable batteries to be designed to fit a variety of shapes and sizes of battery compartments. Thin profile batteries with prismatic geometry provide the design flexibility to fit the battery compartments of today's electronic devices. Energy density refers to the total amount of electrical energy stored in a battery divided by the battery’s weight and volume as measured in watt-hours per kilogram and watt-hours per liter, respectively. High energy density batteries generally are longer lasting power sources providing longer operating time and necessitating fewer battery recharges. High energy density and long achievable cycle life are important characteristics for comparing rechargeable battery technologies. Greater energy density will permit the use of batteries of a given weight or volume for a longer time period. Accordingly, greater energy density will enable the use of smaller and lighter batteries with energy comparable to those currently marketed. Lithium-ion batteries, by the nature of their electrochemical properties, are capable of providing higher energy density than comparably sized batteries that utilize other chemistries and, therefore, tend to consume less volume and weight for a given energy content. Long achievable cycle life, particularly in combination with high energy density, is suitable for applications requiring frequent battery recharges, such as cellular telephones and notebook computers, and allows the user to charge and recharge many times before noticing a difference in performance. We believe that our Lithium-ion batteries generally have high energy density and a long cycle life.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Lithium-ion Cells and Batteries. </w:t>
      </w:r>
      <w:r>
        <w:rPr>
          <w:rFonts w:ascii="Times New Roman" w:cs="Times New Roman" w:eastAsia="Times New Roman" w:hAnsi="Times New Roman"/>
          <w:sz w:val="18"/>
          <w:szCs w:val="18"/>
          <w:color w:val="auto"/>
        </w:rPr>
        <w:t>We market a variety of Lithium-ion cells and rechargeable batteries comprised of cells manufactured by qualified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These products are used in a wide variety of applications including communications, medical and other portable electronic devices.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Battery Charging Systems and Accessories. </w:t>
      </w:r>
      <w:r>
        <w:rPr>
          <w:rFonts w:ascii="Times New Roman" w:cs="Times New Roman" w:eastAsia="Times New Roman" w:hAnsi="Times New Roman"/>
          <w:sz w:val="18"/>
          <w:szCs w:val="18"/>
          <w:color w:val="auto"/>
        </w:rPr>
        <w:t>To provide our customers with complete power system solutions, we offer a wide range of rugged military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battery charging systems and accessories including smart chargers, multi-bay charging systems and a variety of cables.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Multi-Kilowatt Module. </w:t>
      </w:r>
      <w:r>
        <w:rPr>
          <w:rFonts w:ascii="Times New Roman" w:cs="Times New Roman" w:eastAsia="Times New Roman" w:hAnsi="Times New Roman"/>
          <w:sz w:val="18"/>
          <w:szCs w:val="18"/>
          <w:color w:val="auto"/>
        </w:rPr>
        <w:t>Our Multi-Kilowatt Module Lithium-ion battery system is a large format battery utilizable for energy storage, battery back-up,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remote power applications. This product is a direct replacement of 1.25 kWh and larger capacity lead acid batteries in 24V or 48V applications. It can be connected in multiples to obtain higher-voltages and is capable of over 3,000 cycles while maintaining 80% of its capacity.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Technology Contracts. </w:t>
      </w:r>
      <w:r>
        <w:rPr>
          <w:rFonts w:ascii="Times New Roman" w:cs="Times New Roman" w:eastAsia="Times New Roman" w:hAnsi="Times New Roman"/>
          <w:sz w:val="18"/>
          <w:szCs w:val="18"/>
          <w:color w:val="auto"/>
        </w:rPr>
        <w:t>Our technology contract activities involve the development of new products or the enhancement of existing products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both government agencies and private sector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and manufacture a line of communications systems and accessories to support military communications systems, including RF amplifiers, power supplies, power cables, connector assemblies, amplified speakers, equipment mounts, case equipment, man-portable systems and integrated communication systems for fixed or vehicle applications such as vehicle amplifier-adaptors. We package all systems to meet specific customer needs in rugged enclosures to allow their use in extreme environments and under our Ultralife Corporation brand provide system integration products and services for commercial requirements.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a wide range of military communications systems and accessories designed to enhance and extend the operation of communications equipment such as vehicle-mounted, manpack and handheld transceivers. Our communications products include the following product configurations: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RF Amplifiers. </w:t>
      </w:r>
      <w:r>
        <w:rPr>
          <w:rFonts w:ascii="Times New Roman" w:cs="Times New Roman" w:eastAsia="Times New Roman" w:hAnsi="Times New Roman"/>
          <w:sz w:val="18"/>
          <w:szCs w:val="18"/>
          <w:color w:val="auto"/>
        </w:rPr>
        <w:t>These amplifiers are used to extend the range of manpack and handheld tactical transceivers, and our RF amplifiers include both mounted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dismounted versions and many related accessories and kits which can be used on mobile or fixed site applications.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Integrated Systems. </w:t>
      </w:r>
      <w:r>
        <w:rPr>
          <w:rFonts w:ascii="Times New Roman" w:cs="Times New Roman" w:eastAsia="Times New Roman" w:hAnsi="Times New Roman"/>
          <w:sz w:val="18"/>
          <w:szCs w:val="18"/>
          <w:color w:val="auto"/>
        </w:rPr>
        <w:t>Our integrated systems include vehicle mounted systems; SATCOM systems; rugged, deployable case systems; integrated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and multiband transceiver kits. These systems provide enhanced capabilities which enable communications operators to provide links to support Command, Control, Communications, Computers, Cyber and Intelligence, Surveillance and Reconnaissance.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Power Systems. </w:t>
      </w:r>
      <w:r>
        <w:rPr>
          <w:rFonts w:ascii="Times New Roman" w:cs="Times New Roman" w:eastAsia="Times New Roman" w:hAnsi="Times New Roman"/>
          <w:sz w:val="18"/>
          <w:szCs w:val="18"/>
          <w:color w:val="auto"/>
        </w:rPr>
        <w:t>Our power systems include AC/DC power supplies with battery backup for tactical manpack radios and power adaptors and chargers.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provide power supplies for virtually all tactical communications devices.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commercial products integrate information technology capability into rugged cases, supporting use of high computing capability in various configurations. We market these products to automotive, cellular carriers and manufacturing industries.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Communications and Electronics. </w:t>
      </w:r>
      <w:r>
        <w:rPr>
          <w:rFonts w:ascii="Times New Roman" w:cs="Times New Roman" w:eastAsia="Times New Roman" w:hAnsi="Times New Roman"/>
          <w:sz w:val="18"/>
          <w:szCs w:val="18"/>
          <w:color w:val="auto"/>
        </w:rPr>
        <w:t>Our communications and electronics services include the design, integration, and deployment of portable, mobile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fixed-site communications systems.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staff of sales and marketing personnel in North America, Europe and Asia. We sell our products and services directly to commercial customers, including OEMs, as well as government and defense agencies in the U.S. and abroad and have contractual arrangements with sales agents who market our products on a commission basis in defined territories. Every effort is made to adjust future prices when and if possible, but the ability to adjust prices is generally based on market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We also distribute some of our products through domestic and foreign distributors and retailers. Sales of these products are generated primarily from purchase orders issued by these customers. We have several long-term contracts with the U.S. government and other customers. These contracts do not commit the customers to specific purchase volumes, nor to specific timing of purchase order releases, and they include fixed price agreements over various periods of time. In general, we do not believe our sales are seasonal, although we may sometimes experience seasonality for some of our military products based on the timing of government fiscal budget expenditures.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our business comes from sales of products and services to U.S. and foreign governments through various contracts. These contracts are subject to procurement laws and regulations that specify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applicable procurement laws or regulations can result in civil, criminal or administrative proceedings involving fines, penalties, suspension of payments, or suspension or debarment from government contracting or subcontracting for a period. Even if a contract is awarded to us there is no guarantee that the government will order any product under the contract.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one major customer, L3Harris Technologies, a large global defense primary contractor, which comprised 27% of our total revenues in 2025, and 23% of our total revenues in 2024. There were no other customers that comprised greater than 10% of our total revenues during these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sales to U.S. and foreign customers were $137,077 and $54,082, respectively. In 2024, sales to U.S. and foreign customers were $97,040 and $67,416,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target sales of our non-rechargeable products to manufacturers of security and safety equipment, medical devices, search and rescue equipment, specialty instruments, oil and gas downhole drilling and pipe inspection equipment, point of sale equipment and metering applications, as well as users of military equipment. Our strategy is to develop sales and marketing alliances with OEMs and governmental agencies that utilize our batteries in their products, commit to cooperative research and development or marketing programs, and recommend our products for design-in or replacement use in their products. We are addressing these markets through direct contact by our sales and technical personnel, use of sales agents and stocking distributors, manufacturing under private labels, and promotional activities.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capture a significant market share for our products within our targeted OEM markets, which we believe, if successful, will result in increased product awareness and sales at the end user or consumer level. We are also selling our 9-volt battery to the consumer market through retail distribution channels. Most military procurements are done directly by the specific government organizations requiring products, based on a competitive bidding process. Additionally, we are typically required to successfully meet contractual specifications and to pass various qualifications testing for the products under contract by the military. Our inability to pass these tests for our new products in a timely fashion could have a material adverse effect on future growth prospects. When a government contract is awarded, there is a government procedure that permits unsuccessful companies to formally protest the award if they believe they were unjustly treated in the government’s bid evaluation process. A prolonged delay in the resolution of a protest, or a reversal of an award resulting from such a protest, could have a material adverse effect on our business, financial condition and 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target sales of our Lithium-ion rechargeable batteries and charging systems to OEM customers, as well as distributors and resellers focused on our target markets. We respond to Requests for Proposals to design products for OEMs, and believe that our design capabilities, product characteristics and solution integration will encourage OEMs to incorporate our batteries into their product offerings, resulting in revenue growth opportunities for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expand our marketing activities as part of our strategic plan, a comprehensive forward-looking document which sets forth our strategic growth plans, tactical actions and financial projections over a rolling three-year period, to increase sales of our battery and energy products for commercial, standby, defense and communications applications, as well as hand-held devices, wearable devices and other portable electronic equipment. A key part of this expansion includes increasing our design and assembly capabilities as well as building our international network of distributors and value-added distributors.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Backlog orders for Battery &amp; Energy Products were approximately $102,000 and $95,000 as of December 31, 2025, and 2024, respectively, reflecting continued high demand for our medical, government and defense, and oil and gas batteries. The 2025 year-end Battery &amp; Energy Products backlog orders are primarily related to orders that are expected to ship throughout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target sales of our communications systems, which include power solutions and accessories to support communications systems such as RF amplifiers, power supplies, power cables, connector assemblies, amplified speakers, equipment mounts, case equipment and integrated communication systems, to military OEMs and U.S. and allied foreign militaries. We sell our products directly and through authorized distributors to OEMs and directly to defense contractors and U.S. and foreign militaries. We market our products to defense organizations and OEMs in the U.S. and internationally.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for commercial products include integrated systems for information technology equipment to support fixed, mobile and deployable locations. We sell our products directly to commercial businesses in the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and 2024, our backlog orders related to Communications Systems orders were approximately $8,200 and $7,600, respectively. The 2025 year-end Communications Systems backlog orders are expected to ship throughout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 Secrets and Trademarks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patented and unpatented proprietary information, know-how and trade secrets to maintain and develop our competitive position. Despite our efforts to protect our proprietary information, there can be no assurance that others will neither develop the same or similar information independently nor unlawfully obtain access to our proprietary information, know-how and trade secrets. In addition, there can be no assurance that we would prevail if we asserted our intellectual property rights against third parties, or that third parties will not successfully assert infringement claims against us in the future. We believe, however, that our success depends more on the knowledge, ability, experience and technological expertise of our employees, than on the legal protection that our patents and other proprietary rights may or will afford.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hold forty-six patents issued in the U.S., fourteen patents issued in the European Union member states, three patents issued in the European Union, eight patents issued in the United Kingdom, five patents issued in Japan, four patents issued in India, four patents issued in Canada, three patents issued in South Korea, three patents issued in China, three patents issued in Taiwan, two patents issued in Norway, one patent issued in Australia, one patent issued in Iceland, one patent issued in Mexico and one patent issued by the World Intellectual Property Organization. We believe our patents protect technology that makes automated production more cost-effective and protects important competitive features of our products. However, we do not consider our business to be dependent on patent protection.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employment commencement process, our employees are required to enter into agreements providing for confidentiality of certain information and the assignment of rights to inventions made by them while employed by us. These agreements also contain certain non-competition and non-solicitation provisions which are effective during the employment term and for varying periods thereafter depending on position and location. There can be no assurance that we will be able to enforce these agreements. All of our employees agree to abide by the terms of a Code of Ethics policy that provides for the confidentiality of certain information received during their employment. Nevertheless, the enforceability of such agreements is subject to public policy limitations that vary from state to state and country by country so we cannot assure that they will be enforceable in accordance with their terms, if at all.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Trademarks are an important aspect of our business. We sell our products under a number of trademarks that we own. Our trademarks include the following: Ultralife®, Ultralife Thin Cell®, Ultralife HiRate®, Ultralife &amp; design®, LithiumPower®, LithiumPower &amp; Design®, SMART CIRCUIT®, SMARTCIRCUIT®, SMART CIRCUIT &amp; 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POW-R-BMS®, POW-R TOTE® and Electrochem®. Our rebranding initiative will eliminate or de-emphasize our reference to certain trademarks going forward as disclosed earlier.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 Constraints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products from raw materials and component parts that we purchase. Our manufacturing facility in Newark, New York is ISO 9001 and ISO 13485 certified. Our Canadian manufacturing facility in Calgary is ISO 9001 certified and ISO 13485 certified. Our manufacturing facility in Shenzhen, China is ISO 9001, ISO 14001 and ISO 13485 certified. Our manufacturing facility in Missouri City, Texas is ISO 9001 and ISO 13485 certified. Our manufacturing facilities in the United Kingdom are ISO 9001 and ISO 13485 certified. Our manufacturing facility in Virginia Beach, Virginia is ISO 9001 certified. Our manufacturing facility in Raynham, Massachusetts is ISO 9001 certified.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We expect our future raw material purchases to fluctuate based on global demand for our products, our knowledge regarding the timing of customer orders, the related need to build inventory in anticipation of orders and actual shipment 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Newark, New York and Shenzhen, China facilities have the capacity to produce cylindrical cells, 9-volt Lithium batteries, 3-volt battery and thin cells. Capacity, however, is affected by demand for particular products, and product mix changes can produce bottlenecks in an individual operation, constraining overall capacity. We have acquired new machinery and equipment in areas where production bottlenecks have occurred in the past and we believe that we have sufficient capacity in most areas. We continually evaluate our requirements for additional capital equipment and direct labor resources, to help ensure that our planned increases will be adequate to meet foreseeable customer demand.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materials used in our products, other than rechargeable battery cells, are available only from a single source or a limited number of sources. Additionally, we may elect to develop relationships with a single or limited number of sources for materials that are otherwise generally available. Although we believe that alternative sources may in some cases be available to supply materials that could replace materials we use and that, if necessary, we would be able to redesign our products to make use of an alternative material provided extensive customer testing and recertification are not required. Any interruption in our supply from any supplier that serves currently as our sole source could delay product shipments and adversely affect our financial performance and relationships with our customers. We have experienced interruptions of product deliveries by sole source and other suppliers in 2024 and to a lesser extent in 2025 resulting in the delay of some shipments to future periods, and we cannot assure that these interruptions and delays will not have an adverse effect on us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the raw materials and components utilized for our rechargeable batteries are readily available from many sources. Although we believe that alternative sources are available to supply materials and components that could replace materials or components we use, any interruption in our supply from any supplier that serves currently as our sole source could delay product shipments and adversely affect our financial performance and relationships with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Newark, New York facility has the capacity to produce significant volumes of batteries and energy products. This operation generally manufactures non-rechargeable battery cells, non-rechargeable and rechargeable battery packs, and chargers and is limited only by physical space and is not constrained by manufacturing equipment capacity which can accommodate significant additional volumes of product. Similarly, our China and United Kingdom facilities also have capacity to produce significant quantities of non-rechargeable batteries and rechargeable battery packs beyond current volumes and are not constrained by manufacturing equipment capacity. Our Missouri City, Texas facility has the capacity to produce significant quantities of rechargeable and non-rechargeable battery packs and is not constrained by manufacturing equipment capacity and the same is presently true for our Excell facility in Calgary, Canada. Our Electrochem facility in Raynham, Massachusetts has the capacity to produce significant quantities of non-rechargeable battery cells beyond current volumes and is not constrained by physical space or manufacturing equipment capacity, and it also has the physical capacity to produce non-rechargeable battery packs. We continue to access the capacity of our global facilities based on increased demand for our products, and to determine constraints associated with human capital resources and/or manufacturing equipment.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carrying value of our Battery &amp; Energy Products inventory, including raw materials, work in process and finished goods, amounted to $45,322 and $44,614 as of December 31, 2025, and 2024, respectively. The year-over-year 2% increase primarily reflects the timing of shipments and the procurement of certain longer lead-time materials required to fulfill the backlog for our batteries primarily used in the government and defense and medical device sectors. Management continuously monitors inventory levels in an effort to optimize such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w:t>
      </w:r>
      <w:r>
        <w:rPr>
          <w:rFonts w:ascii="Times New Roman" w:cs="Times New Roman" w:eastAsia="Times New Roman" w:hAnsi="Times New Roman"/>
          <w:sz w:val="18"/>
          <w:szCs w:val="18"/>
          <w:b w:val="1"/>
          <w:bCs w:val="1"/>
          <w:i w:val="1"/>
          <w:iCs w:val="1"/>
          <w:color w:val="auto"/>
        </w:rPr>
        <w: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we believe that the raw materials and components utilized by us for our communications and commercial accessories and systems, including RF amplifiers, power supplies, cables, repeaters and integration kits and systems, are available from many sources. Although we believe that alternative sources are available to supply materials and components that could replace materials or components we use, any interruption in our supply from any supplier that serves currently as our sole source or any significant increase in lead times to provide components could delay product shipments and adversely affect our financial performance and relationships with our customers.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Virginia Beach, Virginia facility has sufficient capacity to produce communications products and systems to meet current demand. This operation generally assembles products and is limited only by physical space and is not constrained by manufacturing equipment capacity.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The total carrying value of our Communications Systems inventory, including raw materials, work in process and finished goods, amounted to $8,686 and $6,749 as of December 31, 2025, and 2024, respectively. The year-over-year 29% increase is primarily due to the procurement of certain materials with longer lead-times to fulfill backlog orders. Management continuously monitors inventory levels in an effort to optimize such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devote significant resources to research and development activities to improve the technological capabilities of our products and to design new products for customers’ applications. We conduct our research and development in Newark, New York; Virginia Beach, Virginia; Tallahassee, Florida; Missouri City, Texas; Raynham, Massachusetts; Newcastle-under-Lyme, United Kingdom; and Shenzhen, China. During 2025 and 2024, we spent $12,079 and $9,549, respectively, on research and development, including $1,681 and $1,281, respectively, on customer sponsored research and development activities, which are included in cost of products sold. The year-over-year increase in customer sponsored research and development is due to the full year inclusion of Electrochem and the timing of key projects, including the development of customer-driven new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research and development expenditures in the future, including 2026, could increase by 10% or more over 2025 levels, based on current initiatives. These current initiatives include the following: completing the development and testing of new battery and power solutions in our facilities in Newark, New York; Missouri City, Texas; Raynham, Massachusetts; Surrey, Canada; Newcastle-under-Lyme, UK and Shenzhen, China and new product initiatives for our Communications Systems business. We expect that new product development is one of the key factors that will drive our growth. As in the past, we will continue to make funding decisions for our research and development efforts based upon demand for customer applications.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internally develop non-rechargeable cells and batteries with the goal of broadening our product offering to our customers.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our rechargeable product portfolio, including batteries, battery management systems, cables and charging systems, as our customers’ needs for portable power continue to grow and new technologies become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government sponsors research and development programs, which Ultralife participates in, designed to improve the performance and safety of existing battery systems and to develop new battery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internally develop a variety of communications accessories and systems for the global defense and commercial markets to meet the ever-changing demands of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Government Regulation; Environmental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materials utilized in our batteries may pose safety problems if improperly used, stored, or handled. We have designed our batteries to minimize safety hazards both in manufacturing and in use. Our batteries are subject to the regulations noted below, among others.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non-rechargeable and rechargeable Lithium batteries is regulated in the U.S. by the Department of Transportation’s Pipeline and Hazardous Materials Safety Administration (“PHMSA”), and internationally by the International Civil Aviation Organization (“ICAO”) and corresponding International Air Transport Association (“IATA”), Dangerous Goods Regulations and the International Maritime Dangerous Goods Code (“IMDG”), and other country specific regulations. These regulations are based on the United Nations Recommendations on the Transport of Dangerous Goods Model Regulations and the United Nations Manual of Tests and Criteria. We currently ship our products pursuant to PHMSA, ICAO, IATA, IMDG and other country specific hazardous goods regulations. These regulations require companies to meet certain testing, packaging, labeling, marking and shipping paper specifications for safety reasons. We have not incurred, and do not expect to incur, any significant costs in order to comply with these regulations. We believe we comply with all current U.S. and international regulations for the shipment of our products, and we intend and expect to comply with any new applicable regulations that are imposed. We have established our own testing facilities to help ensure that we comply with these regulations. However, if we are unable to comply with any such new regulations, or if regulations are introduced that limit our or our customers’ ability to transport our products in a cost-effective manner, this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European Union’s Restriction of Hazardous Substances Directive (the “EU RoHS Directive”) places restrictions on the use of certain hazardous substances in electrical and electronic equipment. All applicable products sold in the European Union market must pass EU RoHS Directive compliance. While this directive does not apply to batteries and does not currently affect our defense products, should any changes occur in the directive that would affect our products, we intend and expect to comply with any new applicable regulations that are imposed. However, we cannot ensure that the cost of complying with such new regulations would not have a material adverse effect on us. We believe our commercial chargers are in material compliance with the EU RoHS Directive.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European Union’s Battery Directive “on batteries and accumulators and waste batteries and accumulators” (the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The EU Battery Directive applies to all types of batteries except those used to protect European Union member states’ security, for military purposes, or sent into space. To achieve these objectives, the EU Battery Directive prohibits the marketing of some batteries containing hazardous substances. It establishes schemes aimed at high levels of collection and recycling of batteries with quantified collection and recycling targets. The EU Battery Directive sets out minimum rules for producer responsibility and provisions with regard to labeling of batteries and their removability from equipment. The EU Battery Directive requires product markings for batteries and accumulators to provide information on capacity and to facilitate reuse and safe disposal. We currently ship our products pursuant to the requirements of the EU Battery Directive.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 Battery Directive requires producers or importers of particular classes of electrical goods to be financially responsible for specified collection, recycling, treatment and disposal of past and future covered products. This directive assigns levels of responsibility to companies doing business in European Union markets based on their relative market share. This directive calls on each European Union member state to enact enabling legislation to implement the directive. As additional European Union member states pass enabling legislation, we believe our compliance system should be sufficient to meet such requirements. Our current estimated costs associated with our continued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China’s “Management Methods for Restricted Use of Hazardous Substances in Electrical and Electronic Products” (“China RoHS 2”) provides a regulatory framework including hazardous substance restrictions similar to those imposed by the EU RoHS Directive. China RoHS 2 applies to methods for the control and reduction of pollution and other public hazards to the environment caused during the production, sale, and import of electrical and electronic products (“EEP”) in China. The regulatory framework of China RoHS 2 also now references the updated marking and labeling requirements under Standard SJ/T 11364-2014. The methods under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Although we believe that our operations are in material compliance with current environmental regulations, there can be no assurance that changes in such laws and regulations will not impose costly compliance requirements on us or otherwise subject us to future liabilities, costs and expenses. There can be no assurance that additional or modified regulations relating to the manufacture, transportation, storage, use and disposal of materials used to manufacture our batteries or restricting disposal of batteries will not be imposed or that such regulations will not have a material adverse effect on our business, financial condition and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non-rechargeable and rechargeable Lithium battery chemistries react adversely with water and water vapor, certain of our manufacturing processes must be performed in a controlled environment with low relative humidity. Our Newark, New York and Shenzhen, China facilities contain dry rooms or glove box equipment, as well as specialized air-drying equipment.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environmental regulations previously described, our products are subject to U.S. and international laws and regulations governing international trade and exports including but not limited to the International Traffic in Arms Regulations (“ITAR”), the Export Administration Regulations (“EAR”) and trade sanctions against embargoed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ITAR is a set of U.S. government regulations that control the export and import of defense-related articles and services on the United States Munitions List. These regulations implement the provisions of the Arms Export Control Act and are described in the Code of Federal Regulations. The Department of State Directorate of Defense Trade Controls interprets and enforces ITAR. Its goal is to safeguard U.S. national security and further U.S. foreign policy objectives.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related EAR are enforced and interpreted by the Bureau of Industry and Security in the Commerce Department. The Department of Defense is also involved in the review and approval process. Inspections in support of import and export laws are performed at border crossings by Customs and Border Protection, an agency of the Department of Homeland Security.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and services developed and manufactured in our foreign locations are subject to the export and import controls of the nation in which the foreign location operates.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are in material compliance with these domestic and international export regulations. However, failure of compliance could have a material adverse effect on our business through possible fines, denial of export privileges, or loss of customers. Further, while we are not aware of any proposed changes to these regulations, any change in the scope or enforcement of export or import regulations or related legislation could have a material adverse effect on our business through increased costs of compliance or reduction in the international growth prospects available to 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our current sales volumes, our future estimated costs associated with our compliance with ITAR, EAR, and the foreign export and import controls are not significant. However, we continue to evaluate the impact of these regulations, and actual costs could differ from our current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Battery &amp; Energy Products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non-rechargeable battery products incorporate Lithium metal, which reacts with water and may cause fires if not handled properly. In the past, we have experienced fires that have temporarily interrupted certain manufacturing operations. We believe that we have adequate fire suppression systems and insurance, including business interruption insurance, to protect against the occurrence of fires and fire losses in our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9-volt battery, among other sizes, is designed to conform to the dimensional and electrical standards of the American National Standards Institute.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certification bodies such as Underwriters Laboratories, Intertek and SGS have certified several of our products.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Communications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aware of any regulatory requirements regarding the disposal of our communications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Section 1502 (the “Dodd-Frank Act”) requires public companies to disclose whether tantalum, tin, gold and tungsten, commonly known as “conflict minerals,” are necessary to the functionality or production of a product manufactured by a public company and if those elements originated from armed groups in the Democratic Republic of Congo or adjoining countries. To comply with the Dodd-Frank Act, as implemented by SEC rules, we are required to perform due diligence inquiries of our suppliers to determine whether or not our products contain such minerals and from which countries and source (smelter) the minerals were obtained. Our annual report on Form SD was filed by the statutory due date of May 31, 2025, for the 2024 calendar year and we continue to utilize appropriate measures with our suppliers to better ascertain the origin of the conflict minerals in our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Competition in both the battery and communications systems markets is, and is expected to remain, intense. The competition ranges from development-stage companies to major domestic and international companies, many of which have financial, technical, marketing, sales, manufacturing, distribution and other resources significantly greater than ours. We compete against companies producing batteries as well as companies producing communications system accessories. We compete on the basis of design flexibility, performance, price, reliability and customer support. There can be no assurance that our technologies and products will not be rendered obsolete by developments in competing technologies or services that are currently under development or that may be developed in the future or that our competitors will not market competing products and services that obtain market acceptance more rapidly than ours.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cannot assure that other entities will not attempt to take advantage of the growth of the battery market, the Lithium battery cell industry has certain technological and economic barriers to entry. The development of technology, equipment and manufacturing techniques and the operation of a facility for the automated production of Lithium battery cells require large capital expenditures, which may deter new competitors from commencing production. Through our experience in battery cell manufacturing, we have also developed significant production and design expertise in the non-rechargeable battery market, which we believe would be difficult for new competitors to reproduce without substantial time and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employed a total of 678 permanent and temporary employees: 525 in production, 92 in sales and administration, and 61 in research and development. None of our employees are represented by a labor union.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faces many risks. As such, prospective investors and stockholders should carefully consider and evaluate all of the risk factors described below as well as other factors discussed in this Form 10-K Annual Report, including without limitation, the Management’s Discussion and Analysis of Financial Condition and Results of Operations, and in our other filings with the SEC. Any of these factors could adversely affect our business, financial condition and results of operations. Additional risks and uncertainties that are not currently known to us or that are not currently believed by us to be material may also harm our business operations and financial results. These risk factors may change from time to time and may be amended, supplemented, or superseded by updates to the risk factors and other information contained in periodic reports on Form 10-Q, Form 10-K, and current reports on Form 8-K that we file with the SEC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 Factors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conditions, including inflation, government trade policies, tariffs, interest rates, and supply-chain disruptions have affected and may continue to affect our business, revenues and earnings adversely.</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post-COVID supply chain conditions which included long-lead times and irregular availability of highly sought after components combined with rapid cost inflation persisted in 2024 and 2025, although to a lesser extent. The negative impact of these economic conditions, further complicated by the advent of tariffs, was partially mitigated by our proactive actions including the following: closer alignment of cost increases with customer price increases, extending the time horizon of our sales &amp; operations planning process (“S&amp;OP”) with both customers and suppliers to provide greater visibility in ordering components while upgrading our internal resources responsible for the process, improving our internal expertise to enhance our process for launching new products to reduce the cost and time of transitioning to high-volume manufacturing, and the charging of surcharges to customers to help offset the cost of tariffs on certain components.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significant price increases, longer lead times and key component shortages have eased, they still sporadically occur and general economic conditions became more complex with the advent of tariffs in 2025. Despite our best efforts and focus, we may not be able to fully offset the unfavorable impact of these economic conditions in a timely fashion, which continue to have a material adverse effect on our business and financial results going forward.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revenue is derived from certain key customers.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one customer, L3Harris Technologies, a large global defense primary contractor, which comprised 27% of our total revenues in 2025 and 23% of our total revenues in 2024. There were no other customers that comprised greater than 10% of our total revenues during these years. While we consider our relationship with this major customer to be good, the reduction, delay or cancellation of orders from this customer or any delays in payments beyond their payment terms, for any reason, would reduce our revenues and operating income and could materially and adversely affect our business, operating results and financial condition in other ways.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Reductions or delays in U.S. and foreign military spending could have a material adverse effect on our business, financial condition and results of operations.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is derived from contracts with U.S. and foreign militaries or OEMs that supply U.S. and foreign militaries. In the years ended December 31, 2025, and 2024, $65,864 or 34% and $62,374 or 38%, respectively, of our revenues were comprised of sales made directly or indirectly to U.S. and foreign militaries.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significant gains have been made in commercial markets with our business, we are still highly dependent on sales to U.S. Government customers. The amounts and percentages of our net revenue that were derived from sales to U.S. Government customers, including the Department of Defense, whether directly or through prime contractors, was approximately $58,647 or 31% in 2025 and $54,077 or 33% in 2024. Therefore, any significant disruption to or deterioration of our relationship with the U.S. Government or any prime defense contractor could significantly reduce our revenues. We and our competitors continuously engage in efforts to expand business relationships with the U.S. Government and will continue these efforts in the future, and the U.S. Government may choose to use other contractors or suppliers that compete with 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Budget and appropriations decisions made by the U.S. Government, including possible future sequestration periods or other similar formulaic reductions in federal expenditures, are outside of our control and have long-term consequences for our business. A decline in U.S. or foreign military expenditures could result in a reduction in the military demand for our products, which could have a material adverse effect on our business, financial condition and results of operations.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efforts to develop new products or new commercial applications for our products and the subsequent transition to high-volume production could be prolonged, not be profitable, not be accepted by our customers or could otherwise fail to achieve market share.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develop certain products for new commercial applications, we cannot be sure that these new products will be accepted due to the highly competitive nature of our industries. There are many new products and technology entrants into the markets we sell our products to. We must continually reassess the markets in which our products can be successful and seek to engage customers in those markets that will adopt our products for use in their products. In addition, these customers must be successful with their products in their markets for us to gain increased business. Increased competition, failure to gain customer acceptance of our products, the introduction of competitive technologies or failure of our customers to purchase our products in their markets all may have an adverse effect on our business and reduce our revenues and operating income.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supply of raw materials and components could be disrupted or delayed due to business conditions, new or additional tariffs, global conflicts, weather, sourcing requirements or other factors not under our control, or the cost of those raw materials and components may materially increase.</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materials and components used in our products are available only from a single or a limited number of suppliers. Some materials and components have been and may continue to be in short supply resulting in limited availability and/or increased costs including new or additional tariffs. Additionally, we may elect to develop relationships with a single or limited number of suppliers for materials and components that are otherwise generally available. Due to our supplying defense products to the U.S. Government, we could receive a government preference to continue to obtain critical supplies to meet military production needs. However, if the government did not provide us with a government preference in such circumstances or if the suppliers are not able to meet the necessary demand for the components, the difficulty in obtaining supplies on a timely basis could have a material adverse effect on our business, financial condition and results of operations. We believe that alternative suppliers are available to supply materials and components that could replace materials and components currently used and that, if necessary, we may be able to redesign our products to make use of such alternatives provided that the costs and timing of our customers recertifying the alternate materials and components where necessary is not deemed prohibitive to our customers or us. Nevertheless, any interruption in the supply from any supplier that serves as a sole source could delay product shipments and have a material adverse effect on our business, financial condition and results of operations. We have experienced interruptions of product deliveries by sole source and other suppliers in the past, and we cannot guarantee that we will not experience a continuation of material interruption of deliveries from sole source or other suppliers in the future. Accordingly, these circumstances plus the continued impact of costly tariffs and further requirements emphasizing component sourcing from the U.S. in 2026 and beyond require us to regularly monitor all aspects of our supply chain and share the updates with our customers, to ensure that any potential supply interruptions and incremental costs are understood with all efforts taken to minimize.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look forward to potential rising demand for electrification, our lead times for certain critical components from our suppliers could be extended even further, resulting in shipping delays causing us to miss contractual timelines. Our internal purchasing process is focused on the current economic environment, and lead times in the current environment are considered when placing orders from our vendors. However, we cannot control the ability of our vendors or potential vendors to meet our delivery 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could continue to face prolonged, increasing pricing pressure from our suppliers due to rising costs incurred by these suppliers, including the costs associated with continued or new tariffs, that could be passed on to us in higher prices for our raw materials and components. In addition, customers requiring products containing components and raw materials sourced from the U.S. may also have an impact on both lead times and costs. These higher prices increase our cost of business, lower our margins and could have other materially adverse effects on our business, financial condition and results of operations, particularly, if our pass-through of these price increases is not accepted by our customers or if these higher prices are not offset by our lean manufacturing initiatives.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Our growth and expansion strategy could strain or overwhelm our resources.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Rapid growth of our business could significantly strain management, operations and technical resources. If we are successful in obtaining rapid market growth of our products, we may be required to deliver large volumes of products to customers on a timely basis at a reasonable cost. For example, demand for our new or existing products combined with our ability to penetrate new markets and geographies or secure a major project award, could strain the current capacity of our manufacturing facilities and require a substantial increase in our direct labor workforce in a tight job market, and require additional capital resources, equipment and time to meet the required demand. We cannot assure, however, that our business will grow rapidly or that our efforts to expand manufacturing and quality control activities will be successful or that we will be able to satisfy commercial-scale production requirements on a timely and cost-effective basis. Our resources may not be sufficient to support rapid growth and demand for our products and simultaneously satisfy our backlog of approximately $110,000 as of December 31, 2025. Although we have highly experienced technical and engineering employees, we cannot assure you that we will be able to fulfill all the orders of our customers for our products, without delay.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to manage growth and expansion effectively could have a material adverse effect on our business, financial condition, and results of operations.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recruit and retain experienced, competent management is critical to the success of the business, and the loss of top management and key personnel could significantly harm our business, and the ability to implement our succession plan.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continued service of our officers and executive team is key to the successful implementation of our business model and growth strategy designed to deliver sustainable, consistent profitability. A top management priority has been the development and implementation of a formal written succession plan to mitigate the risks associated with the loss of senior executives. This formal succession plan is updated annually and presented to our Board of Directors. There is no guarantee that we will be successful in our efforts to effectively implement our succession plan.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specialized, technical nature of our business, we are highly dependent on certain members of our management, sales, engineering and technical staff. The loss of one or more of these employees could have a material adverse effect on our business, financial condition and results of operations. Our ability to effectively pursue our business strategy will depend upon, among other factors, the successful retention of our key personnel, recruitment of additional highly skilled and experienced managerial, sales, engineering and technical personnel, and the integration of such personnel obtained through business acquisitions. We cannot be sure that we will be able to retain or recruit this type of personnel at reasonable costs, or at all. An inability to hire sufficient numbers of people or to find people with the desired skills could result in greater demands being placed on limited management resources which could delay or impede the execution of our business plans and have other material adverse effects on our business, financial condition and results of operations.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Breaches in security, whether cyber or physical, and related disruptions and/or our inability to prevent or respond to such breaches, have previously, and in the future could diminish our ability to generate revenues or contain costs, compromise our assets, and negatively impact our business in other ways.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continuously face certain security threats, including threats to our information technology infrastructure, attempts to gain access to our proprietary or classified information, and threats to cyber and physical security. Our information technology networks and related systems are critical to the operation of our business and essential to our ability to successfully perform day-to-day operations. The risks of a security breach, cyberattack, cyber intrusion, or disruption, particularly through actions taken by computer hackers, foreign governments and cyber terrorists, have increased as the number, intensity and sophistication of attempted attacks and intrusions from around the world have increased. Although we have acquired and developed systems and processes designed to protect our information networks, and proprietary or classified information, they may not be sufficient to prevent security breaches, cyberattacks, cyber intrusions, or disruptions, and the failure to prevent these types of events could disrupt our operations, require significant management attention and resources, and could negatively impact our reputation among our customers and the public, which could have a negative impact on our financial condition, operating results and liquidity. In 2017, we formed a cross-functional executive management Security Steering Committee focused on mitigating the risk of security breaches, cyberattacks, cyber intrusions, or disruptions. In 2018, with the assistance of outside security consultants, we completed a comprehensive Systems Security Plan (“SSP”) and a Plan of Action &amp; Milestones (“POAM”) in compliance with the requirements of National Institute of Standards and Technology (“NIST”) Special Publication 800-171, Protecting Controlled Unclassified Information in Nonfederal Information Systems and Organizations. In 2019, the Company made further progress in implementing many of the security measures in our SSP and POAM, including increasing security awareness across our employee base. In 2020 through 2025, we continued to make progress towards achieving full implementation of all NIST 800-171 security standards, as well as the requirements under the Cybersecurity Maturity Model Certification (“CMMC”) framework released by the Department of Defense in 2020. We continue to review all key aspects of cybersecurity utilizing our outside security consultants to ensure a robust plan is in place and provides timely updates to our Board. Despite these measures, we cannot eliminate the risk of such security breaches and the potential adverse impacts these breaches may have on our business and financial results. Accordingly, for several years, including 2025, we maintained our cybersecurity insurance policy to help mitigate the impact of a cybersecurity incident.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on Form 8-K filed on March 2, 2023, during performance of their daily information technology security procedures on January 25, 2023, our Information Technology Team (“IT Team”) discovered an unauthorized entry into our information technology systems for our Newark, New York and Virginia Beach, Virginia locations. The accounts in question were immediately disabled by our IT Team, and the Company’s Security Steering Committee met promptly, taking swift action, including the immediate notification of our cybersecurity insurance carrier. Shortly thereafter, with the assistance of recommendations from our cybersecurity insurance carrier, we engaged external incident response professionals to assist with our assessment, recovery and response. On February 7, 2023, the Company received an electronic communication allegedly from a third-party, known for nefarious ransomware attacks, claiming responsibility for the incident, and discussions with that third party commenced through experienced cybersecurity professionals engaged by the Company.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incident caused a partial disruption of our business operations at these locations, which resulted in production and shipping downtime of several weeks as well as lost sales orders. With the efforts of internal resources supported by external expertise, the Company restored its information technology systems and production was resumed in both locations. Based on the recovery of our systems, review of the files affected, as well as the Company’s prompt response to and assessment of the incident, no ransom or other amount had been paid to the third party. Nevertheless, the cybersecurity event, the business interruption incurred and the resulting restoration was costly to the Company. Despite a business interruption claim, independently computed by a third-party forensic accountant, filed with our cyber insurance underwriter that has not been satisfied, on February 4, 2025 the Company filed a complaint in the Supreme Court of the State of New York, County of Wayne for the outstanding amount of our claim as computed by our third-party forensic accountant. We remain in the discovery phase of the claim with the expectation of a jury trial in the latter half of 2026. On March 2, 2026, the cyber insurance underwriter against whom we filed a claim, filed a motion for permission to file a counter claim which has not yet been granted by the court. If ultimately granted, we believe that such a counter claim is without merit and will be opposed vigorously.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diligently monitor our information systems with outside expertise for any attempted intrusions or other irregularities, which we have been successful in repelling in 2025.</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Fluctuations in the demand, supply and price of oil and gas and the resulting volatility in the level of downhole drilling could have a material adverse effect on our business, financial condition and results of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the demand, supply and pricing encountered in the oil and gas industry, may place financial strain on the producers and the companies that provide oilfield services and equipment to those producers. The volatility in this industry, whether driven by geopolitical developments; international tensions; supply and demand economics; the introduction of new global, national, and industry-specific regulations; U.S. administration policies; and technology, appears to be a cyclical trend. A significant downturn in the price of oil may result in a decrease in downhole drilling and adversely impact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in China are subject to unique risks and uncertainties, including political changes, tariffs and trade restrictions.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unique risks including, but not limited to, changes in local regulatory requirements, changes in labor laws, local wage laws, environmental regulations, taxes and operating licenses, compliance with U.S. regulatory requirements, including the Foreign Corrupt Practices Act, uncertainties as to the application and interpretation of local laws and enforcement of contract and intellectual property rights, currency restrictions, currency exchange controls, fluctuations in the value of currency to the U.S. dollar and currency revaluations, eminent domain claims, civil unrest, power outages, water shortages, labor shortages, labor disputes, increase in labor costs, rapid changes in government, economic and political policies, political or civil unrest, war, acts of terrorism, or the threat of boycotts, other civil disturbances, the impact of the imposition of tariffs by the U.S. Government on products that we manufacture or purchase in China as well as any retaliating trade policies or restrictions, and an outbreak of a contagious disease variant, related to COVID-19 or not, which may cause us or our suppliers and/or customers to temporarily suspend operations in the affected city or region. Any such disruptions could depress our earnings and have other material adverse effects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decline in demand for products using our batteries or communications systems could reduce demand for our products and/or our products could become obsolete resulting in lower revenues and profitability.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business depends on the continued demand for products using our batteries and communications systems sold by our customers, including OEMs. Our success depends significantly upon the success of those customers’ products in the marketplace. We are subject to many risks beyond our control that influence the success or failure of a particular product or service offered by a customer, including:</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faced by the customer in its industry,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the customer’s product or service,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sales, marketing and management capabilities of the customer,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unrelated to our technology or products faced by the customer in developing its products or services,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resources of the customer.</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products is characterized by rapidly changing technology and evolving industry standards, often resulting in product obsolescence or short product lifecycles. Although we believe that our products utilize state-of-the-art technology and that the costs associated with change could be prohibitive in terms of costs and time, there can be no assurance that competitors will not develop technologies or products that could render our technologies and products obsolete or less marketable. Many of the companies with which we compete have substantially greater resources than we do, and some have the capacity and volume of business to be able to produce their products more efficiently than we can. In addition, these companies are developing or have developed products using a variety of technologies that are expected to compete with our technologies. Furthermore, we have noted an increase in foreign competition, especially in Asia, over the last several years, which tends to compete on price in the battery industry, yet poor quality and the impact of tariffs could mitigate their progress. If these companies are more successful than we are in marketing their products and penetrating end markets, this may reduce our revenues and operating income and could have other material adverse effects on our business, financial condition and results of operations.</w:t>
      </w:r>
    </w:p>
    <w:p>
      <w:pPr>
        <w:spacing w:after="0" w:line="19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certain safety risks, including the risk of fire or explosion, inherent in the manufacture, use and transportation of Lithium batteries. These risks also create the potential for claims against the Company, which can have a negative impact on our financial results.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high energy inherent in Lithium batteries, our Lithium batteries can pose certain safety risks, including the risk of fire. We incorporate procedures in research, development, product design, manufacturing processes and the transportation of Lithium batteries that are intended to reduce safety risks, but we cannot assure that accidents will not occur or that our products will not be subject to recall for safety concerns. Although we currently carry insurance policies which cover loss of plant and equipment, leasehold improvements, inventory and business interruption, any accident, whether at our manufacturing facilities or from the use and transportation of our products, may result in significant production delays or claims for damages resulting from injuries or death. While we maintain what we believe to be sufficient casualty liability coverage to protect against such occurrences, these types of losses could reduce our available cash and our operating and net income and have other material adverse effects on our reputation, business, financial condition and results of operation.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quarterly and annual results and the price of our common stock have and could in the future continue to fluctuate significantly.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future operating results and the price of our common stock may vary significantly from quarter-to-quarter and from year-to-year depending on factors such as the timing and shipment of significant orders, new product introductions, the transition of new products to higher-volume production, major project wins, U.S. and foreign government demand, delays in customer releases of purchase orders, delays in receiving raw materials from vendors and other supply-chain disruptions, the mix of distribution channels through which we sell our products and services, general economic conditions and incurrence of one-time costs. Due to such variances in operating results, we have sometimes failed to meet, and in the future may not meet, market expectations regarding our future operating results.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uncertainties of quarterly and annual operating results, future announcements concerning us or our competitors, including technological innovations or commercial products, litigation or public concerns as to the safety or commercial value of one or more of our products, or the impact of economic or geopolitical factors on any of the markets segments in which we participate may cause the market price of our common stock to fluctuate substantially, all of which may be unrelated to our operating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purchases may not meet the volume expectations in our supply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most of our products and services through supply agreements and contracts. While supply agreements and contracts contain volume-based pricing based on expected volumes, we cannot assure that adjustments to reflect volume shortfalls will be made under current industry practices because pricing is rarely adjusted retroactively when contract volumes are not achieved. Every effort is made to adjust future prices accordingly, but our ability to adjust prices is generally based on market conditions that may change quickly and we may not be able to adjust prices in various circumstances. This could have an adverse impact in the form of reduced revenues or lower margins.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Rising interest rates will increase the cost of our borrowing and will affect our earnings adversely.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Agreement, among other things, provides for a 5-year, $55,000 senior secured term loan (the “Term Loan Facility”) and a $30,000 senior secured revolving credit facility (the “Revolving Credit Facility”, and together with the Term Loan Facility, the “Credit Facilities”).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closing of the acquisition of Electrochem on October 31, 2024, the Credit Facilities became effective to fund the acquisition and the related closing costs. As of December 31, 2025, the Company had $50,250 of outstanding principal on the Term Loan Facility, of which $4,125 is due to be paid in 2026 and included in current portion of long-term debt on the balance sheet, and no outstanding balance on the Revolving Credit Facility. The related interest rates on our borrowings are variable as disclosed in Note 3 to our Consolidated Financial Statements contained in Item 8 of this Form 10-K. From time to time, funds which would have been otherwise used to pay down debt, have been used to purchase raw material and component inventory to satisfy commitments to our customers in light of our backlog and continued demand for our products as well as strategic capital expenditures to improve our gross margins. Accordingly, any increase in interest rates will adversely impact the Company’s financial results, perhaps materially.</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Any inability to comply with changes to the regulations for the shipment of our products could limit our ability to transport our products to customers in a cost-effective manner and reduce our operating income and margins.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transportation of Lithium batteries is regulated by the International Civil Aviation Organization (“ICAO”) and corresponding International Air Transport Association (“IATA”) Dangerous Goods Regulations and the International Maritime Dangerous Goods Code (“IMDG”) and in the U.S. by the Department of Transportation’s Pipeline and Hazardous Materials Safety Administration (“PHMSA”). These regulations are based on the United Nations Recommendations on the Transport of Dangerous Goods Model Regulations and the United Nations Manual of Tests and Criteria. We currently ship our products pursuant to ICAO, IATA and PHMSA hazardous goods regulations. These regulations require companies to meet certain testing, packaging, labeling and shipping specifications for safety reasons. We have not incurred, and do not expect to incur, any significant costs to comply with these regulations. We believe we materially comply with all current U.S. and international regulations for the shipment of our products, and we intend and expect to comply with any new regulations that are imposed. We have established our own testing facilities to ensure that we materially comply with these regulations. If, however, we are unable to comply with any such new regulations, or if regulations are introduced that limit our ability to transport our products to customers in a cost-effective manner, this could reduce our operating income and margins, and have other material adverse effects on our business, financial condition and results of operations.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entrance into new markets could lead to additional exposure to financial risk or increased liability, and our failure to successfully enter into those markets could lead to negative customer perception or loss of business from existing customers.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new products, supporting our commercial diversification strategy will likely result in the introduction of our products in new end markets that we have not participated in before. These new market opportunities may carry certain risks that we may not have experienced in the past or that we may not be fully aware of. While we perform extensive due diligence in the launch of our products in new end markets and attempt to mitigate our risks with our contracts and insurance coverage, we may not be fully aware of the risks that may exist until we gain more experience in these markets.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 result of litigation or claims, currently known or unknown, we could experience negative optics in the market, disruptive demand on our management and staff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time, and increased costs.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global company operating in diverse markets, Ultralife faces the risks of litigation and claims. While we have mitigated the overall financial risks with a comprehensive global insurance program which is closely monitored and renewed annually, the internal cost of management and staff time could impact our efforts spent on product development and growth opportunities.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potential of future pandemics could create significant economic and social disruption and uncertainty around the world, may impact the health of our employees, the employees of our customers, and the employees of our suppliers, causing delays in the manufacture and delivery of our mission critical products to end customers, and may disrupt business with our collaborative business partners and service providers, which may continue to adversely impact our business and operating results.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coronavirus disease of 2019 (COVID-19) created significant economic disruption and uncertainty around the world. The potential of future pandemics could create similar situations.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significant costs or liabilities to satisfy obligations under the terms of the warranties we supply and the contractual terms under which we sell our products and services.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and have historically been minimal. There is no assurance that future warranty claims will be consistent with our past experience and estimates, and in the event we experience a significant increase in warranty claims, there is no assurance that our reserves will be sufficient to cover such increased warranty claims. Excessive warranty claims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Negative publicity concerning Lithium-ion batteries may adversely impact the industries or markets in which we operate.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unable to predict the impact, severity or duration of negative publicity related to fire/mishandling of Lithium-ion batteries or the environmental impact of their disposal, and how it may impact the industries or markets we serve. Ongoing negative attention regarding Lithium-ion batteries that are used in certain cellular phones or are integrated into the power systems of new commercial aircraft and electric motor vehicles may have an impact on the entire Lithium-ion battery industry, regardless of the design or usage of those batteries. The effects of such events could reduce demand for our products and have an adverse effect on our business, financial condition, and results of operations.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the contract rules and procedures of the U.S. and foreign governments. These rules and procedures create significant risks and uncertainties for us that are not usually present in contracts with private parties.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develop battery products and communications systems to meet the needs of the U.S. and foreign governments. We compete in solicitations for awards of contracts from these governments. The receipt of an award, however, does not always result in the immediate release of an order and does not guarantee in any way any given volume of orders. Any delay of solicitations or anticipated purchase orders by, or future failure of, the U.S. or foreign governments to purchase products manufactured by us could have a material adverse effect on our business, financial condition and results of operations. In these scenarios we are also typically required to successfully meet contractual specifications and to pass various qualification tests for the products under contract. Our inability to pass these tests in a timely fashion, or to meet delivery schedules for orders released under contract, could have a material adverse effect on our business, financial condition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when a U.S. government contract is awarded, there is a government procedure that permits unsuccessful companies to formally protest such award if they believe they were unjustly treated in the evaluation process. As a result of these protests, the government is precluded from proceeding under these contracts until the protests are resolved. A prolonged delay in the resolution of a protest, or a reversal of an award resulting from such a protest could have material adverse effects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foreign currency fluctuations.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manufacturing operations in North America, the United Kingdom and China, and we export products to various countries. We purchase materials and sell our products in foreign currencies, and therefore currency fluctuations have impacted and may in the future impact our pricing of products sold and materials purchased. Sales to non-U.S. customers make up a significant percentage of our total revenues. For example, the percentage of our business with customers outside of the U.S. was 28% in 2025 and 41% in 2024. A future strengthening of the U.S. dollar relative to our customers’ currencies could make our products relatively more expensive and may adversely affect our sales levels and reduce profitability. In addition, our United Kingdom and China subsidiaries maintain their books in local currency and their translation to U.S. dollars for our consolidated financial statements have and may in the future have an adverse effect on our consolidated financial results due to changes in local currency values relative to the U.S. dollar. With the rapid pace of geopolitical events, it is difficult to assess any future impact of currency fluctuation on the Company’s financial results, despite our proactive efforts to minimize the short-term risks of currency fluctuations. Accordingly, currency fluctuations could have a material adverse effect on our business, financial condition and results of operations by increasing our expenses and reducing our income. Finally, we maintain certain domestic U.S. cash balances denominated in foreign currencies, and the U.S. dollar equivalent of these balances fluctuates with changes in the foreign exchange rates between these currencies and the U.S. dollar.</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ability to use our net operating loss and tax credit carryforwards in the future may be limited, which could increase our tax liabilities and reduce our cash flow and net income.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we had approximately $8,800 of federal net operating loss carryforwards, $5,100 of state net operating loss carryforwards and $3,400 of federal general business tax credit carryforwards available to offset future taxable income. We continually assess the carrying value of these assets based on the relevant accounting standards. Based on our latest assessment at December 31, 2025, we believe it is more likely than not that our U.S. deferred tax assets will be fully realized. However, failure to achieve our business targets could result in future charges to our income tax provision if any of the net operating loss or tax credit carryforwards are not utilized. See discussion in Management’s Discussion and Analysis of Financial Condition and Results of Operations beginning on page 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3" w:name="page24"/>
    <w:bookmarkEnd w:id="2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 finding that our proprietary and intellectual property rights are not enforceable or invalid could allow our competitors and others to produce competing products based on our proprietary and intellectual property or limit our ability to manufacture and market our products, without significant, costly alterations.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depends more on the knowledge, ability, experience and technological expertise of our employees than on the legal protection of patents and other proprietary rights. However, we claim proprietary rights in various unpatented technologies, know-how, trade secrets and trademarks relating to our products and manufacturing processes. We cannot guarantee the degree of protection these various rights will afford, or that competitors will not independently develop, patent or license technologies that are substantially equivalent or superior to our technologies. We also protect our proprietary rights in our products and operations through contractual obligations, including nondisclosure agreements with certain employees, customers, consultants and strategic partners. There can be no assurance as to the degree of protection these contractual measures will afford. We have had patents issued and have patent applications pending in the U.S. and elsewhere. We cannot assure (1) that patents will be issued from any of these pending applications, or that the claims allowed under any issued patents will sufficiently protect our technology, (2) that any patents issued to us will not be challenged, invalidated or circumvented, or (3) as to the degree or adequacy of protection that any patents will afford. Further, if we are found to be infringing upon third party patents, we cannot assure that we will not be subjected to significant liability for damages or that we will be able to obtain licenses with respect to such patents on acceptable terms, if at all. In this event, the failure to obtain necessary licenses could delay product shipments or the introduction of new products, and costly attempts to design around such patents could foreclose the development, manufacture or sale of products, all of which could materially adversely affect our business and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Compliance with government regulations regarding the use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may result in increased costs and risks to the Company.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Dodd-Frank Wall Street Reform and Consumer Protection Act of 2010 (the "Dodd-Frank Act"), the SEC has promulgated disclosure requirements regarding the use of certain minerals, which are mined from the Democratic Republic of Congo and adjoining countries, known as conflict minerals. We are required to perform due diligence inquiries of our supply chain and publicly disclose whether we manufacture (as defined in the Dodd Frank Act) any products that contain conflict minerals and could incur significant costs related to implementing a process that will meet the mandates of the Act. Additionally, customers typically rely on us to provide critical data regarding the parts they purchase, including conflict mineral information. Our material sourcing is broad-based and multi-tiered, and we may not be able to easily verify the origins for conflict minerals used in the products we sell. We have many suppliers, and each provides conflict mineral information in a different manner, if at all. Accordingly, because our supply chain is complex, we may face reputational challenges if we are unable to sufficiently verify the origins of conflict minerals used in our products. Additionally, customers may demand that the products they purchase be free of conflict minerals. Such demands may limit the number of suppliers that can provide products in sufficient quantities to meet customer demand or at competitive prices. Any of these consequences may increase our costs of operations, decrease our margins and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impairment of goodwill and/or other indefinite-lived intangible assets could adversely impact our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goodwill and other indefinite-lived intangible assets are subject to impairment testing on an annual basis. Additionally, goodwill and other indefinite-lived intangible assets are assessed for impairment whenever events and circumstances indicate that impairment may exist. Any excess carrying value of goodwill and/or other intangible assets resulting from an impairment assessment must be written off in the period of determination. For example, in October 2025 Ultralife decided to undergo a comprehensive rebranding initiative that consolidates all sub-brands under a singular, unified master brand – Ultralife. To this end, the Accutronics, Southwest Electronic Energy, Excell Battery, McDowell Research and AMTI brands will no longer be emphasized. The Electrochem brand will remain, but as a product brand on select primary cells. This transformation positions Ultralife for stronger market impact as we continue to lead in mission critical battery and RF power solutions. This rebranding initiative had a non-cash impact of $12,181 to reduce the value of our tradename and trademark intangible assets recorded during our 2025 fourth quarter.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may acquire a business which will require us to record goodwill and/or other indefinite-lived intangible assets based on the allocation of the total consideration transferred to consummate the acquisition to the identified tangible and intangible assets acquired and liabilities assumed based on their respective estimated fair values. We may subsequently experience unforeseen circumstances related to past or future acquisitions which may adversely impact the forecasted cash flows or other assumptions used to value these assets. Future determinations that the estimated fair value of our goodwill and/or indefinite-lived intangible assets is less than their respective carrying values may result in significant (non-cash) impairment charges which could have a material adverse impact on our future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We may incur significant costs because of known and unknown environmental factors.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National, state and local laws impose various environmental controls on the manufacture, transportation, storage, use and disposal of batteries and of certain chemicals used in the manufacture of batteries. We use and generate a variety of chemicals and other hazardous by-products in our manufacturing operations. These environmental laws govern, among other things, air emissions, wastewater discharges and the handling, storage and release of wastes and hazardous substances. Such laws and regulations can be complex and are subject to change. Although we believe that our operations are in substantial compliance with current environmental regulations and that there are no environmental conditions that will require material expenditures for clean up at our present or former facilities or at facilities to which we have sent waste for disposal, there can be no assurance that changes in such laws and regulations will not impose costly compliance requirements on us or otherwise subject us to future liabilities. There can be no assurance that additional or modified regulations relating to the manufacture, transportation, storage, use and disposal of materials used to manufacture our batteries or restricting disposal of batteries will not be imposed, or as to how these regulations will affect us or our customers. Such changes in regulations could reduce our operating income and margins and have other material adverse effects on our business, financial condition and results of operations. We could incur substantial costs as a result of violations of environmental laws, including clean-up costs, fines and sanctions and third-party property damage or personal injury claims. Failure to comply with environmental requirements could also result in enforcement actions that assess penalties and materially limit or otherwise affect the operations of the facilities involved. Under certain environmental laws, a current or previous owner or operator of an environmentally contaminated site may be held liable for the entire cost of investigation, removal or remediation of hazardous materials at such property. This liability could result whether or not the owner or operator knew of, or was responsible for, the presence of any hazardous materials.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RoHS Directive places restrictions on the use of certain hazardous substances in electrical and electronic equipment. All applicable products sold in the European Union market after July 1, 2006, must comply with EU RoHS Directive. While this directive does not apply to batteries and does not currently affect our defense products, should any changes occur in the directive that would affect our products, we intend and expect to comply with any such new regulations that may be imposed. Our commercial chargers comply with this directive. Additional European Union directives, entitled the Waste Electrical and Electronic Equipment (“WEEE”) Directive and the Directive "on batteries and accumulators and waste batteries and accumulators", impose regulations affecting our non-defense products. These directives require producers or importers of particular classes of electrical goods to be financially responsible for specified collection, recycling, treatment and disposal of past and future covered products. These directives assign levels of responsibility to companies doing business in European Union markets based on their relative market share. These directives call on each European Union member state to enact enabling legislation to implement the directive. As additional European Union member states pass enabling legislation, our compliance system should be sufficient to meet such requirements.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Battery Directive is intended to cover all types of batteries regardless of their shape, volume, weight, material composition or use. It is aimed at reducing mercury, cadmium, lead and other metals in the environment by minimizing the use of these substances in batteries and by treating and re-using old batteries. This directive applies to all types of batteries except those used to protect European member states’ security, for military purposes, or sent into space. To achieve these objectives, the EU Battery Directive prohibits the marketing of some batteries containing hazardous substances. It establishes processes aimed at high levels of collection and recycling of batteries with quantified collection and recycling targets. The directive sets out minimum rules for producer responsibility and provisions regarding labeling of batteries and their removability from equipment. Product markings are required for batteries and accumulators to provide information on capacity and to facilitate reuse and safe disposal. We currently ship our products pursuant to the requirements of the directive. Our current estimated costs associated with our compliance with these directives based on our current market share are not significant. However, we continue to evaluate the impact of these directives as European Union member states implement guidance, and actual costs could differ from our current estimates.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China RoHS 2 directive provides a regulatory framework, including hazardous substance restrictions which are similar to those imposed by the EU RoHS Directive, and applies to methods for the control and reduction of pollution and other public hazards to the environment caused during the production, sale, and import of EEP in China affecting a broad range of electronic products and parts. The regulatory framework of China RoHS 2 also now references the updated marking and labeling requirements under Standard SJ/T 11364-2014. The methods required by China RoHS 2 only apply to EEP placed in the marketplace in China. We believe our compliance system is sufficient to meet our requirements under China RoHS 2. Our current estimated costs associated with our compliance with this regulation based on our current market share are not significant. However, we continue to evaluate the impact of this regulation, and actual costs could differ from our current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Several domestic and international communities have passed laws prohibiting the landfill disposal of batteries and requiring companies to make provisions for product recycling. Of note are the EU Batteries Directive and the New York State Rechargeable Battery Recycling Law. We are committed to responsible product stewardship and ongoing compliance with these and future statutes and regulations. The compliance costs associated with current recycling statutes and regulations are not expected to be significant at this time. However, we continue to evaluate the impact of these regulations, and actual costs could differ from our current estimates and additional laws could be enacted by these and other states which entail greater costs of compliance.</w:t>
      </w:r>
    </w:p>
    <w:p>
      <w:pPr>
        <w:spacing w:after="0" w:line="18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U.S. and foreign governments can audit our contracts with their respective defense and government agencies and, under certain circumstances, can adjust the economic terms, delivery schedule or other terms of those contracts.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business comes from sales of products and services to the U.S. and foreign governments through various contracts. These contracts are subject to procurement laws and regulations that lay out policies and procedures for acquiring goods and services. The procurement laws and regulations also contain guidelines for managing contracts after they are awarded, including conditions under which contracts may be terminated, in whole or in part, at the government’s convenience or for default. Failure to comply with the procurement laws or regulations can result in civil, criminal or administrative proceedings involving fines, penalties, suspension of payments, or suspension or disbarment from government contracting or subcontracting for a period of time, which could have a material adverse effect on the Company.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and results of operations could be adversely affected by violations of the U.S. Foreign Corrupt Practices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FCPA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U.K. Bribery Act or other anti-corruption laws.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FCPA, U.K. Bribery Act and other anti-corruption laws generally prohibit companies and their intermediaries from making improper payments (to foreign officials and otherwise) and require companies to keep accurate books and records and maintain appropriate internal controls. Our training program and policies mandate compliance with such laws. We operate in some parts of the world that have experienced governmental corruption to some degree, and, in certain circumstances, strict compliance with anti-bribery laws may conflict with local customs and practices. If we are found to be liable for violations of anti-corruption laws (either due to our own acts or our inadvertence, or due to the acts or inadvertence of others, including employees of our third-party partners or agents), we could suffer from civil and criminal penalties or other sanctions, incur significant internal investigation costs and suffer reputational harm. Such circumstances, if they occur, could have a material adverse impact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Securing the Company's IT systems is integral and foundational to its everyday operations. The Company’s Security Steering Committee is comprised of cross-functional executive management team members that individually have expertise in their functional areas on a global basis and that collectively possess a high level of cybersecurity and technology operations expertise. The mission of our Security Steering Committee is to focus on defining and deploying its information security strategy, sustaining a robust employee cybersecurity awareness and training program, executing security engineering, providing continuous monitoring of the Company’s information security strategy, responding and coordinating the response and investigation of cyber threats, building and testing its disaster recovery plans in support of its businesses’ continuity plan requirements, and developing its cyber and information security policies.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strategy is based on recognized best practices, standards, and frameworks for cybersecurity and information technology, including the Center for Information Security ("CIS") Controls and National Institute of Standards and Technology ("NIST"). The strategy focuses on implementing technologies, controls, and processes to constantly monitor, identify, assess, and manage cybersecurity risks.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cybersecurity program includes exercises and trainings designed to sustain a high level of cybersecurity awareness and readiness across our employee base. The Company also has a cybersecurity incident response plan that is designed to provide a framework across all functions for a coordinated identification and response to security incidents.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engages leading cybersecurity firms to assist with its security engineering and operations; provide independent evaluations of its security posture through regular assessments; and to audit and provide advice on how to make its security processes and controls more effective.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third-party service providers to perform a variety of functions to assist in operating its business. The cybersecurity risks associated with the use of certain providers are covered under a vendor management process. Depending on the nature of the services provided and the sensitivity and/or quantity of information processed, the vendor management process may include reviewing cybersecurity practices of these providers, contractually imposing obligations on the provider, inspecting independently audited reports, and/or conducting its own security assessments of their services.</w:t>
      </w:r>
    </w:p>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ultimate oversight of the Company’s cybersecurity risk. Management updates the Board of Directors on the Company's cybersecurity and information security posture at least quarterly at the Company’s Board meetings, or more frequently as determined to be necessary or advisable. These updates include a review of cybersecurity incidents determined to have a moderate to high business impact, even if immaterial to the Company as a whole. The Audit Committee has responsibility for assisting the Board in the review and oversight of risks affecting the Company, and oversees the enterprise risk management process, which includes, with the assistance of senior management, assessing the Company’s exposure to cybersecurity risk and the effectiveness of the Company’s processes and controls to address and respond to those risks. Management is responsible for hiring appropriate personnel, integrating cybersecurity considerations into the Company’s overall risk management strategy, and for communicating key priorities to employees, as well as for approving budgets, helping prepare for cybersecurity incidents, approving cybersecurity processes, and reviewing security assessments and other security-related reports.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focus and emphasis on cybersecurity, the Company has experienced and will continue to experience cybersecurity incidents, and there can be no guarantee that future incidents will not have a material adverse effect on its business. See Risk Factor “</w:t>
      </w:r>
      <w:r>
        <w:rPr>
          <w:rFonts w:ascii="Times New Roman" w:cs="Times New Roman" w:eastAsia="Times New Roman" w:hAnsi="Times New Roman"/>
          <w:sz w:val="18"/>
          <w:szCs w:val="18"/>
          <w:i w:val="1"/>
          <w:iCs w:val="1"/>
          <w:color w:val="auto"/>
        </w:rPr>
        <w:t>Breaches in security, whether cyber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physical, and related disruptions and/or our inability to prevent or respond to such breaches, has previously, and in the future could diminish our ability to generate revenues or contain costs, compromise our assets, and negatively impact our business in other ways</w:t>
      </w:r>
      <w:r>
        <w:rPr>
          <w:rFonts w:ascii="Times New Roman" w:cs="Times New Roman" w:eastAsia="Times New Roman" w:hAnsi="Times New Roman"/>
          <w:sz w:val="18"/>
          <w:szCs w:val="18"/>
          <w:color w:val="auto"/>
        </w:rPr>
        <w:t>" for more information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risks and a January 25, 2023 cybersecurity incident.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we own two buildings in Newark, New York comprising approximately 250,000 square feet, which serve operations primarily in the Battery &amp; Energy Products operating segment. Our corporate headquarters are located in our Newark, New York facility. We own one building in Missouri City, Texas comprising 69,000 square feet, which houses our Ultralife Houston operations and one building in Raynham, Massachusetts comprising 82,000 square feet, which houses our Ultralife Raynham operations, and lease approximately 97,000 square feet in two buildings on one campus in Shenzhen, China, including a dormitory facility, approximately 25,000 square feet in six buildings in a contiguous area in Newcastle-under-Lyme, United Kingdom, and approximately 10,000 square feet in a facility for our Ultralife Canada operations located in Calgary, all which serve operations in the Battery &amp; Energy Products operating segment. We lease approximately 32,500 square feet in a facility in Virginia Beach, Virginia, which serves operations in the Communications Systems operating segment. We also lease sales and administrative offices, as well as manufacturing and production facilities, in India, which serve operations in the Battery &amp; Energy Products operating segment. Our research and development efforts for Battery &amp; Energy Products are conducted at our Newark, New York; Missouri City, Texas; Raynham, Massachusetts; Newcastle-under-Lyme, United Kingdom; Shenzhen, China; and our Canada facilities, while our research and development efforts for our Communications Systems products are conducted in our leased facilities in Tallahassee, Florida and in Virginia Beach, Virginia. We believe that our facilities are adequate and suitable for our current needs and provide sufficient capacity to produce our products to meet current demand.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Ultralife’s common stock is listed on the NASDAQ Global Market under the symbol “ULBI.”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9, 2026, there were approximately 5,800 registered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purchases of our common stock by the Company during the years ended December 31,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Pursuant to our current credit facility, we are precluded from paying any dividends. We intend to retain earnings, if any, to finance future operations and expansion and, therefore, do not anticipate paying any cash dividends in the foreseeable future. Any future payment of dividends will depend upon our financial condition, capital requirements and earnings, as well as upon other factors that our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the related Notes thereto appearing in Item 8 of this Form 10-K.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in this Management’s Discussion and Analysis of Financial Condition and Results of Operations (“MD&amp;A”) is presented in thousands of dollars, except for share and per share amounts. This MD&amp;A includes forward-looking statements that involve risks and uncertainties; actual results may differ materially. See “Forward-Looking Statements” and Item 1A –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figures presented below represent results from continuing operations, unless otherwise specified.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manufacture, install and maintain power and communications systems including rechargeable and non-rechargeable batteries, communications and electronics systems and accessories and custom engineered systems. We sell our products internationally through a variety of trade channels, including original equipment manufacturers (“OEMs”), industrial and defense supply distributors and directly to U.S. and international defense departments.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segment contribution level, as defined by gross profit less direct selling, general and administrative (“SG&amp;A”) and research and development expenses, is the best indicator of segment performance. This metric is used as a consistent benchmark for comparison across reporting periods. 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operating segments. As such, we report segment performance at the contribution level and Corporate G&amp;A expenses as Corporate charges.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ways to grow, including opportunities to expand through mergers, acquisitions and joint ventures, which we believe can broaden the scope of our products and services, expand operating and market opportunities and provide the ability to enter new lines of business synergistic with our portfolio of product offerings.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2016, we acquired Accutronics Limited (“Accutronics”), a U.K. corporation based in Newcastle-under-Lyme, U.K., a leading independent designer and manufacturer of smart batteries and charger systems for high-performance, feature-laden portable and handheld electronic devices. Our acquisition of Accutronics advanced our strategy of commercial revenue diversification, expanded our geographic penetration, and achieved revenue growth from new product development.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 2019, we acquired Southwest Electronic Energy Corporation, a Texas corporation (“SWE”), and a leading designer and manufacturer of high-performance smart battery systems and battery packs to customer specifications using Lithium cells. SWE serves a variety of industrial markets, including oil and gas, remote monitoring, process control and marine, which demand uncompromised safety, service, reliability and quality. We acquired SWE as a bolt-on acquisition which has supported our strategy of commercial revenue diversification by providing entry to the oil and gas exploration and production, and subsea electrification markets, which were previously unserved by us. Another key benefit has been obtaining a highly valuable technical team of battery pack and charger system engineers and technicians which has added to our new product development based revenue growth initiatives in our commercial end-markets particularly asset tracking, smart metering and other industrial applications.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13, 2021, we acquired Excell Battery Canada Inc., a British Columbia corporation (“Excell Canada”) and 656700 B.C. Ltd., a British Columbia corporation (“656700”) and its wholly owned subsidiary, Excell Battery Corporation USA, a Texas corporation (“Excell USA” together with Excell Canada and 656700, collectively, “Excell”), which operate under the name Excell Battery Group. Based in Canada with U.S. operations, the Excell Battery Group is a leading independent designer and manufacturer of high-performance smart battery systems, battery packs and monitoring systems to customer specifications. Excell serves a variety of industrial markets including downhole drilling, OEM industrial and medical devices, automated meter reading, and mining, marine and other mission critical applications which demand uncompromised safety, service, reliability and quality. We acquired Excell as an important component of our strategy to diversify commercial revenue and expand the end markets we serve. Acquiring Excell has allowed us to further scale our Battery &amp; Energy Products business and drive the operating leverage of our business model, expand into OEM device verticals that we did not previously serve, enhance our contributed value to our customers and realize cost synergies. Furthermore, we utilize Excell’s experienced technical resources in our global new product initiatives and add a complementary line of highly engineered products, both existing and in development, that are costly for our customers to substitute with products of a competitor.</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31, 2024, we acquired Electrochem Solutions, Inc, a Massachusetts corporation (“Electrochem”). Based in Raynham, Massachusetts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creates opportunities for gross margin expansion through the realization of manufacturing cost efficiencies, U.S.-based vertical integration, supply chain and lean initiatives. Electrochem primarily services a blue-chip customer base which has little or no overlap with Ultralife’s other customers, has long-tenured technical resources which we are utilizing in advancing our global new product initiatives, and has a complimentary portfolio of highly engineered Thionyl, Sulfuryl and Bromine Chloride cells and packs which can be commercially cost prohibitive to substitute or switch out. We believe this acquisition has created highly attractive opportunities to drive revenue growth through heightened cross-selling activities and extends our reach into underserved adjacent markets that demand uncompromised safety, service, reliability and quality. Furthermore, with Electrochem we are increasing our value to our customers and significantly strengthening our competitive position in our end markets.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we do not experience significant seasonal sales trends in either of our operating segments, although sales to the U.S. Department of Defense and other international defense organizations can be sporadic based on the needs of those particular customers and allocated funding levels.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Consolidated revenues increased by $26,703 or 16.2% to $191,159 for the year ended December 31, 2025, compared to $164,456 for the year ended December 31, 2024. Revenues for 2024 include $6,062 for Electrochem which was acquired on October 31, 2024. Consolidated revenues for 2025 and 2024 excluding Electrochem were $158,560 and $158,394, respectively. During 2025, we experienced organic revenue growth, excluding Electrochem, of 5.4% for our Battery &amp; Energy Products business and a revenue decline of 35.6% for our Communications Systems business. Our consolidated 2025 performance reflected a $23,213 or 22.7% increase in sales to our commercial customers and a $3,490 or 5.6% increase in sales to government and defense customers. Excluding Electrochem, our commercial sales declined $3,324 from $96,020 in 2024 to $92,696 in 2025 resulting from declines of $4,755 or 12.5% in our oil &amp; gas business due primarily to the wavering oil indices reflective of economic and geo-political conditions and $3,040 or 8.6% in medical sales primarily reflecting the timing of sales to large global medical device OEM’s. These declines were partially offset by industrial and other commercial sales which increased $4,471 or 19.9%. The increase in government and defense sales reflects growth in Battery &amp; Energy Products sales of $10,748 or 25.6% from $41,999 in 2024 to $52,747 in 2025 representing higher demand from prime defense contractors, partially offset by a decline in Communications Systems sales of $7,258 or 35.6% from $20,375 in 2024 to $13,117 in 2025, primarily attributable to delays in the timing of purchase orders including the impact of the U.S. Government shutdown. Demand for our products remains strong with our 2025 year-end backlog of $110,223 representing 57.7% of 2025 revenues, a 22.1% increase over the backlog exiting the third quarter of 2025 of $90,273 and a 7.9% increase over the backlog exiting 2024 of $102,156.</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decreased to 24.1% for the year ended December 31, 2025, from 25.7% for the year ended December 31, 2024. The 160-basis point decline was due primarily to sales product mix reflecting lower oil &amp; gas cell pack, medical and Communications Systems sales, scrap on the transition of new products to higher production levels, quality issues on some incoming components impacting manufacturing operations, and lower factory throughput at some of our operations.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increased by $19,574 or 60.5% to $51,923 during the year ended December 31, 2025, compared to $32,349 during the year ended December 31, 2024. The increase is primarily attributable to the Company’s October 2025 decision to undergo a comprehensive rebranding initiative that consolidates all sub-brands under a singular, unified master brand – Ultralife. This move reflects our commitment to clarity, consistency and amplified brand equity across all markets. By streamlining our global identity, we aim to strengthen customer recognition, enhance operational efficiency and better align to our customers’ needs with a singular, powerful brand narrative. To this end, the Accutronics, Southwest Electronic Energy, Excell Battery, McDowell Research and AMTI brands will no longer be promoted. The Electrochem brand will remain, but as a product brand on select primary cells. This transformation positions Ultralife for ongoing growth and stronger market impact as we continue to lead in mission critical battery and RF power solutions. This rebranding initiative had a non-cash impact of $12,181 to reduce the value of our tradename and trademark intangible assets recorded during our 2025 fourth quarter. The increase also reflects the inclusion of Electrochem’s operating expenses for the full year compared to only two months in 2024 resulting in an increase of $3,713 and one-time costs relating to the acquisition and transition of Electrochem to Ultralife’s systems, the closure of two of our Canada-based operations, legal costs relating to our cyber insurance claim and certain consulting costs resulting in an increase of $1,580. Excluding the impairment charge from 2025 and the one-time costs from both periods, operating expenses were $36,951 or 19.3% of sales for 2025 compared to $31,077 or 18.9% for 2024, with the increase reflecting the full year impact of Electrochem and investments in new product development and sales and marketing to expedite organic growth. Both periods reflected continued tight control over discretionary spending.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55" w:lineRule="auto"/>
        <w:rPr>
          <w:sz w:val="20"/>
          <w:szCs w:val="20"/>
          <w:color w:val="auto"/>
        </w:rPr>
      </w:pPr>
      <w:r>
        <w:rPr>
          <w:rFonts w:ascii="Times New Roman" w:cs="Times New Roman" w:eastAsia="Times New Roman" w:hAnsi="Times New Roman"/>
          <w:sz w:val="18"/>
          <w:szCs w:val="18"/>
          <w:color w:val="auto"/>
        </w:rPr>
        <w:t>Other expenses totaled $2,496 for the year ended December 31, 2025, compared to $1,664 for the year ended December 31, 2024. Interest and financing expense increased $2,013, or 103.8%, from $1,940 for 2024 to $3,953 for the comparable period in 2025 resulting from the financing of the Electrochem acquisition on October 31, 2024. Miscellaneous income amounted to $1,457 for 2025 compared to $276 for 2024, primarily attributable to our expected $1,410 tax refund resulting from the 45X Advanced Manufacturing Production Tax Credit, established by the Inflation Reduction Act and running through 2032, for certain qualifying battery cells and packs we manufacture. Miscellaneous income in 2024 resulted from a payment of $235 from our insurance carrier pertaining to a ransomware cyberattack experienced by the Company in the first quarter of 2023. Both periods also reflect foreign exchange gains and losses due to fluctuations in foreign currency exchange rates.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provision was ($2,447) for the year ended December 31, 2025, compared to $1,892 for the year ended December 31, 2024. Our effective tax rate increased to 29.1% for the 2025 period as compared to 22.8% for the 2024 period, primarily attributable to the geographic mix in earnings and the nontaxable refundable 45X Advanced Manufacturing Production Credit.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 benefit for 2025 is comprised of a $94 current provision for taxes expected to be paid on income primarily for U.S. states and foreign jurisdictions and a ($2,541) deferred tax benefit primarily comprised of a ($2,743) deferred tax (benefit) related to the impairment of certain intangible assets in connection with the launch of our global rebranding initiative. For the comparable 2024 period, the income tax provision was comprised of a $660 current tax provision and a $1,232 deferred tax provision.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income attributable to Ultralife Corporation was ($5,898), or ($0.35) per share – basic and diluted on a GAAP basis for the year ended December 31, 2025, compared to $6,312, or $0.38 per share – basic and diluted for the year ended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defined as net income attributable to Ultralife Corporation before net interest expense, provision (benefit) for income taxes, depreciation and amortization, plus/minus income/expense that we do not consider reflective of our continuing operations, amounted to $17,284 for the year ended December 31, 2025, compared to $16,480 for the prior year. See the section “Adjusted EBITDA” beginning on page 32 for a reconciliation of adjusted EBITDA to net income attributable to Ultralife.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liquidity remains solid, with cash on hand of $9,345, working capital of $68,468 and a current ratio (current assets divided by current liabilities) of 2.8 as of December 31, 2025, as compared to cash on hand of $6,854, working capital of $67,869 and a current ratio of 3.3 as of December 31,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2025, we took a number of decisive actions to remove structural and manufacturing inefficiencies from our global operations as we advance several new products into qualification and production and capitalize on an expanding pipeline of opportunities consisting primarily of large, multi-year programs. These actions include the realignment of our four thionyl chloride/oil &amp; gas operations into one business within our Battery &amp; Energy Products segment focused on industrial, specialty and telemetry solutions in order to optimize synergies, deepen customer engagement and expand value propositions; the design of a master brand strategy uniting all acquired sub-brands under the Ultralife brand and aligning sales of the total Ultralife portfolio; and the completion of steps to strengthen the operational leadership at our two largest manufacturing facilities. While we were intensely focused on addressing operational improvements, strong order flow increased backlog to $110 million at the end of 2025, representing a 22% increase over the third quarter. As a result, we have greater confidence in our ability to deliver sustainable profitable growth and incremental cash flow in 2026 enabling us to reduce debt, support strategic capital expenditures, continue our investment in new product development and maximize the value of our global brand.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Consolidated</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the year ended December 31, 2024: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6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178,042</w:t>
            </w:r>
          </w:p>
        </w:tc>
        <w:tc>
          <w:tcPr>
            <w:tcW w:w="140" w:type="dxa"/>
            <w:vAlign w:val="bottom"/>
          </w:tcPr>
          <w:p>
            <w:pPr>
              <w:spacing w:after="0"/>
              <w:rPr>
                <w:sz w:val="18"/>
                <w:szCs w:val="18"/>
                <w:color w:val="auto"/>
              </w:rPr>
            </w:pPr>
          </w:p>
        </w:tc>
        <w:tc>
          <w:tcPr>
            <w:tcW w:w="4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144,081</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145,138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122,142</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Systems</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63"/>
        </w:trPr>
        <w:tc>
          <w:tcPr>
            <w:tcW w:w="55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Ultralife common shares – basic</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attributable to Ultralife common shares – diluted</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16,642,218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16,554,935</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16,642,218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16,767,132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Total revenues for the year ended December 31, 2025, amounted to $191,159, an increase of $26,703, or 16.2% from the $164,456 reported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2024. Overall, commercial sales of $125,295 increased $23,213 or 22.7% and government/defense sales of $65,864 increased $3,490 or 5.6%. Excluding Electrochem sales from both periods, sales increased $167 or 0.1% with Battery &amp; Energy Products sales increasing $7,424 or 5.4% and Communications Systems sales declining $7,258 or 35.6%.</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of $178,042 increased $33,961, or 23.6%, for the year ended December 31, 2025, over $144,081 for the prior year. Electrochem comprised $26,537 of this increase and core organic growth of $7,424 or 5.4% comprising the remainder. Commercial revenues of this business increased $23,213 or 22.7% from 2024 and now comprise 70.4% of total segment sales versus 70.9% last year. Excluding Electrochem, the $3,324 decrease in commercial sales resulted from a $4,755 or 12.5% reduction in oil &amp; gas sales due primarily to wavering oil indices reflective of economic and geo-political conditions and a $3,040 or 8.6% decline in medical sales due to timing of purchases from large global medical devices OEM’s, partially offset by a $4,471 or 19.9% increase in industrial and all other commercial sales. Government/Defense revenues increased $10,748 or 25.6% from 2024 and now comprise 29.6% of total segment sales versus 29.1% for 2024. The higher government/defense revenues reflects strong demand from the U.S. and allied countries which increased 20.9% and 92.9%, respectively, over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Variance drivers included commercial end market timing (oil &amp; gas and medical), changes in government/defense shipments, lower oil &amp; gas pack/medical sales volumes, and incoming materials quality impacts at certain sites.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Communications Systems revenues of $13,117 decreased $7,258 or 35.6% for the year ended December 31, 2025, as compared to $20,375 for the prior year. The decrease is primarily attributable to delays in the timing of purchase orders including the impact of the U.S. Government shutdown.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order backlog at December 31, 2025, was $110,223, an increase of $8,067 or 7.9% from the backlog at December 31, 2024, which was $102,156. For our Battery &amp; Energy Products business, the backlog increased $7,400 or 7.8% to $101,984, the highest level in the Company’s history for this segment, from $94,584. For our Communications Systems business, the backlog increased $667 or 8.8% to $8,239 from $7,572. The 2025 year-end backlog are primarily related to orders expected to ship in 2026.</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Products Sold and Gross Profit. </w:t>
      </w:r>
      <w:r>
        <w:rPr>
          <w:rFonts w:ascii="Times New Roman" w:cs="Times New Roman" w:eastAsia="Times New Roman" w:hAnsi="Times New Roman"/>
          <w:sz w:val="18"/>
          <w:szCs w:val="18"/>
          <w:color w:val="auto"/>
        </w:rPr>
        <w:t>Cost of products sold for the year ended December 31, 2025, increased $22,996 or 18.8% from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Consolidated cost of products sold as a percentage of total revenue increased from 74.3% for the year ended December 31, 2024, to 75.9% for the year ended December 31, 2025. Correspondingly, consolidated gross margin was 24.1% for the year ended December 31, 2025, compared with 25.7% for the year ended December 31, 2024. The 160-basis point decline was due primarily to sales product mix reflecting lower oil &amp; gas cell pack, medical and Communications Systems sales, scrap on the transition of new products to higher production levels, quality issues on some incoming components impacting manufacturing operations, and lower factory throughput at some of our operations.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our Battery &amp; Energy Products segment, the cost of products sold increased $27,638 or 25.6%, from the year ended December 31, 2024. Battery &amp; Energy Products’ gross profit for 2025 was $42,640 or 23.9% of revenues, an increase of $6,323 or 17.4% from gross profit of $36,317 or 25.2% of revenues for 2024. Battery &amp; Energy Products’ gross margin decreased for the year ended December 31, 2024 by 130 basis points from the prior year primarily due to product mix reflecting sales declines in higher margin oil &amp; gas pack and medical battery sales, manufacturing inefficiencies caused by quality issues associated with some incoming raw materials, and scrap on the transition of some products to higher production levels.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our Communications Systems segment, the cost of products sold decreased by $4,642 or 32.3% from the year ended December 31, 2024. Communications Systems’ gross profit for the year ended December 31, 2025, was $3,381 or 25.8% of revenues, a decrease of $2,616 or 43.6% from gross profit of $5,997 or 29.4% of revenues for the year ended December 31, 2024. The 360 basis point reduction from the prior year primarily results from lower factory throughput and sales mix.</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for the year ended December 31, 2025, increased $19,574 or 60.5% from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increase is primarily attributable to the Company’s October 2025 decision to undergo a comprehensive rebranding initiative that consolidates all sub-brands under a singular, unified master brand – Ultralife, which resulted in a non-cash write-off of $12,181 to eliminate the value of tradenames and trademark intangible assets that will no longer be emphasized going forward as a result of the rebranding. The increase also reflects the inclusion of Electrochem’s operating expenses for the full year compared to only two months in 2024 resulting in an increase of $3,713 and one-time costs relating to the acquisition and transition of Electrochem to Ultralife’s systems, the closure of two of our Canada-based operations, legal costs relating to our cyber insurance claim and certain consulting costs resulting in an increase of $1,580. Excluding the impairment charge from 2025 and the one-time costs from both periods, operating expenses were $36,951 or 19.3% of sales for 2025 compared to $31,077 or 18.9% for 2024, with the increase reflecting the full year impact of Electrochem and investments in new product development and sales and marketing to expedite organic growth. Both periods reflected continued tight control over discretionary spending.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operating expenses as a percentage of revenues was 27.2% for the year ended December 31, 2025, compared to 19.7% for the comparable 2024 period. In addition to the 2025 $12,181 intangible asset impairment charge related to our rebranding initiative, amortization expense associated with intangible assets related to our acquisitions increased to $1,518 for the year ended December 31, 2025 ($1,395 in selling, general and administrative expenses and $123 in research and development costs) from $1,032 for the year ended December 31, 2024 ($929 in selling, general and administrative expenses and $103 in research and development costs) as a result of the amortization periods of intangible assets associated with our acquisition of Electrochem on October 31, 2024. Research and development costs were $10,398 in 2025, an increase of $2,130 or 25.8%, from $8,268 reported in 2024. This increase is attributable to our acquisition of Electrochem which contributed $1,122 of the increase and additional investments in new product development. Selling, general, and administrative expenses increased $5,263 or 21.9% to $29,344 for the year-ended December 31, 2025, from $24,081 for the year ended December 31, 2024. The increase resulted from the full year inclusion of Electrochem which contributed $2,486, the increase in certain one-time, non-recurring expenses of $1,580 which include costs to close our Calgary facility, costs related to our acquisition of Electrochem and the related transition to Ultralife systems and litigation expenses for our cyber insurance claim, and the strengthening of our sales and marketing leadership team to expedite organic growth and further leverage our global brand and resources. We continued tight control over discretionary spending across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expenses totaled $2,496 for the year ended December 31, 2025, compared to $1,664 for the year ended December 31, 2024.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financing expense increased $2,013, or 103.8%, from $1,940 for 2024 to $3,953 for the comparable period in 2025 resulting from the financing of the Electrochem acquisition on October 31, 2024. Miscellaneous income amounted to $1,457 for 2025 compared to $276 for 2024, primarily attributable to our expected $1,410 tax refund resulting from the 45X Advanced Manufacturing Production Tax Credit, established by the Inflation Reduction Act and running through 2032, for certain qualifying battery cells and packs we manufacture. Miscellaneous income in 2024 resulted from a payment of $235 from our insurance carrier pertaining to a ransomware cyberattack experienced by the Company in the first quarter of 2023. Both periods also reflect foreign exchange gains and losses due to fluctuations in foreign currency exchange rates.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 (benefit) provision was ($2,447) for the year ended December 31, 2025, compared to $1,892 for the year ended December 31, 2024. Our effective tax rate increased to 29.1% for the 2025 period as compared to 22.8% for the 2024 period, primarily attributable to the geographic mix in earnings and the nontaxable refundable 45X Advanced Manufacturing Production Credit. The income tax benefit for 2025 is comprised of a $94 current provision for taxes expected to be paid on income primarily for U.S. states and foreign jurisdictions and a ($2,541) deferred tax (benefit) primarily comprised of a ($2,743) deferred tax (benefit) related to the impairment of certain intangible assets in connection with the launch of our global rebranding initiative. For the comparable 2024 period, the income tax provision was comprised of a $660 current tax provision and a $1,232 deferred tax provision.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income attributable to Ultralife Corporation was ($5,898), or ($0.35) per share – basic and diluted on a GAAP basis for the year ended December 31, 2025, compared to $6,312, or $0.38 per share – basic and diluted for the year ended December 31, 2024.</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Weighted average common shares outstanding used to compute diluted earnings per share decreased from 16,767,132 for the 2024 period to 16,642,218 for the 2025 period, primarily due to the loss for the 2025 period which resulted in there being no dilutive effect of our outstanding equity awards for the 2025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Financial Measures</w:t>
      </w:r>
    </w:p>
    <w:p>
      <w:pPr>
        <w:spacing w:after="0" w:line="184"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We use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including Adjusted EBITDA, to evaluate operating performance and to facilitate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comparisons. GAAP results are presented first and with equal or greater prominence than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We provide clear quantitative reconciliations to the most directly comparable GAAP measures and explain why we believe the measures are useful and how management uses them. We avoid adjustments that could be viewed as excluding normal, recurring cash operating expenses. See the accompanying reconciliations below for additional detail.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evaluating our business, we consider and use adjusted EBITDA, a non-GAAP financial measure, as a supplemental measure of our operating performance. We define adjusted EBITDA as net (loss) income attributable to Ultralife before net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(benefit) provision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(loss) income attributable to Ultralife, the most comparable financial measure under GAAP.</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(loss)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80" w:lineRule="exact"/>
        <w:rPr>
          <w:sz w:val="20"/>
          <w:szCs w:val="20"/>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(loss) attributable to Ultralife Corporation.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Ultralife Corporation</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3,953</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3,981</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12,181</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935</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other costs for plant closures</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641</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other non-recurring costs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w:t>
            </w: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purchase accounting adjustments</w:t>
            </w: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5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We monitor liquidity through cash balances, cash generated from operations, and availability under our revolving credit facility; we were in compliance with our debt covenants as of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and General Business Matters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cash totaled $9,345, an increase of $2,491 from $6,854 as of December 31, 2024, primarily attributable to EBITDA generated in 2025 and the timing of remittances from customers and payments to vendors.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cash generated from operations was $10,990, as compared to $16,636 for the year ended December 31, 2024. For the 2025 period, cash provided by our operations was comprised of net loss of $5,951 plus non-cash items totaling $16,339 for depreciation, amortization, stock-based compensation, and deferred taxes, and other non-cash operating expenses, plus $602 attributable to a reduction in working capital, driven primarily by the timing of collections and payments.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2025, was $3,872 for capital expenditures, primarily reflecting investments in equipment for new products transitioning to higher-volume manufacturing.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2025, was $4,676, primarily attributable to a $4,750 reduction in our outstanding debt and $24 of debt issuance costs paid, partially offset by $98 in cash generated from employee stock option exercise proceeds during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have significant federal net operating loss carryforwards and federal general business tax credit carryforwards available to utilize as an offset to taxable income. As of December 31, 2025, none of our federal net operating loss carryforwards and tax credit carryforwards have expired. See Note 7 to the consolidated financial statements included in Item 8 of this Form 10-K for additional information.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credit facilities will be sufficient to meet our obligations for both financing and investing.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$50,250 outstanding principal on the Term Loan, of which $4,125 is due to be paid in 2026, and no amounts outstanding on the Revolving Credit Facility. The Company is in full compliance with its debt covenants under the Credit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made commitments to purchase approximately $321 of production machinery and equipment.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Communications Systems products. Warranty costs expected to be incurred are estimated based on the Company’s experience and recorded as costs of products sold. There is no assurance that future warranty claims will be consistent with our estimates, and in the event we experience a significant increase in warranty claims, there is no assurance that our reserves will be sufficient. Excessive warranty claims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next 24 months, we expect estimated material cash requirements for debt service (interest and scheduled principal) of approximately $16,000 based on the requirements of our Credit and Security Agreement with interest rates at present levels and capital expenditures of approximately $8,000 - $9,000 based on completion of current projects, planned projects and historical trends. We believe available liquidity, expected operating cash flows, and revolving credit availability will be sufficient to meet these requirements as well as our purchase commitments, efficiency initiatives and other costs which will be aligned with our organic growth.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discussion and analysis of our financial condition and results of operations are based upon our consolidated financial statements, included in Item 8 of this Form 10-K, which have been prepared in accordance with GAAP. The preparation of our consolidated financial statements requires the application of accounting policies and the use of estimates. The accounting policies most important to the preparation of the consolidated financial statements and estimates that require management’s most difficult, subjective or complex judgments are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products. Extended warranties are treated as separate performance obligations and recognized to revenue evenly over the term of the respective contract. Revenue not yet recognized on extended warranty contracts is recorded as deferred revenue on the consolidated balance sheets.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customer contracts with an original expected duration of less than one year, we apply the practical expedient with respect to disclosure of the deferral and future expected timing of revenue recognition for transaction price allocated to remaining performance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of Inventory: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(“FIFO”) method. Our inventory includes raw materials, work in process and finished goods. We recognize provisions for excess, obsolete or slow-moving inventory. Inherent in our estimates of net realizable value in determining inventory valuation are assumptions related to expectations of future demand for our products, product lifecycles, product support, technical obsolescence, regulatory requirements, and economic and market conditions. Estimates related to the valuation of inventory are susceptible to changes as the underlying assumptions are continuously evaluated. If our assumptions are adversely different from those estimated by management, inventory adjustments to reduce inventory values would result in an increase in inventory write-offs and a decrease in gross margins.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Indefinite Lived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acquisition method of accounting,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other intangible assets with indefinite lives, but instead evaluate these assets for impairment at least annually and whenever events or circumstances indicate that impairment may exist.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the other intangible assets with an indefinite life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to not be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annual impairment test for goodwill and other indefinite-lived intangible assets as of October 1, 2025. We identified two (2) goodwill reporting units and five (5) indefinite-lived intangible assets for trademarks and trade names. We performed a quantitative impairment assessment of each goodwill reporting unit and indefinite-lived intangible asset. The estimated fair value of each reporting unit was determined using a discounted cash flow model. The estimated fair value of each indefinite-lived intangible asset was determined using other income-based valuation models. Significant estimates and assumptions were used to estimate fair value, including our internal operating and cash flow forecasts, excess working capital requirements, and inputs to the weighted-average cost of capital used to discount future cash flows. The significant estimates and assumptions used in these valuations are subject to judgment based on sources utilized and the assessment of risks related to our internal forecasts. Based on the results of our impairment test, and consideration of qualitative factors, no impairments were identified with respect to goodwill. It was concluded that our trademarks and trade names were fully impaired as a result of the Company’s rebranding initiative that consolidates all sub-brands under a singular, unified master brand – Ultralife. There is a possibility that our goodwill and other intangible assets could be impaired in the future should there be a significant change in the significant estimates and assumptions used in our impairment assessment.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their carrying amounts may not be recoverable. This is accomplished by comparing the expected undiscounted future cash flows of the assets with the respective carrying amount as of the date of assessment. Should aggregate undiscounted future cash flows be less than the carrying value, a write-down would be required, measured as the difference between the carrying value and the fair value of the asset. Fair value is estimated either through the assistance of an independent valuation or as the present value of expected discounted future cash flows. The discount rate used by us in our evaluation is an industry-based weighted average cost of capital. If the expected undiscounted future cash flows exceed the respective carrying amount as of the date of assessment, no impairment charge is recognized.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we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begin to expire in 2031, and our federal general business tax credit carryforwards, which begin to expire in 2028. As of December 31, 2025, our federal net operating loss carryforwards, state net operating loss carryforwards, and federal general business tax credit carryforwards were $8,800, $5,100 and $3,400,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for certain past operations in the U.K., we continue to report a valuation allowance for net operating loss carryforwards of approximately $10,100,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have not recognized a valuation allowance against our other foreign deferred tax assets, including net operating loss carryforwards of $1,300 which expire in 2029 through 2035, as we believe that it is more likely than not that they will be fully realized. We will continue to evaluate the realizability of our deferred tax assets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compensation cost relating to share-based payment transactions in our financial statements. The cost is measured at the grant date, based on the estimated fair value of the award, and is recognized as an expense over the employee’s requisite service period (generally the vesting period of the equity award). We calculate implied volatility for stock options based on an average of historical volatility over the expected life of the awards. The computation of expected term is determined based on historical experience of similar awards, giving consideration to the contractual terms of the awards and the vesting period. The interest rate for periods within the contractual life of the award is based on the U.S. Treasury yield in effect at the time of grant. Our awards are generally valued using the Black-Scholes method. If required, our market-based awards are valued using a Monte Carlo simulation.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Business Combinations: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businesses acquired using the acquisition method of accounting. Under this method, all acquisition-related costs are expensed as incurred, and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As part of this process, we identify and attribute values and estimated lives to property and equipment and intangible assets acquired. These determinations involve significant estimates and assumptions, including those with respect to future cash flows, discount rates and asset lives, and therefore require considerable judgment. These determinations affect the amount of depreciation and amortization expense recognized in future periods. The results of operations of acquired businesses are included in the consolidated statements of income and comprehensive income beginning on the respective acquisition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 based on the duration of the warranty.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Issues: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Environmental expenditures, if any, that relate to current operations are generally expensed. Remediation costs that relate to an existing condition caused by past operations are accrued when it is probable that these costs will be incurred and can be reasonably estimated.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this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financial statements and schedules listed in Item 15(a)(1) are included in this Report beginning on page 44.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84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Pr>
          <w:p>
            <w:pPr>
              <w:spacing w:after="0"/>
              <w:rPr>
                <w:sz w:val="24"/>
                <w:szCs w:val="24"/>
                <w:color w:val="auto"/>
              </w:rPr>
            </w:pPr>
          </w:p>
        </w:tc>
      </w:tr>
      <w:tr>
        <w:trPr>
          <w:trHeight w:val="21"/>
        </w:trPr>
        <w:tc>
          <w:tcPr>
            <w:tcW w:w="8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Firms</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8"/>
        </w:trPr>
        <w:tc>
          <w:tcPr>
            <w:tcW w:w="840" w:type="dxa"/>
            <w:vAlign w:val="bottom"/>
          </w:tcPr>
          <w:p>
            <w:pPr>
              <w:spacing w:after="0"/>
              <w:rPr>
                <w:sz w:val="17"/>
                <w:szCs w:val="17"/>
                <w:color w:val="auto"/>
              </w:rPr>
            </w:pPr>
          </w:p>
        </w:tc>
        <w:tc>
          <w:tcPr>
            <w:tcW w:w="9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Consolidated Statements of (Loss) Income and Comprehensive (Loss) Income for the years ended December 31, 2025,</w:t>
            </w:r>
          </w:p>
        </w:tc>
        <w:tc>
          <w:tcPr>
            <w:tcW w:w="1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840" w:type="dxa"/>
            <w:vAlign w:val="bottom"/>
          </w:tcPr>
          <w:p>
            <w:pPr>
              <w:spacing w:after="0"/>
              <w:rPr>
                <w:sz w:val="20"/>
                <w:szCs w:val="20"/>
                <w:color w:val="auto"/>
              </w:rPr>
            </w:pPr>
          </w:p>
        </w:tc>
        <w:tc>
          <w:tcPr>
            <w:tcW w:w="9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2024</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60" w:type="dxa"/>
            <w:vAlign w:val="bottom"/>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2025, and 2024</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9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2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60" w:type="dxa"/>
            <w:vAlign w:val="bottom"/>
          </w:tcPr>
          <w:p>
            <w:pPr>
              <w:spacing w:after="0"/>
              <w:rPr>
                <w:sz w:val="18"/>
                <w:szCs w:val="18"/>
                <w:color w:val="auto"/>
              </w:rPr>
            </w:pPr>
          </w:p>
        </w:tc>
      </w:tr>
      <w:tr>
        <w:trPr>
          <w:trHeight w:val="432"/>
        </w:trPr>
        <w:tc>
          <w:tcPr>
            <w:tcW w:w="840" w:type="dxa"/>
            <w:vAlign w:val="bottom"/>
          </w:tcPr>
          <w:p>
            <w:pPr>
              <w:spacing w:after="0"/>
              <w:rPr>
                <w:sz w:val="24"/>
                <w:szCs w:val="24"/>
                <w:color w:val="auto"/>
              </w:rPr>
            </w:pPr>
          </w:p>
        </w:tc>
        <w:tc>
          <w:tcPr>
            <w:tcW w:w="902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9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Ultralife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Ultralife Corporation and its subsidiaries (the “Company”) as of December 31, 2025, the related consolidated statements of (loss) income and comprehensive (loss) income, changes in stockholders' equity and cash flows for the year ended December 31, 2025, and the related notes to the consolidated financial statements (collectively, the “financial statements”).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Our report dated March 23, 2026, expressed an opinion that the Company had not maintained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statements of the Company as of and for the year ended December 31, 2024, were audited by Freed Maxick P.C., who joined WithumSmith+Brown, PC on August 1, 2025 and expressed an unmodified opinion on those statements dated April 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Estimate for excess, obsolete, and slow-moving inventory reserve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reserve for excess, obsolete, and slow-moving inventory related to the Newark, New York and Virginia Beach, Virginia facilities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reserve for excess, obsolete, and slow-moving inventory, obtaining an understanding of controls related to the reserve for excess, obsolete, and slow-moving inventory, perform brainstorming meeting among the engagement team to determine where the estimate may be susceptible to material misstatement, test management’s calculation of the reserve for excess, obsolete, and slow-moving inventory, including testing the completeness and accuracy of source information used, mathematical accuracy of management’s calculations, evaluate reasonableness and consistency of methodology and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Analysis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two goodwill reporting units.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 future cash flows, and excess working capital requirements are subject to judgement based on sources utilized and the assessment of risks related to the cash flows. Due to the subjectivity involved with the assumptions used to determine the fair value of the reporting units, we identified the goodwill impairment test as a critical audit matter, which required a high degree of auditor judgement.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impairment analysis, obtaining and understanding of controls related to the impairment analysis, performing brainstorming meeting among the engagement team to determine where the estimate may be susceptible to material misstatement, testing management’s impairment analysis, including test the completeness and accuracy of source information used, mathematical accuracy of management’s calculations, evaluate reasonableness and consistency of methodology and assumptions, engaging internal valuation specialist to evaluate assumptions included in the impairment analysis.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Ultralife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Ultralife Corporation's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 xml:space="preserve">Internal Control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Integrated Framework </w:t>
      </w:r>
      <w:r>
        <w:rPr>
          <w:rFonts w:ascii="Times New Roman" w:cs="Times New Roman" w:eastAsia="Times New Roman" w:hAnsi="Times New Roman"/>
          <w:sz w:val="18"/>
          <w:szCs w:val="18"/>
          <w:color w:val="auto"/>
        </w:rPr>
        <w:t>issued by the Committee of Sponsoring Organizations of the Treadway Commission in 2013. In our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because of the effect of the material weaknesses described below on the achievement of the objectives of the control criteria, the Company has not maintained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 of the Company as of December 31, 2025, the related consolidated statements of (loss) income and comprehensive (loss) income, changes in stockholders' equity and cash flows for the year ended December 31, 2025, and the related notes to the consolidated financial statements (collectively, the “financial statements”) and our report dated March 23, 2026 expressed an unqualified opinion.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has been identified and included in management’s assessment because remediation efforts initiated during the year ended December 31, 2025 relating to the material weakness identified during the year ended December 31, 2024 attributable to the need for additional personnel to provide a full complement of accounting and reporting expertise has not been in place for a sufficient period of time to allow management to conclude that the related controls are operating effectively. In addition, information technology general controls (ITGC) were not operating effectively to ensure that (i) access to applications and data, including the ability to make changes, was appropriately restricted to authorized personnel, and (ii) the activities of individuals with such access were adequately monitored. As a result, business process controls (automated and manual) that are dependent on the affected ITGCs were also deemed ineffective because they could have been adversely impacted. The material weakness was considered in determining the nature, timing and extent of audit tests applied in our audit of the 2025 financial statements, and this report does not affect our report dated March 23, 2026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Ultralife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Ultralife Corporation and its subsidiaries (the “Company”) as of December 31, 2024, the related consolidated statements of income and comprehensive income, changes in stockholders' equity and cash flows for the year ended December 31, 2024, and the related notes to the consolidated financial statements (collectively,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 for excess, obsolete, and slow-moving inventory reserve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inventories are stated at the lower of cost or net realizable value with cost determined under the first-in, first-out method. The Company records provisions for excess, obsolete, and slow-moving inventory based on changes in customer demand, technology developments or other economic factors. The excess, obsolete, and slow-moving inventory reserve serves to reduce the Company’s inventory balance through a charge to cost of products sold.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reserve for excess, obsolete, and slow-moving inventory is based upon assumptions related to expectations of future demand, product lifecycles, product support, technical obsolescence, regulatory requirements, and economic and market conditions. If the actual realization of excess, obsolete, and slow-moving inventory does not meet the Company’s assumptions future inventory adjustments would result in a decrease in gross margin. Due to the magnitude of the inventory and the subjectivity involved in estimating the reserve, we identified the evaluation of the reserve as a critical audit matter, which required a high degree of auditor judgment.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reserve for excess, obsolete, and slow-moving inventory, obtaining an understanding of controls related to the reserve for excess, obsolete, and slow-moving inventory, perform brainstorming meeting among the engagement team to determine where the estimate may be susceptible to material misstatement, test management’s calculation of the reserve for excess, obsolete, and slow-moving inventory, including testing the completeness and accuracy of source information used, mathematical accuracy of management’s calculations, evaluate reasonableness and consistency of methodology and assumptions.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Goodwill Impairment Analysis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Notes 1 and 4 to the financial statements, the Company performs its goodwill impairment test on an annual basis as of October 1st or whenever events and changes in circumstances indicate that the carrying value of a reporting unit might exceed its fair value. For each reporting unit the Company performed a quantitative test, which compares the fair value of the reporting unit to the carrying value of the respective reporting unit. The Company has identified two goodwill reporting units.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fair value of the respective reporting units using a discounted cash flow model. Significant estimates and judgements used in this model include internal operating and cash flow forecasts, excess working capital requirements, and inputs to the weighted-average cost of capital used to discount future cash flows. Future revenue and operating cash flow forecasts, the development of the weighted average cost of capital used to discount the future cash flows, and excess working capital requirements are subject to judgement based on sources utilized and the assessment of risks related to the cash flows. Due to the subjectivity involved with the assumptions used to determine the fair value of the reporting units, we identified the goodwill impairment test as a critical audit matter, which required a high degree of auditor judgement.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performing retrospective review of prior-year estimates to identify potential bias of management judgements, obtaining an understanding of the process and assumptions used by management to develop the impairment analysis, obtaining and understanding of controls related to the impairment analysis, performing brainstorming meeting among the engagement team to determine where the estimate may be susceptible to material misstatement, testing management’s impairment analysis, including test the completeness and accuracy of source information used, mathematical accuracy of management’s calculations, evaluate reasonableness and consistency of methodology and assumptions, engaging internal valuation specialist to evaluate assumptions included in the impairment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Electrochem Business Combination and Purchase Price Allocation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Notes 1 and 2 to the financial statements, effective October 31, 2024, the Company acquired all the outstanding shares of Electrochem Solutions, Inc. (Electrochem). The total net purchase price paid for the shares of Electrochem was approximately $48.0 million. The Company applied the acquisition method of accounting for the acquisition. Under this method, identifiable assets acquired, and liabilities assumed are measured at their acquisition-date fair value. The Company used a valuation hierarchy and utilized an independent third-party valuation specialist to determine the fair values used in this allocation. Intangible assets and goodwill represented an allocation of purchase price of the acquired business in the amount of approximately $10.5 million and $7.6 million, respectively.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determination of the fair value used for the allocation of the purchase price is based upon assumptions of the future performance of Electrochem and includes work performed by a third-party valuation specialist. Due to the subjectivity involved in estimating the fair values and ultimate allocation of purchase price, we identified the fair value estimates for purchase price allocation of goodwill and intangible assets as a critical audit matter, which required a higher degree of auditor judgement as well as the use of professionals with specialized skill and knowledge.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Addressing the matter involved performing subjective procedures and evaluating audit evidence in connection with forming our overall opinion on the financial statements. The primary procedures we performed include: obtaining an understanding of the process and assumptions used by management to develop the estimate of the purchase price allocation, obtaining an understanding of the controls relating to the purchase price allocation, engaging an internal valuation specialist to review/test certain assumptions and approaches used, testing management’s allocation, including test the completeness and accuracy of source information used, mathematical accuracy of management’s calculations, evaluate reasonableness and consistency of methodology and assumptions.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 (f/k/a Freed Maxick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9,345</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$457 and $384, respectively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54,008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9,573</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45,376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4,830</w:t>
            </w:r>
          </w:p>
        </w:tc>
      </w:tr>
      <w:tr>
        <w:trPr>
          <w:trHeight w:val="223"/>
        </w:trPr>
        <w:tc>
          <w:tcPr>
            <w:tcW w:w="8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17,423</w:t>
            </w: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13,031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9,470</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21,092,617 shares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21,069,079 shares, respectively; outstanding – 16,656,503 shares and 16,632,965 shares, respectively</w:t>
            </w:r>
          </w:p>
        </w:tc>
        <w:tc>
          <w:tcPr>
            <w:tcW w:w="3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192,859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191,828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(40,340)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(34,442)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 at cost; 4,436,114 shares and 4,436,114 shares, respectively</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133,995</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0"/>
        </w:trPr>
        <w:tc>
          <w:tcPr>
            <w:tcW w:w="8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130,134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216,912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220,451</w:t>
            </w:r>
          </w:p>
        </w:tc>
        <w:tc>
          <w:tcPr>
            <w:tcW w:w="10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7" w:name="page48"/>
    <w:bookmarkEnd w:id="47"/>
    <w:p>
      <w:pPr>
        <w:jc w:val="center"/>
        <w:ind w:left="340" w:right="1640"/>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(LOSS) INCOME AND COMPREHENSIVE (LOSS) INCOME (Dollars in Thousands,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191,159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164,456</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145,138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122,142</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24,081</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 income</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1,892</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attributable to Ultralife Corporation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6,312</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Ultralife Corporation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5,966</w:t>
            </w: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Corporation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197"/>
        </w:trPr>
        <w:tc>
          <w:tcPr>
            <w:tcW w:w="8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Net (loss) income per share attributable to Ultralife Corporation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8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3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16,642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16,555</w:t>
            </w:r>
          </w:p>
        </w:tc>
      </w:tr>
      <w:tr>
        <w:trPr>
          <w:trHeight w:val="196"/>
        </w:trPr>
        <w:tc>
          <w:tcPr>
            <w:tcW w:w="8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Diluted</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8" w:name="page49"/>
    <w:bookmarkEnd w:id="4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CHANGES IN STOCKHOLDERS’ EQUITY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2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Capital 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Non-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excess of</w:t>
            </w:r>
          </w:p>
        </w:tc>
        <w:tc>
          <w:tcPr>
            <w:tcW w:w="13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comprehensive</w:t>
            </w:r>
          </w:p>
        </w:tc>
        <w:tc>
          <w:tcPr>
            <w:tcW w:w="8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controlling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par value</w:t>
            </w:r>
          </w:p>
        </w:tc>
        <w:tc>
          <w:tcPr>
            <w:tcW w:w="120" w:type="dxa"/>
            <w:vAlign w:val="bottom"/>
          </w:tcPr>
          <w:p>
            <w:pPr>
              <w:spacing w:after="0"/>
              <w:rPr>
                <w:sz w:val="20"/>
                <w:szCs w:val="20"/>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interest</w:t>
            </w:r>
          </w:p>
        </w:tc>
        <w:tc>
          <w:tcPr>
            <w:tcW w:w="18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20,783,607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189,160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(3,660)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21,069,079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191,828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21,092,617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192,859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modification expense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r>
      <w:tr>
        <w:trPr>
          <w:trHeight w:val="229"/>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(3,754)</w:t>
            </w: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9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16,636</w:t>
            </w:r>
          </w:p>
        </w:tc>
      </w:tr>
      <w:tr>
        <w:trPr>
          <w:trHeight w:val="209"/>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Electrochem</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(48,022)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(1,932)</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(49,954)</w:t>
            </w:r>
          </w:p>
        </w:tc>
      </w:tr>
      <w:tr>
        <w:trPr>
          <w:trHeight w:val="209"/>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on credit facility</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credit facilities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29,860</w:t>
            </w: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(3,424)</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in process in accounts payable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940" w:type="dxa"/>
            <w:vAlign w:val="bottom"/>
            <w:tcBorders>
              <w:bottom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paid</w:t>
            </w:r>
          </w:p>
        </w:tc>
        <w:tc>
          <w:tcPr>
            <w:tcW w:w="94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3,689</w:t>
            </w:r>
          </w:p>
        </w:tc>
        <w:tc>
          <w:tcPr>
            <w:tcW w:w="120" w:type="dxa"/>
            <w:vAlign w:val="bottom"/>
          </w:tcPr>
          <w:p>
            <w:pPr>
              <w:spacing w:after="0"/>
              <w:rPr>
                <w:sz w:val="17"/>
                <w:szCs w:val="17"/>
                <w:color w:val="auto"/>
              </w:rPr>
            </w:pPr>
          </w:p>
        </w:tc>
        <w:tc>
          <w:tcPr>
            <w:tcW w:w="40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1,855</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Operations and Significant Accounting Policies</w:t>
      </w:r>
    </w:p>
    <w:p>
      <w:pPr>
        <w:spacing w:after="0" w:line="22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Business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annual report, unless otherwise indicated, the terms the “Company”, “we”, “our” and “us” refer to Ultralife Corporation (“Ultralife”) and its wholly owned subsidiaries ABLE New Energy Co., Limited and its wholly owned subsidiary ABLE New Energy Co., Ltd (collectively “ABLE”); Ultralife UK LTD and its wholly owned subsidiary Accutronics Ltd (collectively “Accutronics”); Ultralife Batteries (UK) Ltd.; Southwest Electronic Energy Corporation and its wholly owned subsidiary, CLB, Inc. (collectively “SWE”); Ultralife Excell Holding Corp. (“UEHC”) and its wholly owned subsidiary Excell Battery Corporation USA (collectively “Excell Battery USA”); Ultralife Canada Holding Corp (wholly owned by UEHC, “UCHC”) and its wholly owned subsidiary Excell Battery Canada ULC (“Excell Battery Canada”); Electrochem Solutions, Inc. (“Electrochem”); and its majority-owned joint venture Ultralife Batteries India Private Limited (“Ultralife India”).</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sell our products worldwide through a variety of trade channels, including original equipment manufacturers (“OEMs”), industrial and defense supply distributors, and directly to U.S. and international defense departments.</w:t>
      </w:r>
    </w:p>
    <w:p>
      <w:pPr>
        <w:spacing w:after="0" w:line="18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generally accepted accounting principles in the United States (“GAAP”) and include the accounts of Ultralife Corporation and its wholly owned subsidiaries ABLE, Accutronics, Ultralife Batteries (UK) Ltd., SWE, Excell, Electrochem, and its majority-owned joint venture Ultralife India. Intercompany accounts and transactions have been eliminated in consolidation.</w:t>
      </w:r>
    </w:p>
    <w:p>
      <w:pPr>
        <w:spacing w:after="0" w:line="17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Use of Judgment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year end and the reported amounts of revenues and expenses during the reporting period. Key areas affected by estimates include: (a) carrying value of goodwill and intangible assets; (b) reserves for excess and obsolete inventory, deferred tax assets, warranties, and bad debts; (c) valuation of assets acquired and liabilities assumed in business combinations; (d) various expense accruals; and (e) stock-based compensation. Our actual results could differ from these estimates.</w:t>
      </w:r>
    </w:p>
    <w:p>
      <w:pPr>
        <w:spacing w:after="0" w:line="18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are reclassified to conform to the current presentation. There were no material reclassifications for the years ended December 31, 2025, and 2024.</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Cash</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cash balances may at times exceed federally insured limits. We have not experienced any losses in these accounts and believe we are not exposed to any significant risk with respect to cash.</w:t>
      </w:r>
    </w:p>
    <w:p>
      <w:pPr>
        <w:spacing w:after="0" w:line="16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Accounts Receivable and Allowance for Expected Credit Losses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extend credit to our customers in the normal course of business. We perform ongoing credit evaluations and generally do not require collateral. Payment terms are generally thirty (30) to sixty (60) days. Trade accounts receivable are recorded at their invoiced amounts, net of allowance for expected credit losses. We evaluate the adequacy of our allowance for expected credit losses quarterly. Accounts outstanding for longer than contractual payment terms are considered past due and are reviewed for collectability. We maintain reserves for potential credit losses based upon our historical experience, aging profile and general market conditions. Receivable balances are written off when collection is deemed unlikely.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Inventories</w:t>
      </w:r>
    </w:p>
    <w:p>
      <w:pPr>
        <w:spacing w:after="0" w:line="186" w:lineRule="exact"/>
        <w:rPr>
          <w:sz w:val="20"/>
          <w:szCs w:val="20"/>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(FIFO) method. We record provisions for excess, obsolete or slow-moving inventory based on changes in customer demand, technology developments or other economic factors.</w:t>
      </w:r>
    </w:p>
    <w:p>
      <w:pPr>
        <w:spacing w:after="0" w:line="197"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plant and equipment is stated at cost. Depreciation is computed using the straight-line method over the estimated useful lives. Estimated useful lives are as follows (in years):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410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ind w:left="2620"/>
              <w:spacing w:after="0" w:line="198" w:lineRule="exact"/>
              <w:rPr>
                <w:sz w:val="20"/>
                <w:szCs w:val="20"/>
                <w:color w:val="auto"/>
              </w:rPr>
            </w:pPr>
            <w:r>
              <w:rPr>
                <w:rFonts w:ascii="Times New Roman" w:cs="Times New Roman" w:eastAsia="Times New Roman" w:hAnsi="Times New Roman"/>
                <w:sz w:val="18"/>
                <w:szCs w:val="18"/>
                <w:color w:val="auto"/>
              </w:rPr>
              <w:t>Lesser of useful life or lease</w:t>
            </w: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7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term</w:t>
            </w:r>
          </w:p>
        </w:tc>
        <w:tc>
          <w:tcPr>
            <w:tcW w:w="2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Betterments, renewals and extraordinary repairs that extend the life of the assets are capitalized. Other repairs and maintenance costs are expensed when incurred. When disposed, the cost and accumulated depreciation applicable to assets retired are removed from the accounts and the gain or loss on disposition is recognized in operating income.</w:t>
      </w:r>
    </w:p>
    <w:p>
      <w:pPr>
        <w:spacing w:after="0" w:line="174"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Long-Lived Assets, Goodwill and Intangibles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for impairment whenever events or circumstances indicate that their carrying amounts may not be recoverable. For property, plant and equipment and amortizable intangible assets, this is accomplished by comparing the expected undiscounted future cash flows of the assets with the respective carrying amount as of the date of assessment. If the expected undiscounted future cash flows exceed the respective carrying amount as of the date of assessment, no impairment is recognized. Should aggregate undiscounted future cash flows be less than the carrying value, a write-down would be required, measured as the difference between the carrying value and the fair value of the asset. Fair value is estimated as the present value of expected discounted future cash flows. The discount rate used in our evaluation is an industry-based weighted average cost of capital.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purchase price paid, or the total consideration transferred, to consummate the acquisition is allocated to the identified tangible and intangible assets acquired and liabilities assumed based on their respective estimated fair values as of the acquisition date with the residual amount recorded to goodwill. We do not amortize goodwill and intangible assets with indefinite lives, but instead evaluate these assets for impairment at least annually, or whenever events or circumstances indicate that impairment may exist. We amortize intangible assets that have definite lives so that the economic benefits of the intangible assets are being recognized over their estimated useful life.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annual impairment test for goodwill consists of a comparison of the estimated fair value for each reporting unit to which goodwill is assigned to the carrying value of the respective reporting unit. The annual impairment test for other indefinite-lived intangible assets consists of a comparison of the estimated fair value of each asset to the carrying value of the respective asset. If the estimated fair value of a reporting unit or other indefinite-lived intangible asset exceeds its respective carrying value, the goodwill or indefinite-lived intangible asset is considered not impaired. If carrying value of a reporting unit or indefinite-lived intangible asset exceeds its estimated fair value, the excess carrying value of the respective goodwill or indefinite-lived intangible asset is recognized as an impairment loss.</w:t>
      </w:r>
    </w:p>
    <w:p>
      <w:pPr>
        <w:spacing w:after="0" w:line="18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Translation of Foreign Currency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are translated from the functional currency into U.S. dollar equivalents, with translation adjustments recorded as the sole component of accumulated other comprehensive income (loss). Exchange gains and losses related to foreign currency transactions and balances denominated in currencies other than the functional currency are recognized in net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2" w:name="page53"/>
    <w:bookmarkEnd w:id="52"/>
    <w:p>
      <w:pPr>
        <w:spacing w:after="0"/>
        <w:tabs>
          <w:tab w:leader="none" w:pos="640" w:val="left"/>
        </w:tabs>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sheets. For the years ended December 31, 2025, and 2024, revenue recognized on extended warranties was $298 and $298,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deferred revenue on extended warranty contracts of $855, comprised of $298 expected to be recognized as revenue within one (1) year and classified as accrued expenses and other current liabilities on our consolidated balance sheets, and $557 expected to be recognized as revenue over the remaining duration of the respective contracts and classified as other noncurrent liabilities on our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Warranty Reserves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Provision for warranty costs is recorded in accrued expenses and other current liabilities and other noncurrent liabilities on our consolidated balance sheets based on the duration of the warranty.</w:t>
      </w:r>
    </w:p>
    <w:p>
      <w:pPr>
        <w:spacing w:after="0" w:line="18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Costs incurred by us related to shipping and handling are included in cost of products sold. Amounts charged to customers pertaining to these costs are reflected as revenue.</w:t>
      </w:r>
    </w:p>
    <w:p>
      <w:pPr>
        <w:spacing w:after="0" w:line="16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Commissions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Sales commissions are expensed as incurred for contracts with an expected duration of one year or less. There were no sales commissions capitalized as of December 31, 2025, and 2024.</w:t>
      </w:r>
    </w:p>
    <w:p>
      <w:pPr>
        <w:spacing w:after="0" w:line="16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 The majority of research and development expenses pertain to salaries and benefits, developmental supplies, depreciation and other contracted services. For the years ended December 31, 2025, and 2024, we expended $12,079 and $9,549, respectively, on research and development, including costs of $1,681 and $1,281, respectively, on customer sponsored research and development activities, which are included in cost of products sold.</w:t>
      </w:r>
    </w:p>
    <w:p>
      <w:pPr>
        <w:spacing w:after="0" w:line="178"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Environmental Costs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Environmental expenditures that relate to current operations are expensed. Remediation costs that relate to an existing condition caused by past operations are accrued when it is probable that these costs will be incurred and can be reasonably estimated.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 Pursuant to ASC 740, a valuation allowance is recognized when the realizability of deferred tax assets is not more likely than not, based all available evidence, both positive and negative, weighted based on objective verifiability.</w:t>
      </w:r>
    </w:p>
    <w:p>
      <w:pPr>
        <w:spacing w:after="0" w:line="17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Related to Customers and Suppliers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our customers, a large global defense primary contractor, comprised 27% and 23% of our total consolidated revenues for 2025 and 2024, respectively. Revenues for this customer represented 29% and 24% of our total Battery &amp; Energy Products segment revenues for 2025 and 2024, respectively. There were no other customers that comprised greater than 10% of our total consolidated revenues during these years.</w:t>
      </w:r>
    </w:p>
    <w:p>
      <w:pPr>
        <w:spacing w:after="0" w:line="174"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Measurements and Disclosures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the exit price that would be paid to transfer a liability in the principal or most advantageous market in an orderly transaction between market participants on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2" w:lineRule="exact"/>
        <w:rPr>
          <w:sz w:val="20"/>
          <w:szCs w:val="20"/>
          <w:color w:val="auto"/>
        </w:rPr>
      </w:pPr>
    </w:p>
    <w:p>
      <w:pPr>
        <w:ind w:left="4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jc w:val="both"/>
        <w:ind w:left="1580" w:hanging="1119"/>
        <w:spacing w:after="0" w:line="266" w:lineRule="auto"/>
        <w:tabs>
          <w:tab w:leader="none" w:pos="156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 other inputs that are observable or that we corroborate with observable market data for substantially the full term of the related assets or liabilities.</w:t>
      </w:r>
    </w:p>
    <w:p>
      <w:pPr>
        <w:spacing w:after="0" w:line="176" w:lineRule="exact"/>
        <w:rPr>
          <w:sz w:val="20"/>
          <w:szCs w:val="20"/>
          <w:color w:val="auto"/>
        </w:rPr>
      </w:pPr>
    </w:p>
    <w:p>
      <w:pPr>
        <w:ind w:left="4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8"/>
          <w:szCs w:val="18"/>
          <w:color w:val="auto"/>
        </w:rPr>
        <w:t>Unobservable inputs supported by little or no market activity that are significant to the fair value of the assets or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December 31, 2025, and 2024.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spacing w:after="0" w:line="17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Ultralife Corporation by the weighted average shares of common stock outstanding for the period. Diluted EPS reflects the assumed exercise and conversion of dilutive outstanding stock options and unvested restricted stock, if any, applying the treasury stock method.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there were no outstanding equity awards included in the calculation of diluted weighted average shares outstanding and no potential common shares included in the calculation of diluted EPS, as no securities were dilutive. There were 967,351 outstanding stock options and 40,343 unvested restricted stock awards not included in the calculation of EPS for the year ended December 31, 2025, as the effect would be antidilutive.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comparable year ended December 31, 2024, there were 770,376 outstanding stock options and 38,386 unvested restricted stock awards included in the calculation of diluted weighted average shares outstanding, as such securities were dilutive, resulting in 212,197 potential common shares included in the calculation of diluted EPS. There were 336,060 outstanding stock options for the year ended December 31, 2024, not included in EPS as the effect would be antidilutive.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that are described more fully in Note 6. The compensation cost relating to share-based payment transactions is measured at the grant date, based on the estimated fair value of the award, and is recognized as expense over the employee’s requisite service period (generally the vesting period of the equity award).</w:t>
      </w:r>
    </w:p>
    <w:p>
      <w:pPr>
        <w:spacing w:after="0" w:line="174"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two operating segments – Battery &amp; Energy Products and Communications Systems. The basis for determining our operating segments is the manner in which financial information is used in monitoring our operations. Management operates and organizes itself according to business units that comprise unique products and services across geographic locations.</w:t>
      </w:r>
    </w:p>
    <w:p>
      <w:pPr>
        <w:spacing w:after="0" w:line="17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allocate the purchase price of acquired businesses to the tangible and intangible assets acquired and the liabilities assumed based on their estimated fair values on the acquisition date. Any excess of the purchase price over the net fair value of the separately identifiable assets acquired and liabilities assumed is allocated to goodwill. Management determines the fair values of identifiable intangible assets acquired based on historical data, estimated discounted future cash flows, expected royalty rates for trademarks and trade names, as well as certain other information. The valuation of assets acquired and liabilities assumed requires a number of judgments and is subject to change as additional information about the fair value of assets and liabilities becomes available. Additional information, which existed as of the acquisition date but unknown to us at that time, may become known during the remainder of the measurement period. This measurement period may not exceed twelve months from the acquisition date. We will recognize any adjustments to provisional amounts that are identified during the measurement period in the reporting period in which the adjustments are determined. Additionally, in the same period in which adjustments are recognized, we will record the effect on earnings of changes in depreciation, amortization, or other income effects, if any, as a result of any change to the provisional amounts, calculated as if the accounting adjustment had been completed at the acquisition date. Acquisition costs are expensed as incurred. The results of operations and cash flows of acquired businesses are included in our consolidated financial statements from the date of acquisition.</w:t>
      </w:r>
    </w:p>
    <w:p>
      <w:pPr>
        <w:spacing w:after="0" w:line="188"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for operating leases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 See Note 8 for further disclosure regarding lease accounting.</w:t>
      </w:r>
    </w:p>
    <w:p>
      <w:pPr>
        <w:spacing w:after="0" w:line="18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to expand the disclosure requirements for reportable segments.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operating profit (loss). This standard is effective for fiscal years beginning after December 15, 2023, and interim periods within fiscal years beginning after December 15, 2024. The adoption of this new accounting standard did not have an impact on the Company's results of operations, financial position or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reporting period beginning January 1, 2025, with early adoption permitted and the Company adopted it as required on January 1, 2025. The adoption of this new accounting standard did not have an impact on the Company's results of operations, financial position or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all issued and outstanding shares of Electrochem Solutions, Inc., a Massachusetts corporation (“Electrochem”), pursuant to a stock purchase agreement (the “Agreement”) with Greatbatch Ltd., a New York corporation (the “Seller”), dated September 27, 2024 (the “Acquisition”). The Agreement established a purchase price of $50,000 for the Acquisition subject to customary working capital adjustments. The Company completed the Acquisition for $48,022 in cash, inclusive of working capital adjustments of $1,978.</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in Raynham, Massachusetts and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manufacturing cost efficiencies. Electrochem brought a blue-chip customer base with little or no overlap with Ultralife’s then existing customers, long-tenured technical resources which we plan to utilize in progressing our global new product initiatives, and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In addition, the combination of Electrochem and Ultralife creates achievable opportunities for gross margin expansion through the realization of vertical integration, supply chain synergies and lean initiatives. With Electrochem we are increasing our value to our customers and significantly strengthening our competitive position in our end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funded the purchase price for the Acquisition through the New Credit Agreement (refer to Note 3).</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in accordance with the accounting treatment of a business combination pursuant to FASB ASC Topic 805, “Business Combinations” (“ASC 805”). Accordingly, the purchase price was allocated to the tangible and intangible assets acquired and the liabilities assumed based on their estimated fair values on the acquisition date. The excess of the purchase price over the estimated fair value of the separately identifiable assets acquired and liabilities assumed was allocated to goodwill. Management is responsible for determining the acquisition date fair value of the assets acquired and liabilities assumed, which requires the use of various assumptions and judgments that are inherently subjective. The purchase price allocation presented below reflects all known information about the fair value of the assets acquired and liabilities assumed as of the acquisition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3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5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2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The goodwill included in the Company’s purchase price allocation presented above represents the value of Electrochem’s assembled and trained workforce, the incremental value that Electrochem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intangible assets were valued using the income approach which requires a forecast of all expected future cash flows and the use of certain assumptions and estimates. The following table summarizes the estimated fair value and annual amortization for each of the identifiable intangible assets acquired.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5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Annual Amortization</w:t>
            </w: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6"/>
                <w:szCs w:val="16"/>
                <w:color w:val="auto"/>
              </w:rPr>
            </w:pPr>
          </w:p>
        </w:tc>
        <w:tc>
          <w:tcPr>
            <w:tcW w:w="9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6"/>
                <w:szCs w:val="16"/>
                <w:color w:val="auto"/>
              </w:rPr>
            </w:pPr>
          </w:p>
        </w:tc>
        <w:tc>
          <w:tcPr>
            <w:tcW w:w="9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16"/>
                <w:szCs w:val="16"/>
                <w:color w:val="auto"/>
              </w:rPr>
            </w:pPr>
          </w:p>
        </w:tc>
        <w:tc>
          <w:tcPr>
            <w:tcW w:w="90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16"/>
                <w:szCs w:val="16"/>
                <w:color w:val="auto"/>
              </w:rPr>
            </w:pPr>
          </w:p>
        </w:tc>
        <w:tc>
          <w:tcPr>
            <w:tcW w:w="72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right-of-use assets and assumed operating lease liabilities of $230. Right-of-use assets are classified as other noncurrent assets, and current and long-term lease liabilities are classified as accrued expenses and other current liabilities and other noncurrent liabilities, respectively, on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and cash flows of Electrochem are reflected in the Company’s consolidated financial statements from the date of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Electrochem is included in the Battery &amp; Energy Products segment.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Electrochem contributed revenue of $32,599 and pre-tax income of $997, inclusive of a $120 increase in cost of products sold for the fair value step-up of acquired finished goods inventory sold during the period, and amortization expense of $625 on acquired identifiable intangible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incurred transaction costs and other non-recurring expenses of $973 directly attributable to the acquisition, including one-time accounting, legal and due diligence services. These costs are included in selling, general and administrative expense on the consolidated statement of (loss) income and comprehensive (loss) income for the year ended December 31,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Electrochem contributed revenue of $6,062 and pre-tax income of $932, inclusive of a $120 increase in cost of products sold for the fair value step-up of acquired finished goods inventory sold during the period, and amortization expense of $119 on acquired identifiable intangible assets.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transaction costs and other non-recurring expenses of $1,294 directly attributable to the acquisition, including one-time accounting, legal and due diligence services. These costs are included in selling, general and administrative expense on the consolidated statement of (loss) income and comprehensive (loss) income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Amended Credit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Acquisition on October 31, 2024, the Company borrowed the full amount of the Term Loan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$50,250 outstanding principal on the Term Loan, $4,125 of which is included in current portion of long-term debt on the consolidated balance sheets, and no amounts outstanding on the Revolving Credit Facility. As of December 31, 2025, unamortized debt issuance costs associated with the Term Loan of $599 are classified on the consolidated balance sheets as a reduction of long-term debt, and unamortized debt issuance costs associated with the Revolving Credit Facility of $414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 The Company was in full compliance with its covenants under the New Credit Agreement as of December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6.16% as of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on our Amended Credit Facilities as of December 31, 2025,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4,125</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5,500</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9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35,125</w:t>
            </w:r>
          </w:p>
        </w:tc>
        <w:tc>
          <w:tcPr>
            <w:tcW w:w="86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2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9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90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59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4 - Supplemental Balance Sheet Information</w:t>
      </w:r>
    </w:p>
    <w:p>
      <w:pPr>
        <w:spacing w:after="0" w:line="200" w:lineRule="exact"/>
        <w:rPr>
          <w:sz w:val="20"/>
          <w:szCs w:val="20"/>
          <w:color w:val="auto"/>
        </w:rPr>
      </w:pPr>
    </w:p>
    <w:p>
      <w:pPr>
        <w:spacing w:after="0" w:line="243"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Restricted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p>
      <w:pPr>
        <w:spacing w:after="0" w:line="235"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19685</wp:posOffset>
            </wp:positionV>
            <wp:extent cx="20313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ind w:left="8280"/>
        <w:spacing w:after="0"/>
        <w:tabs>
          <w:tab w:leader="none" w:pos="996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67722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1" w:lineRule="exact"/>
        <w:rPr>
          <w:sz w:val="20"/>
          <w:szCs w:val="20"/>
          <w:color w:val="auto"/>
        </w:rPr>
      </w:pPr>
    </w:p>
    <w:p>
      <w:pPr>
        <w:ind w:left="340"/>
        <w:spacing w:after="0"/>
        <w:tabs>
          <w:tab w:leader="none" w:pos="7680" w:val="left"/>
          <w:tab w:leader="none" w:pos="8780" w:val="left"/>
          <w:tab w:leader="none" w:pos="9400" w:val="left"/>
          <w:tab w:leader="none" w:pos="10480" w:val="left"/>
        </w:tabs>
        <w:rPr>
          <w:sz w:val="20"/>
          <w:szCs w:val="20"/>
          <w:color w:val="auto"/>
        </w:rPr>
      </w:pPr>
      <w:r>
        <w:rPr>
          <w:rFonts w:ascii="Times New Roman" w:cs="Times New Roman" w:eastAsia="Times New Roman" w:hAnsi="Times New Roman"/>
          <w:sz w:val="18"/>
          <w:szCs w:val="18"/>
          <w:color w:val="auto"/>
        </w:rPr>
        <w:t>Cash</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9,345</w:t>
        <w:tab/>
        <w:t>$</w:t>
      </w:r>
      <w:r>
        <w:rPr>
          <w:sz w:val="20"/>
          <w:szCs w:val="20"/>
          <w:color w:val="auto"/>
        </w:rPr>
        <w:tab/>
      </w:r>
      <w:r>
        <w:rPr>
          <w:rFonts w:ascii="Times New Roman" w:cs="Times New Roman" w:eastAsia="Times New Roman" w:hAnsi="Times New Roman"/>
          <w:sz w:val="17"/>
          <w:szCs w:val="17"/>
          <w:color w:val="auto"/>
        </w:rPr>
        <w:t>6,854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wp:posOffset>
            </wp:positionV>
            <wp:extent cx="20313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12"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 Net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under the first-in, first-out (FIFO) method. The composition of inventories, net was: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4,501</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10,827</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w:t>
            </w:r>
          </w:p>
        </w:tc>
        <w:tc>
          <w:tcPr>
            <w:tcW w:w="6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6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30,179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60,986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7,990</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(72,519)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(68,437)</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$3,981 and $3,125 for the years ended December 31, 2025, and 2024, respectively.</w:t>
      </w:r>
    </w:p>
    <w:p>
      <w:pPr>
        <w:spacing w:after="0" w:line="223"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conducted its annual impairment test for goodwill and other indefinite-lived intangible assets as of October 1, 2025. We identified two (2) goodwill reporting units and five (5) indefinite-lived intangible assets for trademarks and trade names. We performed a quantitative impairment assessment of each goodwill reporting unit and indefinite-lived intangible asset. Based on the results of our quantitative impairment assessment, and consideration of qualitative factors, as of our test date and December 31, 2025, no impairments were identified with respect to goodwill, and it was concluded that our trademarks and trade names were fully impaired as a result of the Company’s global rebranding initiative to consolidate all sub-brands under a singular, unified master brand – Ultralife, which launched during the fourth quarter of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Communications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2025</w:t>
            </w: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33,883</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composition of intangible assets was:</w:t>
            </w: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12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38,685</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200" w:type="dxa"/>
            <w:vAlign w:val="bottom"/>
            <w:gridSpan w:val="2"/>
          </w:tcPr>
          <w:p>
            <w:pPr>
              <w:spacing w:after="0"/>
              <w:rPr>
                <w:sz w:val="19"/>
                <w:szCs w:val="19"/>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change in the cost value of other intangible assets is primarily the result of the impairment of our trademarks and trade names during the year ended December 31, 2025 as a result of the Company’s rebranding initiative, as well as the effect of foreign currency translations.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other intangible assets was included in the following financial statement captions:</w:t>
      </w:r>
    </w:p>
    <w:p>
      <w:pPr>
        <w:spacing w:after="0" w:line="235"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shd w:val="clear" w:color="auto" w:fill="CCEEFF"/>
          </w:tcPr>
          <w:p>
            <w:pPr>
              <w:spacing w:after="0"/>
              <w:rPr>
                <w:sz w:val="18"/>
                <w:szCs w:val="18"/>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Future amortization expense of amortizable intangible assets will be approximately $1,066, $1,066, $1,066, $1,046 and $1,029 for the five fiscal years ending December 31, 2026, through 2030,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7"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ordinary course of business. We believe that the final disposition of any such matters of which we are currently aware will not have a material adverse effect on the Company’s financial position, results of operations or cash flows. However, recognizing that legal matters are subject to inherent uncertainties, there exists the possibility that ultimate resolution of current or future legal matters could have a material adverse impact on the Company’s financial position, results of operations or cash flows. We are not aware of any such situations at this time.</w:t>
      </w:r>
    </w:p>
    <w:p>
      <w:pPr>
        <w:spacing w:after="0" w:line="18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organizational documents provide that our directors or officers will be reimbursed for all expenses, to the fullest extent permitted by law arising out of their performance.</w:t>
      </w:r>
    </w:p>
    <w:p>
      <w:pPr>
        <w:spacing w:after="0" w:line="160"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have made commitments to purchase approximately $321 of production machinery and equipment.</w:t>
      </w:r>
    </w:p>
    <w:p>
      <w:pPr>
        <w:spacing w:after="0" w:line="223"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facility in China presents risks including, but not limited to, changes in local regulatory requirements, changes in labor laws, local wage laws, environmental regulations, taxes and operating licenses, compliance with U.S. regulatory requirements, including the Foreign Corrupt Practices Act, uncertainties as to application and interpretation of local laws and enforcement of contract and intellectual property rights, currency restrictions, currency exchange controls, fluctuations of currency, and currency revaluations, eminent domain claims, civil unrest, power outages, water shortages, labor shortages, labor disputes, increase in labor costs, rapid changes in government, economic and political policies, political or civil unrest, acts of terrorism, or the threat of boycotts, other civil disturbances and the possible impact of the imposition of tariffs by the U.S. Government on 9-volt batteries that we manufacture in China as well as any retaliating trade policies or restrictions. Any such disruptions could depress our earnings and have other material adverse effects on our business, financial condition and results of operations.</w:t>
      </w:r>
    </w:p>
    <w:p>
      <w:pPr>
        <w:spacing w:after="0" w:line="190"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Warranties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typically offer standard warranties against product defects that range from ninety (90) days to three (3) years from the date of purchase. We also offer separately priced extended warranty contracts on certain products. Warranty costs expected to be incurred are estimated based on the Company’s experience and recorded as costs of products sold. Standard warranty costs are recognized upon product sale. Extended warranty costs are recognized over the term of the contract. The following table summarizes the warranty activity for the years ended December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5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98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1,149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98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640</w:t>
            </w: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1" w:name="page62"/>
    <w:bookmarkEnd w:id="61"/>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various stock-based employee compensation plans, for which compensation cost is recognized in the financial statements. The cost is measured at the grant date, based on the estimated fair value of the award, and is recognized as an expense over the employee’s requisite service period (generally the vesting period of the equity award).</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stockholders have approved various equity-based plans that permit the grant of stock options, restricted stock and other equity-based awards. In addition, our stockholders have approved the grant of stock options outside of these plans.</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July 16, 2024, our stockholders approved the 2024 Long-Term Incentive Plan (“2024 LTIP”) as the successor plan to the 2014 Long-Term Incentive Plan (“2014 LTIP”) that expired on June 2, 2024. Under the 2024 LTIP, a total of 2,000,000 shares of common stock were made available for grant of awards. Of the total number of shares of common stock available for awards under the 2024 LTIP, no more than 800,000 shares of common stock may be used for awards other than stock options and stock appreciation rights. Grants under the 2024 LTIP may be awarded through July 15, 2034.</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2024 LTIP and 2014 LTIP are either Incentive Stock Options (“ISOs”) or Non-Qualified Stock Options (“NQSOs”). Key employees are eligible to receive ISOs and NQSOs; however, directors and consultants are eligible to receive only NQSOs. Stock options vest in equal installments on the first, second and third anniversaries of the grant date and expire on the seventh anniversary of the grant date. As of December 31, 2025, there were 242,780 stock options outstanding under the 2024 LTIP and 724,571 stock options outstanding under the 2014 LTIP.</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$384 of total unrecognized compensation costs related to outstanding stock options, which we expect to recognize over a weighted average period of 1.3 years.</w:t>
      </w:r>
    </w:p>
    <w:p>
      <w:pPr>
        <w:spacing w:after="0" w:line="16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use the Black-Scholes option-pricing model to estimate fair value of stock options. There were no stock options awarded for the year ended December 31, 2025. The following weighted average assumptions were used to value options granted during the year ended December 31, 2024:</w:t>
      </w:r>
    </w:p>
    <w:p>
      <w:pPr>
        <w:spacing w:after="0" w:line="17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614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factor</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expected life (years)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0" w:lineRule="exact"/>
        <w:rPr>
          <w:sz w:val="20"/>
          <w:szCs w:val="20"/>
          <w:color w:val="auto"/>
        </w:rPr>
      </w:pPr>
    </w:p>
    <w:p>
      <w:pPr>
        <w:spacing w:after="0" w:line="214"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calculate expected volatility for stock options by taking an average of historical volatility over the expected term. The computation of expected term was determined based on historical experience of similar awards and consideration of the contractual terms of the stock-based awards and vesting schedules. The interest rate for periods within the contractual life of the award is based on the U.S. Treasury yield in effect at the time of grant. Forfeiture rates are calculated by dividing unvested shares forfeited by beginning shares outstanding. The pre-vesting forfeiture rate is calculated yearly and is determined based on historical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data for the stock options issued by us:</w:t>
      </w:r>
    </w:p>
    <w:p>
      <w:pPr>
        <w:spacing w:after="0" w:line="22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8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2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1,106,436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(123,103)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8.87</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967,351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3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 December 31</w:t>
            </w:r>
          </w:p>
        </w:tc>
        <w:tc>
          <w:tcPr>
            <w:tcW w:w="1260" w:type="dxa"/>
            <w:vAlign w:val="bottom"/>
          </w:tcPr>
          <w:p>
            <w:pPr>
              <w:spacing w:after="0"/>
              <w:rPr>
                <w:sz w:val="17"/>
                <w:szCs w:val="17"/>
                <w:color w:val="auto"/>
              </w:rPr>
            </w:pPr>
          </w:p>
        </w:tc>
        <w:tc>
          <w:tcPr>
            <w:tcW w:w="1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911,744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3.69</w:t>
            </w: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2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737,972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580" w:right="259" w:bottom="1440" w:gutter="0" w:footer="0" w:header="0"/>
        </w:sectPr>
      </w:pPr>
    </w:p>
    <w:bookmarkStart w:id="62" w:name="page63"/>
    <w:bookmarkEnd w:id="62"/>
    <w:p>
      <w:pPr>
        <w:ind w:left="47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5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8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January 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(298,293)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(107,386)</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under option – December 31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1,106,436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 December 31</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1,003,942</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2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674</w:t>
            </w:r>
          </w:p>
        </w:tc>
      </w:tr>
      <w:tr>
        <w:trPr>
          <w:trHeight w:val="20"/>
        </w:trPr>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 December 31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625,826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5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additional information about stock options outstanding at December 31, 2025:</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Option outstanding</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7"/>
              </w:rPr>
              <w:t>Weighted-</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average</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Weighted-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average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38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Range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exercise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exercise</w:t>
            </w:r>
          </w:p>
        </w:tc>
      </w:tr>
      <w:tr>
        <w:trPr>
          <w:trHeight w:val="234"/>
        </w:trPr>
        <w:tc>
          <w:tcPr>
            <w:tcW w:w="3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exercise prices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price</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exercisable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price</w:t>
            </w:r>
          </w:p>
        </w:tc>
        <w:tc>
          <w:tcPr>
            <w:tcW w:w="100" w:type="dxa"/>
            <w:vAlign w:val="bottom"/>
          </w:tcPr>
          <w:p>
            <w:pPr>
              <w:spacing w:after="0"/>
              <w:rPr>
                <w:sz w:val="20"/>
                <w:szCs w:val="20"/>
                <w:color w:val="auto"/>
              </w:rPr>
            </w:pPr>
          </w:p>
        </w:tc>
      </w:tr>
      <w:tr>
        <w:trPr>
          <w:trHeight w:val="209"/>
        </w:trPr>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301,804</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297,638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291,853</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242,780</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130,914</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10"/>
        </w:trPr>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967,351</w:t>
            </w: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737,972</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0"/>
        </w:trPr>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year ended December 31, 2024, was $4.08. There were no stock options awarded during the year ended December 31, 2025. The total intrinsic value of options (which is the amount by which the stock price exceeded the exercise price of the options on the date of exercise) exercised during the years ended December 31, 2025, and 2024 was $24 and $1,007, respectively.</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years ended December 31, 2025, and 2024 was $98 and $1,999, respectively.</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years. The Company granted restricted stock awards of 18,200 shares and 35,700 shares for the years ended December 31, 2025, and 2024, respectively. The average grant date fair value of restricted stock awards was $5.40 and $8.71 for the years ended December 31, 2025, and 2024, respectively. As of December 31, 2025, there was $180 of total unrecognized compensation costs related to outstanding restricted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1,709,020 shares of common stock available for future issuance under equity compensation plans as of December 31, 2025.</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we recognized an income tax (benefit) provision of ($2,447) and $1,892, respectively.</w:t>
      </w:r>
    </w:p>
    <w:p>
      <w:pPr>
        <w:spacing w:after="0" w:line="235"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w:t>
            </w:r>
          </w:p>
        </w:tc>
      </w:tr>
      <w:tr>
        <w:trPr>
          <w:trHeight w:val="209"/>
        </w:trPr>
        <w:tc>
          <w:tcPr>
            <w:tcW w:w="6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(1,802)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(248)</w:t>
            </w:r>
          </w:p>
        </w:tc>
        <w:tc>
          <w:tcPr>
            <w:tcW w:w="3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(491)</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6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Borders>
              <w:bottom w:val="single" w:sz="8" w:color="CCEEFF"/>
            </w:tcBorders>
          </w:tcPr>
          <w:p>
            <w:pPr>
              <w:spacing w:after="0"/>
              <w:rPr>
                <w:sz w:val="18"/>
                <w:szCs w:val="18"/>
                <w:color w:val="auto"/>
              </w:rPr>
            </w:pPr>
          </w:p>
        </w:tc>
      </w:tr>
      <w:tr>
        <w:trPr>
          <w:trHeight w:val="223"/>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 used for income tax purposes. Significant components of our deferred tax assets and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4,809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5,448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4,894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3,448</w:t>
            </w:r>
          </w:p>
        </w:tc>
        <w:tc>
          <w:tcPr>
            <w:tcW w:w="5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reserves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2,991</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8"/>
                <w:szCs w:val="18"/>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610</w:t>
            </w:r>
          </w:p>
        </w:tc>
        <w:tc>
          <w:tcPr>
            <w:tcW w:w="5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728</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980" w:type="dxa"/>
            <w:vAlign w:val="bottom"/>
          </w:tcPr>
          <w:p>
            <w:pPr>
              <w:spacing w:after="0"/>
              <w:rPr>
                <w:sz w:val="19"/>
                <w:szCs w:val="19"/>
                <w:color w:val="auto"/>
              </w:rPr>
            </w:pPr>
          </w:p>
        </w:tc>
        <w:tc>
          <w:tcPr>
            <w:tcW w:w="7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1,318</w:t>
            </w:r>
          </w:p>
        </w:tc>
        <w:tc>
          <w:tcPr>
            <w:tcW w:w="52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980" w:type="dxa"/>
            <w:vAlign w:val="bottom"/>
          </w:tcPr>
          <w:p>
            <w:pPr>
              <w:spacing w:after="0"/>
              <w:rPr>
                <w:sz w:val="19"/>
                <w:szCs w:val="19"/>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(2,530)</w:t>
            </w:r>
          </w:p>
        </w:tc>
        <w:tc>
          <w:tcPr>
            <w:tcW w:w="5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8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(5,619)</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(980)</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980" w:type="dxa"/>
            <w:vAlign w:val="bottom"/>
          </w:tcPr>
          <w:p>
            <w:pPr>
              <w:spacing w:after="0"/>
              <w:rPr>
                <w:sz w:val="19"/>
                <w:szCs w:val="19"/>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(729)</w:t>
            </w:r>
          </w:p>
        </w:tc>
        <w:tc>
          <w:tcPr>
            <w:tcW w:w="5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9,494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6,970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(liabilities) are comprised of the following balance sheet amounts:</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10,494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8,413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80" w:type="dxa"/>
            <w:vAlign w:val="bottom"/>
          </w:tcPr>
          <w:p>
            <w:pPr>
              <w:spacing w:after="0"/>
              <w:rPr>
                <w:sz w:val="19"/>
                <w:szCs w:val="19"/>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6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net (loss) income from continuing operations before income taxes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84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3"/>
              </w:rPr>
              <w:t>(5,863)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(2,535)</w:t>
            </w:r>
          </w:p>
        </w:tc>
        <w:tc>
          <w:tcPr>
            <w:tcW w:w="10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3"/>
              </w:rPr>
              <w:t>(8,398)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8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4" w:name="page65"/>
    <w:bookmarkEnd w:id="64"/>
    <w:p>
      <w:pPr>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income from continuing operations before income taxes as follows under the guidance in ASU 2023-09 the Company adopted on a prospective basis:</w:t>
      </w:r>
    </w:p>
    <w:p>
      <w:pPr>
        <w:spacing w:after="0" w:line="17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(1,763)</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 (a)</w:t>
            </w:r>
          </w:p>
        </w:tc>
        <w:tc>
          <w:tcPr>
            <w:tcW w:w="28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(204)</w:t>
            </w:r>
          </w:p>
        </w:tc>
        <w:tc>
          <w:tcPr>
            <w:tcW w:w="11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28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Nontaxable refund credit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w:t>
            </w:r>
          </w:p>
        </w:tc>
        <w:tc>
          <w:tcPr>
            <w:tcW w:w="1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reconciling items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(127)</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(267)</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Cross-border tax laws:</w:t>
            </w:r>
          </w:p>
        </w:tc>
        <w:tc>
          <w:tcPr>
            <w:tcW w:w="28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 deduction</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rate differential</w:t>
            </w:r>
          </w:p>
        </w:tc>
        <w:tc>
          <w:tcPr>
            <w:tcW w:w="28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rate differential</w:t>
            </w:r>
          </w:p>
        </w:tc>
        <w:tc>
          <w:tcPr>
            <w:tcW w:w="28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164</w:t>
            </w:r>
          </w:p>
        </w:tc>
        <w:tc>
          <w:tcPr>
            <w:tcW w:w="1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Provincial taxes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(303)</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functional currency</w:t>
            </w:r>
          </w:p>
        </w:tc>
        <w:tc>
          <w:tcPr>
            <w:tcW w:w="280" w:type="dxa"/>
            <w:vAlign w:val="bottom"/>
          </w:tcPr>
          <w:p>
            <w:pPr>
              <w:spacing w:after="0"/>
              <w:rPr>
                <w:sz w:val="18"/>
                <w:szCs w:val="18"/>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170</w:t>
            </w:r>
          </w:p>
        </w:tc>
        <w:tc>
          <w:tcPr>
            <w:tcW w:w="1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80" w:type="dxa"/>
            <w:vAlign w:val="bottom"/>
          </w:tcPr>
          <w:p>
            <w:pPr>
              <w:spacing w:after="0"/>
              <w:rPr>
                <w:sz w:val="19"/>
                <w:szCs w:val="19"/>
                <w:color w:val="auto"/>
              </w:rPr>
            </w:pPr>
          </w:p>
        </w:tc>
        <w:tc>
          <w:tcPr>
            <w:tcW w:w="14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w:t>
            </w:r>
          </w:p>
        </w:tc>
        <w:tc>
          <w:tcPr>
            <w:tcW w:w="1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and state tax adjustments in Florida and Virginia made up the majority (greater than 50%) of the tax effect in this category.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income from continuing operations before income taxes as follows under the prior guidance: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6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3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5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5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 R&amp;D deduction</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credits</w:t>
            </w:r>
          </w:p>
        </w:tc>
        <w:tc>
          <w:tcPr>
            <w:tcW w:w="5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rate changes</w:t>
            </w:r>
          </w:p>
        </w:tc>
        <w:tc>
          <w:tcPr>
            <w:tcW w:w="5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loss</w:t>
            </w:r>
          </w:p>
        </w:tc>
        <w:tc>
          <w:tcPr>
            <w:tcW w:w="5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rates</w:t>
            </w:r>
          </w:p>
        </w:tc>
        <w:tc>
          <w:tcPr>
            <w:tcW w:w="5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 taxes</w:t>
            </w:r>
          </w:p>
        </w:tc>
        <w:tc>
          <w:tcPr>
            <w:tcW w:w="5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5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660" w:type="dxa"/>
            <w:vAlign w:val="bottom"/>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62</w:t>
            </w: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adoption of ASU 2023-09, as described in Note 1, cash paid for income taxes, net of refunds was as follows: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84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0"/>
        </w:trPr>
        <w:tc>
          <w:tcPr>
            <w:tcW w:w="8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4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4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40" w:type="dxa"/>
            <w:vAlign w:val="bottom"/>
          </w:tcPr>
          <w:p>
            <w:pPr>
              <w:spacing w:after="0"/>
              <w:rPr>
                <w:sz w:val="18"/>
                <w:szCs w:val="18"/>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 w:type="dxa"/>
            <w:vAlign w:val="bottom"/>
          </w:tcPr>
          <w:p>
            <w:pPr>
              <w:spacing w:after="0"/>
              <w:rPr>
                <w:sz w:val="18"/>
                <w:szCs w:val="18"/>
                <w:color w:val="auto"/>
              </w:rPr>
            </w:pPr>
          </w:p>
        </w:tc>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840" w:type="dxa"/>
            <w:vAlign w:val="bottom"/>
          </w:tcPr>
          <w:p>
            <w:pPr>
              <w:spacing w:after="0"/>
              <w:rPr>
                <w:sz w:val="19"/>
                <w:szCs w:val="19"/>
                <w:color w:val="auto"/>
              </w:rPr>
            </w:pPr>
          </w:p>
        </w:tc>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840" w:type="dxa"/>
            <w:vAlign w:val="bottom"/>
          </w:tcPr>
          <w:p>
            <w:pPr>
              <w:spacing w:after="0"/>
              <w:rPr>
                <w:sz w:val="18"/>
                <w:szCs w:val="18"/>
                <w:color w:val="auto"/>
              </w:rPr>
            </w:pPr>
          </w:p>
        </w:tc>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foreign</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18"/>
                <w:szCs w:val="18"/>
                <w:color w:val="auto"/>
              </w:rPr>
            </w:pPr>
          </w:p>
        </w:tc>
      </w:tr>
      <w:tr>
        <w:trPr>
          <w:trHeight w:val="223"/>
        </w:trPr>
        <w:tc>
          <w:tcPr>
            <w:tcW w:w="840" w:type="dxa"/>
            <w:vAlign w:val="bottom"/>
          </w:tcPr>
          <w:p>
            <w:pPr>
              <w:spacing w:after="0"/>
              <w:rPr>
                <w:sz w:val="19"/>
                <w:szCs w:val="19"/>
                <w:color w:val="auto"/>
              </w:rPr>
            </w:pPr>
          </w:p>
        </w:tc>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it was concluded that it is more likely than not that our U.S. deferred tax assets will be fully realized based on management’s assessment. In evaluating the realizability of our U.S. deferred tax assets, management considered all available evidence, both positive and negative, weighted based on objective verifiability. Our assessment also considered our ability to fully utilize before expiration our domestic net operating loss carryforwards, which begin to expire in 2031, and our federal general business tax credit carryforwards, which begin to expire in 2028. As of December 31, 2025, our federal net operating loss carryforwards, state net operating loss carryforwards, and federal general business tax credit carryforwards were $8,800, $5,100 and $3,400,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for certain past operations in the U.K., we continue to report a valuation allowance for net operating loss carryforwards of approximately $10,100, nearly all of which can be carried forward indefinitely. Management has concluded that utilization of the U.K. net operating losses may be limited due to the change in the past U.K. operation, and that they cannot currently be used to reduce taxable income of our other U.K. subsidiary, Accutronics Ltd. There are no other deferred tax assets related to the past U.K.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have not recognized a valuation allowance against our other foreign deferred tax assets, including net operating loss carryforwards of $1,300 which expire in 2029 through 2035, as we believe that it is more likely than not that they will be fully realized.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December 31, 2025, and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maintains its assertion that all foreign earnings will be indefinitely reinvested in those operations, other than earnings generated in the U.K.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2022 through 2024 remain subject to IRS examination. Our U.S. tax matters for 2005-2007, 2009, and 2011-2015 also remain subject to IRS examination due to the remaining availability of net operating loss carryforwards generated in those years. Our U.S. tax matters for 2015 through 2024 remain subject to examination by various state and local tax jurisdictions. Our tax matters for the years 2015 through 2024 remain subject to examination by the respective foreign tax jurisdiction authorities.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December 31, 2025, the remaining lease terms on our operating leases range from approximately one (1) year to seven (7)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7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3760" w:type="dxa"/>
            <w:vAlign w:val="bottom"/>
            <w:shd w:val="clear" w:color="auto" w:fill="CCEEFF"/>
          </w:tcPr>
          <w:p>
            <w:pPr>
              <w:spacing w:after="0"/>
              <w:rPr>
                <w:sz w:val="20"/>
                <w:szCs w:val="20"/>
                <w:color w:val="auto"/>
              </w:rPr>
            </w:pPr>
          </w:p>
        </w:tc>
        <w:tc>
          <w:tcPr>
            <w:tcW w:w="300" w:type="dxa"/>
            <w:vAlign w:val="bottom"/>
            <w:gridSpan w:val="3"/>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Operating cash flows from operating leases</w:t>
            </w:r>
          </w:p>
        </w:tc>
        <w:tc>
          <w:tcPr>
            <w:tcW w:w="3760" w:type="dxa"/>
            <w:vAlign w:val="bottom"/>
          </w:tcPr>
          <w:p>
            <w:pPr>
              <w:spacing w:after="0"/>
              <w:rPr>
                <w:sz w:val="19"/>
                <w:szCs w:val="19"/>
                <w:color w:val="auto"/>
              </w:rPr>
            </w:pPr>
          </w:p>
        </w:tc>
        <w:tc>
          <w:tcPr>
            <w:tcW w:w="5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c>
          <w:tcPr>
            <w:tcW w:w="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70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540" w:type="dxa"/>
            <w:vAlign w:val="bottom"/>
            <w:tcBorders>
              <w:top w:val="single" w:sz="8" w:color="auto"/>
              <w:bottom w:val="single" w:sz="8" w:color="auto"/>
            </w:tcBorders>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Borders>
              <w:top w:val="single" w:sz="8" w:color="auto"/>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10"/>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3,344</w:t>
            </w:r>
          </w:p>
        </w:tc>
        <w:tc>
          <w:tcPr>
            <w:tcW w:w="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4,153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3,333</w:t>
            </w:r>
          </w:p>
        </w:tc>
        <w:tc>
          <w:tcPr>
            <w:tcW w:w="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2025,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37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7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20" w:top="819"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Note 9 - 401(k) Retirement Benefit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defined contribution 401(k) plan covering substantially all employees. Employees can contribute a portion of their salary or wages as prescribed under Section 401(k) of the Internal Revenue Code and, subject to certain limitations, we may, at the discretion of our Board of Directors, authorize an employer contribution based on a portion of the employees' contributions. For the years ended December 31, 2025, and 2024, the Company matched 100% on the first 3% and 50% on the next 2% contributed by the employee, or a maximum of 4% of the employee’s income. For 2025 and 2024, we contributed $1,203 and $771, respectively, to the 401(k) plan.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Business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represent a component of the Company that engages in business activities from which it may recognize revenues and incur expenses whose operating results are regularly reviewed by the public entity’s chief operating decision maker (“CODM”) to make decisions about resources to be allocated to the segment and assess its performance, and for which discrete financial information is available. Once operating segments are identified, the Company determined which of those operating segments are required to be presented as reportable segments based on the quantitative thresholds.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structure our operations primarily around the products we sell and report our financial results in following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Mike Manna, President &amp; Chief Executive Officer. Both of our business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financial measures used by the CODM to monitor and evaluate the performance of the operating segments is segment contribution, as defined by gross profit less direct research and development (“R&amp;D”) and direct selling, general and administrative (“SG&amp;A”) expenses. This metric is used as a consistent benchmark for comparison across reporting periods.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segment expenses regularly reviewed by the CODM and included in segment contribution are cost of products sold and direct R&amp;D and SG&amp;A expenses. There are no other segment items included in segment contribution beyond the significant expenses disclosed.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business segments.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spacing w:after="0"/>
              <w:rPr>
                <w:sz w:val="20"/>
                <w:szCs w:val="20"/>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(9,736)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(145,138)</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46,021</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 R&amp;D and SG&amp;A expenses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(4,671)</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(27,088)</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18,933</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(24,835)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(24,835)</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(5,902)</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Ultralife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(5,898)</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165,592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24,119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216,912</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3,872</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33,883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45,376</w:t>
            </w:r>
          </w:p>
        </w:tc>
        <w:tc>
          <w:tcPr>
            <w:tcW w:w="168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5,499</w:t>
            </w:r>
          </w:p>
        </w:tc>
        <w:tc>
          <w:tcPr>
            <w:tcW w:w="16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680" w:type="dxa"/>
            <w:vAlign w:val="bottom"/>
          </w:tcPr>
          <w:p>
            <w:pPr>
              <w:spacing w:after="0"/>
              <w:rPr>
                <w:sz w:val="18"/>
                <w:szCs w:val="18"/>
                <w:color w:val="auto"/>
              </w:rPr>
            </w:pPr>
          </w:p>
        </w:tc>
      </w:tr>
      <w:tr>
        <w:trPr>
          <w:trHeight w:val="43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4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(14,378)</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(122,142)</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5,997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42,314</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 R&amp;D and SG&amp;A expenses</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(4,806)</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(22,126)</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20,188</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 expenses</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(10,223)</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6,312</w:t>
            </w: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173,954</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19,621</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220,451</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33,513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45,006</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Long-lived assets (comprised of property, plant and equipment; goodwill; and other intangible assets) held outside the U.S., principally in Canada, United Kingdom and China, were $19,777 and $22,306, net of accumulated depreciation and amortization, as of December 31, 2025, and 2024,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Commercial and Government/Defense Revenue Information: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Government/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Defense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125,295</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13,117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Government/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8"/>
              </w:rPr>
              <w:t>Defense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20,375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w w:val="99"/>
              </w:rPr>
              <w:t>U.S. and Non-U.S. Revenue Information</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980" w:type="dxa"/>
            <w:vAlign w:val="bottom"/>
          </w:tcPr>
          <w:p>
            <w:pPr>
              <w:jc w:val="right"/>
              <w:ind w:right="1830"/>
              <w:spacing w:after="0"/>
              <w:rPr>
                <w:sz w:val="20"/>
                <w:szCs w:val="20"/>
                <w:color w:val="auto"/>
              </w:rPr>
            </w:pPr>
            <w:r>
              <w:rPr>
                <w:rFonts w:ascii="Times New Roman" w:cs="Times New Roman" w:eastAsia="Times New Roman" w:hAnsi="Times New Roman"/>
                <w:sz w:val="18"/>
                <w:szCs w:val="18"/>
                <w:u w:val="single" w:color="auto"/>
                <w:color w:val="auto"/>
                <w:w w:val="78"/>
              </w:rPr>
              <w:t>:</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11,174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60" w:type="dxa"/>
            <w:vAlign w:val="bottom"/>
          </w:tcPr>
          <w:p>
            <w:pPr>
              <w:spacing w:after="0"/>
              <w:rPr>
                <w:sz w:val="24"/>
                <w:szCs w:val="24"/>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United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198"/>
        </w:trPr>
        <w:tc>
          <w:tcPr>
            <w:tcW w:w="2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rPr>
              <w:t>States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14,813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5"/>
        </w:trPr>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540" w:right="1039" w:hanging="5532"/>
        <w:spacing w:after="0" w:line="372" w:lineRule="auto"/>
        <w:tabs>
          <w:tab w:leader="none" w:pos="126"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4" w:right="1440" w:bottom="1440" w:gutter="0" w:footer="0" w:header="0"/>
        </w:sectPr>
      </w:pPr>
    </w:p>
    <w:bookmarkStart w:id="70" w:name="page71"/>
    <w:bookmarkEnd w:id="70"/>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Disclosure controls and procedures (as defined in Rule 13a-15(e) of the Exchange Act) are 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reasonable assurance that information required to be disclosed by a company in the reports that it files or submits under the Exchange Act is recorded, processed, summarized and reported within the time periods specified in SEC rules and forms and that such information is accumulated and communicated to management, including the principal executive and principal financial officers, as appropriate to allow timely decisions regarding required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President &amp; Chief Executive Officer (principal executive officer) and our Chief Financial Officer &amp; Treasurer (principal financial officer), has evaluated the effectiveness of our disclosure controls and procedures as of the end of the period covered by this annual report. Management has concluded that our disclosure control and procedures were not effective as of December 31, 2025, as a result of a material weakness in our internal control over financial reporting,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identified, management believes that the Consolidated Financial Statements included in this Annual Report on Form 10-K present fairly, in all material respects, the financial position of the Company at December 31, 2025 and 2024 and the consolidated results of operations and cash flows for each of the years then ended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Report on Internal Control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Management, under the supervision and with the participation of our President</w:t>
      </w:r>
    </w:p>
    <w:p>
      <w:pPr>
        <w:spacing w:after="0" w:line="31" w:lineRule="exact"/>
        <w:rPr>
          <w:sz w:val="20"/>
          <w:szCs w:val="20"/>
          <w:color w:val="auto"/>
        </w:rPr>
      </w:pPr>
    </w:p>
    <w:p>
      <w:pPr>
        <w:jc w:val="both"/>
        <w:ind w:firstLine="8"/>
        <w:spacing w:after="0" w:line="253" w:lineRule="auto"/>
        <w:tabs>
          <w:tab w:leader="none" w:pos="1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and Chief Financial Officer &amp; Treasurer, is responsible for establishing and maintaining adequate internal control over financial reporting. Internal control over financial reporting (as defined in Rule 13a-15(f) of the Exchange Act) is a process designed to provide reasonable assurance regarding the reliability of financial reporting and the preparation of financial statements for external purposes in accordance with generally accepted accounting principles.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2025, using the criteria set forth by the Committee of Sponsoring Organizations of the Treadway Commission (“COSO”) in Internal Control - Integrated Framework (2013). Based on our evaluation, we have concluded that there is a material weakness in our internal control over financial reporting. As a result of the material weakness identified, management has concluded that our internal control over financial reporting was not effective as of December 31,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material weakness has been identified because remediation efforts initiated during the year ended December 31, 2025 relating to the material weakness identified during the year ended December 31, 2024 attributable to the need for additional personnel to provide a full complement of accounting and reporting expertise have not been in place and adequately documented for a sufficient period of time to allow management to conclude that the related controls are operating effectively. In addition, information technology general controls (ITGC) were not operating effectively to ensure that (i) access to applications and data, including the ability to make changes, was appropriately restricted to authorized personnel, and (ii) the activities of individuals with such access were adequately monitored. As a result, business process controls (automated and manual) that are dependent on the affected ITGCs were also deemed ineffective because they could have been adversely impacted.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WithumSmith+Brown, PC, our independent registered public accounting firm, as stated in their report included in Part II, Item 8 of this Annual Report on Form 10-K.</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Remediation Efforts to Address the Material Weakness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As previously disclosed in our Annual Report on Form 10-K for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management identified a material weakness in internal control over financial reporting attributable to the need for additional personnel to provide a full complement of accounting and reporting expertise commensurate with the growth of the Company both organically and through acquisitions.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 the course of 2025, management implemented a remediation plan designed to address the previously identified material weakness. The Company significantly strengthened its finance and accounting team by adding a new oversight role and hiring additional highly experienced personnel including certified public accountants. The personnel actions taken include the naming of a Chief Accounting Officer with a backfill to the Corporate Controller role and filling the following positions: Director – Internal Audit &amp; Sox Compliance, Manager – Corporate Accounting, Manager – Corporate Reporting &amp; Consolidations, and Controller – Electrochem. Significant improvements in the design, execution and documentation of business process controls were implemented across our locations as part of our remediation plan during the second half of 2025 once the additional oversight was in place and the additional personnel were hired; however, all remedial actions were not in place and adequately documented for a sufficient period of time to allow management to conclude that controls were effective. It was also concluded that information technology general controls (ITGC) were not operating effectively to ensure that (i) access to applications and data, including the ability to make changes, was appropriately restricted, and (ii) the activities of individuals with such access were adequately monitored. Management has developed and is actively implementing corrective actions to remediate the identified ITGC deficiencies. As of the date of this Annual Report on Form 10-K, a comprehensive evaluation of all access rights of all users of our IT applications is being conducted to identify where access is not appropriately restricted. Access will be restricted to the extent possible, and mitigating controls will be implemented to address instances, if any, where system-level segregation may not be feasible due to personnel constraints or otherwise. Additionally, we will formalize our policies and procedures regarding user access reviews to require that they are performed on a more frequent and timely basis.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Remediation will be deemed complete once all corrective actions are fully implemented and in place for a sufficient period of time and further evaluation is performed, including testing, to conclude that our internal control over financial reporting is effective.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 Over Financial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Other than the remedial actions described above, there were no changes in our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financial reporting during the fourth quarter of the fiscal year covered by this report that materially affected, or are reasonably likely to materially affect, our internal control over financial reporting.</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Limitations of Effectiveness of Controls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Management, including our Chief Executive Officer and Chief Financial Officer, does not expect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disclosure controls and procedures or its internal control over financial reporting will prevent or detect all error and all fraud. A control system, no matter how well designed and operated, can provide only reasonable, not absolute, assurance that its objectives will be met. The design of a control system must reflect the fact that there are resource constraints, and the benefits of controls must be considered relative to their costs. Furthermore,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or by the collusion of two or more persons.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other than as set forth in Item 12, and each of the following items is omitted from this report and will be presented in our definitive proxy statement (“Proxy Statement”) to be filed pursuant to Regulation 14A, not later than 120 days after the end of the fiscal year covered by this report, in connection with our 2025 Annual Meeting of Stockholders, which information included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“Election of Directors”, “Executive Officers”, “Delinquent Section 16(a) Reports Compliance” and “Corporate Governance” in the Proxy Statement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sections entitled “Executive Compensation”, “Directors Compensation”, “Employment Arrangements” and “Compensation and Management Committee” in the Proxy Statement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“Security Ownership of Certain Beneficial Owners” and “Security Ownership of Management” in the Proxy Statement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5160" w:type="dxa"/>
            <w:vAlign w:val="bottom"/>
            <w:gridSpan w:val="5"/>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 remaining</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available for future issuance</w:t>
            </w:r>
          </w:p>
        </w:tc>
      </w:tr>
      <w:tr>
        <w:trPr>
          <w:trHeight w:val="216"/>
        </w:trPr>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under</w:t>
            </w:r>
          </w:p>
        </w:tc>
      </w:tr>
      <w:tr>
        <w:trPr>
          <w:trHeight w:val="216"/>
        </w:trPr>
        <w:tc>
          <w:tcPr>
            <w:tcW w:w="36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260" w:type="dxa"/>
            <w:vAlign w:val="bottom"/>
          </w:tcPr>
          <w:p>
            <w:pPr>
              <w:spacing w:after="0"/>
              <w:rPr>
                <w:sz w:val="18"/>
                <w:szCs w:val="18"/>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 compensation plans</w:t>
            </w:r>
          </w:p>
        </w:tc>
      </w:tr>
      <w:tr>
        <w:trPr>
          <w:trHeight w:val="216"/>
        </w:trPr>
        <w:tc>
          <w:tcPr>
            <w:tcW w:w="36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be issued upon exercise</w:t>
            </w:r>
          </w:p>
        </w:tc>
        <w:tc>
          <w:tcPr>
            <w:tcW w:w="260" w:type="dxa"/>
            <w:vAlign w:val="bottom"/>
          </w:tcPr>
          <w:p>
            <w:pPr>
              <w:spacing w:after="0"/>
              <w:rPr>
                <w:sz w:val="18"/>
                <w:szCs w:val="18"/>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(excluding securities reflected</w:t>
            </w:r>
          </w:p>
        </w:tc>
      </w:tr>
      <w:tr>
        <w:trPr>
          <w:trHeight w:val="216"/>
        </w:trPr>
        <w:tc>
          <w:tcPr>
            <w:tcW w:w="3620" w:type="dxa"/>
            <w:vAlign w:val="bottom"/>
          </w:tcPr>
          <w:p>
            <w:pPr>
              <w:spacing w:after="0"/>
              <w:rPr>
                <w:sz w:val="18"/>
                <w:szCs w:val="18"/>
                <w:color w:val="auto"/>
              </w:rPr>
            </w:pP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of outstanding options,</w:t>
            </w:r>
          </w:p>
        </w:tc>
        <w:tc>
          <w:tcPr>
            <w:tcW w:w="260" w:type="dxa"/>
            <w:vAlign w:val="bottom"/>
          </w:tcPr>
          <w:p>
            <w:pPr>
              <w:spacing w:after="0"/>
              <w:rPr>
                <w:sz w:val="18"/>
                <w:szCs w:val="18"/>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w:t>
            </w:r>
          </w:p>
        </w:tc>
      </w:tr>
      <w:tr>
        <w:trPr>
          <w:trHeight w:val="216"/>
        </w:trPr>
        <w:tc>
          <w:tcPr>
            <w:tcW w:w="3620" w:type="dxa"/>
            <w:vAlign w:val="bottom"/>
          </w:tcPr>
          <w:p>
            <w:pPr>
              <w:spacing w:after="0"/>
              <w:rPr>
                <w:sz w:val="18"/>
                <w:szCs w:val="18"/>
                <w:color w:val="auto"/>
              </w:rPr>
            </w:pPr>
          </w:p>
        </w:tc>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60" w:type="dxa"/>
            <w:vAlign w:val="bottom"/>
          </w:tcPr>
          <w:p>
            <w:pPr>
              <w:spacing w:after="0"/>
              <w:rPr>
                <w:sz w:val="18"/>
                <w:szCs w:val="18"/>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column (a))</w:t>
            </w:r>
          </w:p>
        </w:tc>
      </w:tr>
      <w:tr>
        <w:trPr>
          <w:trHeight w:val="234"/>
        </w:trPr>
        <w:tc>
          <w:tcPr>
            <w:tcW w:w="36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Plan Category</w:t>
            </w:r>
          </w:p>
        </w:tc>
        <w:tc>
          <w:tcPr>
            <w:tcW w:w="2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w:t>
            </w:r>
          </w:p>
        </w:tc>
        <w:tc>
          <w:tcPr>
            <w:tcW w:w="260" w:type="dxa"/>
            <w:vAlign w:val="bottom"/>
          </w:tcPr>
          <w:p>
            <w:pPr>
              <w:spacing w:after="0"/>
              <w:rPr>
                <w:sz w:val="20"/>
                <w:szCs w:val="20"/>
                <w:color w:val="auto"/>
              </w:rPr>
            </w:pPr>
          </w:p>
        </w:tc>
        <w:tc>
          <w:tcPr>
            <w:tcW w:w="2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(b)</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r>
      <w:tr>
        <w:trPr>
          <w:trHeight w:val="178"/>
        </w:trPr>
        <w:tc>
          <w:tcPr>
            <w:tcW w:w="36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3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967,351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1,709,020</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in the notes to consolidated financial statements for additional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 entitled “Corporate Governance – General” in the Proxy Statement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section entitled “Proposal to Ratify the Selection of Independent Registered Accounting Firm - Principal Accountant Fees and Services” in the Proxy Statement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right="7820" w:hanging="652"/>
        <w:spacing w:after="0" w:line="51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Documents filed as part of this report: </w:t>
      </w: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Financial Statements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financial statements and schedules required by this Item 15 are set forth in Part II, Item 8 of this Form 10-K.</w:t>
      </w:r>
    </w:p>
    <w:p>
      <w:pPr>
        <w:sectPr>
          <w:pgSz w:w="11900" w:h="16838" w:orient="portrait"/>
          <w:cols w:equalWidth="0" w:num="1">
            <w:col w:w="11220"/>
          </w:cols>
          <w:pgMar w:left="320" w:top="576" w:right="359" w:bottom="1440" w:gutter="0" w:footer="0" w:header="0"/>
        </w:sect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Auditor information: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WithumSmith+Brown, PC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PCAOB ID 100</w:t>
      </w:r>
    </w:p>
    <w:p>
      <w:pPr>
        <w:spacing w:after="0" w:line="20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filed as a part of this report: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Index</w:t>
            </w:r>
          </w:p>
        </w:tc>
        <w:tc>
          <w:tcPr>
            <w:tcW w:w="220" w:type="dxa"/>
            <w:vAlign w:val="bottom"/>
          </w:tcPr>
          <w:p>
            <w:pPr>
              <w:spacing w:after="0"/>
              <w:rPr>
                <w:sz w:val="20"/>
                <w:szCs w:val="20"/>
                <w:color w:val="auto"/>
              </w:rPr>
            </w:pPr>
          </w:p>
        </w:tc>
        <w:tc>
          <w:tcPr>
            <w:tcW w:w="506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8"/>
                <w:szCs w:val="18"/>
                <w:color w:val="auto"/>
              </w:rPr>
              <w:t>Description of Document</w:t>
            </w:r>
          </w:p>
        </w:tc>
      </w:tr>
      <w:tr>
        <w:trPr>
          <w:trHeight w:val="169"/>
        </w:trPr>
        <w:tc>
          <w:tcPr>
            <w:tcW w:w="9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502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Share Purchase Agreement, dated December 13, 2021, by and among</w:t>
              </w:r>
            </w:hyperlink>
          </w:p>
        </w:tc>
        <w:tc>
          <w:tcPr>
            <w:tcW w:w="40" w:type="dxa"/>
            <w:vAlign w:val="bottom"/>
          </w:tcPr>
          <w:p>
            <w:pPr>
              <w:spacing w:after="0"/>
              <w:rPr>
                <w:sz w:val="14"/>
                <w:szCs w:val="14"/>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1336889 B.C. Unlimited Liability Company, Mark Kroeker,</w:t>
              </w:r>
            </w:hyperlink>
          </w:p>
        </w:tc>
        <w:tc>
          <w:tcPr>
            <w:tcW w:w="720" w:type="dxa"/>
            <w:vAlign w:val="bottom"/>
            <w:gridSpan w:val="10"/>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Randolph Peters, Brian Larsen, M. &amp; W. Holdings Ltd., Karen</w:t>
              </w:r>
            </w:hyperlink>
          </w:p>
        </w:tc>
        <w:tc>
          <w:tcPr>
            <w:tcW w:w="540" w:type="dxa"/>
            <w:vAlign w:val="bottom"/>
            <w:gridSpan w:val="8"/>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Kroeker, Heather Peterson, Michael Kroeker, Nicholas Kroeker,</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Brentley Peters, Craig Peters, Kurtis Peters, Heather Larsen, Ian</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gridSpan w:val="20"/>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Kane, Carol Peters, 0835205 B.C. LTD, and Excell Battery Canada</w:t>
              </w:r>
            </w:hyperlink>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w:t>
              </w:r>
            </w:hyperlink>
          </w:p>
        </w:tc>
        <w:tc>
          <w:tcPr>
            <w:tcW w:w="220" w:type="dxa"/>
            <w:vAlign w:val="bottom"/>
            <w:gridSpan w:val="5"/>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5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Share Purchase Agreement, dated December 13, 2021, by and among</w:t>
              </w:r>
            </w:hyperlink>
          </w:p>
        </w:tc>
        <w:tc>
          <w:tcPr>
            <w:tcW w:w="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1336902 B.C. Unlimited Liability Company, M. &amp; W. Holdings Ltd.,</w:t>
              </w:r>
            </w:hyperlink>
          </w:p>
        </w:tc>
        <w:tc>
          <w:tcPr>
            <w:tcW w:w="60" w:type="dxa"/>
            <w:vAlign w:val="bottom"/>
            <w:gridSpan w:val="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Ian Kane, Sanford Capital Ltd., Arcee Enterprises Inc., 0835205 B.C.</w:t>
              </w:r>
            </w:hyperlink>
          </w:p>
        </w:tc>
        <w:tc>
          <w:tcPr>
            <w:tcW w:w="4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Ltd., and 656700 B.C. LTD</w:t>
              </w:r>
            </w:hyperlink>
          </w:p>
        </w:tc>
        <w:tc>
          <w:tcPr>
            <w:tcW w:w="3060" w:type="dxa"/>
            <w:vAlign w:val="bottom"/>
            <w:gridSpan w:val="15"/>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5060" w:type="dxa"/>
            <w:vAlign w:val="bottom"/>
            <w:gridSpan w:val="2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Stock Purchase Agreement, dated May 1, 2019, by and among</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Ultralife Corporation, Southwest Electronic Energy Corporation,</w:t>
              </w:r>
            </w:hyperlink>
          </w:p>
        </w:tc>
        <w:tc>
          <w:tcPr>
            <w:tcW w:w="38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gridSpan w:val="20"/>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Southwest Electronic Energy Medical Research Institute, and Claude</w:t>
              </w:r>
            </w:hyperlink>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Leonard Benckenstein</w:t>
              </w:r>
            </w:hyperlink>
          </w:p>
        </w:tc>
        <w:tc>
          <w:tcPr>
            <w:tcW w:w="80" w:type="dxa"/>
            <w:vAlign w:val="bottom"/>
            <w:gridSpan w:val="3"/>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7"/>
                <w:szCs w:val="17"/>
                <w:color w:val="auto"/>
              </w:rPr>
            </w:pPr>
          </w:p>
        </w:tc>
        <w:tc>
          <w:tcPr>
            <w:tcW w:w="4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Stock Purchase Agreement Relating to Accutronics Limited by and</w:t>
              </w:r>
            </w:hyperlink>
          </w:p>
        </w:tc>
        <w:tc>
          <w:tcPr>
            <w:tcW w:w="20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between Robert Andrew Phillips and Others and Ultralife</w:t>
              </w:r>
            </w:hyperlink>
          </w:p>
        </w:tc>
        <w:tc>
          <w:tcPr>
            <w:tcW w:w="900" w:type="dxa"/>
            <w:vAlign w:val="bottom"/>
            <w:gridSpan w:val="11"/>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Corporation</w:t>
              </w:r>
            </w:hyperlink>
          </w:p>
        </w:tc>
        <w:tc>
          <w:tcPr>
            <w:tcW w:w="4180" w:type="dxa"/>
            <w:vAlign w:val="bottom"/>
            <w:gridSpan w:val="18"/>
          </w:tcPr>
          <w:p>
            <w:pPr>
              <w:spacing w:after="0"/>
              <w:rPr>
                <w:sz w:val="17"/>
                <w:szCs w:val="17"/>
                <w:color w:val="auto"/>
              </w:rPr>
            </w:pPr>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Restated Certificate of Incorporation</w:t>
              </w:r>
            </w:hyperlink>
          </w:p>
        </w:tc>
        <w:tc>
          <w:tcPr>
            <w:tcW w:w="2400" w:type="dxa"/>
            <w:vAlign w:val="bottom"/>
            <w:gridSpan w:val="13"/>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5060" w:type="dxa"/>
            <w:vAlign w:val="bottom"/>
            <w:gridSpan w:val="20"/>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Amended and Restated By-laws</w:t>
              </w:r>
            </w:hyperlink>
          </w:p>
        </w:tc>
      </w:tr>
      <w:tr>
        <w:trPr>
          <w:trHeight w:val="196"/>
        </w:trPr>
        <w:tc>
          <w:tcPr>
            <w:tcW w:w="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Specimen Stock Certificate</w:t>
              </w:r>
            </w:hyperlink>
          </w:p>
        </w:tc>
        <w:tc>
          <w:tcPr>
            <w:tcW w:w="340" w:type="dxa"/>
            <w:vAlign w:val="bottom"/>
            <w:tcBorders>
              <w:top w:val="single" w:sz="8" w:color="0000EE"/>
            </w:tcBorders>
            <w:gridSpan w:val="2"/>
          </w:tcPr>
          <w:p>
            <w:pPr>
              <w:spacing w:after="0"/>
              <w:rPr>
                <w:sz w:val="17"/>
                <w:szCs w:val="17"/>
                <w:color w:val="auto"/>
              </w:rPr>
            </w:pPr>
          </w:p>
        </w:tc>
        <w:tc>
          <w:tcPr>
            <w:tcW w:w="2740" w:type="dxa"/>
            <w:vAlign w:val="bottom"/>
            <w:gridSpan w:val="14"/>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5060" w:type="dxa"/>
            <w:vAlign w:val="bottom"/>
            <w:gridSpan w:val="20"/>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Description of Registrant’s Securities</w:t>
              </w:r>
            </w:hyperlink>
          </w:p>
        </w:tc>
      </w:tr>
      <w:tr>
        <w:trPr>
          <w:trHeight w:val="66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Borders>
              <w:top w:val="single" w:sz="8" w:color="0000EE"/>
            </w:tcBorders>
            <w:gridSpan w:val="8"/>
          </w:tcPr>
          <w:p>
            <w:pPr>
              <w:spacing w:after="0"/>
              <w:rPr>
                <w:sz w:val="24"/>
                <w:szCs w:val="24"/>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7089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2.1 of the Form 8-K filed on December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2.2 of the Form 8-K filed on December 16,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2.1 of the Form 8-K filed on May 2,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2.2 of the Form 10-K for the year ended December 31, 2015, filed March 2, 2016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Exhibit 3.1 of the Form 10-K for the year ended December 31, 2008, filed March 13, 2009</w:t>
      </w:r>
    </w:p>
    <w:p>
      <w:pPr>
        <w:spacing w:after="0" w:line="250" w:lineRule="auto"/>
        <w:rPr>
          <w:sz w:val="20"/>
          <w:szCs w:val="20"/>
          <w:color w:val="auto"/>
        </w:rPr>
      </w:pPr>
      <w:r>
        <w:rPr>
          <w:rFonts w:ascii="Times New Roman" w:cs="Times New Roman" w:eastAsia="Times New Roman" w:hAnsi="Times New Roman"/>
          <w:sz w:val="18"/>
          <w:szCs w:val="18"/>
          <w:color w:val="auto"/>
        </w:rPr>
        <w:t>Exhibit 3.2 of the Form 8-K filed December 9, 2011 Exhibit 4.1 of the Form 10-K for the year ended December 31, 2008, filed March 13, 2009</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Exhibit 4.2 of the Form 10-K/A for the year ended December 31, 2019, filed April 28, 2020</w:t>
      </w:r>
    </w:p>
    <w:p>
      <w:pPr>
        <w:sectPr>
          <w:pgSz w:w="11900" w:h="16838" w:orient="portrait"/>
          <w:cols w:equalWidth="0" w:num="2">
            <w:col w:w="6760" w:space="220"/>
            <w:col w:w="4240"/>
          </w:cols>
          <w:pgMar w:left="320" w:top="576" w:right="359" w:bottom="1440" w:gutter="0" w:footer="0" w:header="0"/>
          <w:type w:val="continuous"/>
        </w:sectPr>
      </w:pPr>
    </w:p>
    <w:bookmarkStart w:id="74" w:name="page75"/>
    <w:bookmarkEnd w:id="74"/>
    <w:tbl>
      <w:tblPr>
        <w:tblLayout w:type="fixed"/>
        <w:tblInd w:w="58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20" w:type="dxa"/>
            <w:vAlign w:val="bottom"/>
            <w:gridSpan w:val="25"/>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the Agreement relating to rechargeable batteries</w:t>
              </w:r>
            </w:hyperlink>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 10.24 of our Form 10-K for the fiscal year ended</w:t>
            </w:r>
          </w:p>
        </w:tc>
      </w:tr>
      <w:tr>
        <w:trPr>
          <w:trHeight w:val="218"/>
        </w:trPr>
        <w:tc>
          <w:tcPr>
            <w:tcW w:w="1120" w:type="dxa"/>
            <w:vAlign w:val="bottom"/>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June 30, 1996 (this Exhibit may be found in SEC File No.</w:t>
            </w:r>
          </w:p>
        </w:tc>
      </w:tr>
      <w:tr>
        <w:trPr>
          <w:trHeight w:val="216"/>
        </w:trPr>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0-20852)</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5120" w:type="dxa"/>
            <w:vAlign w:val="bottom"/>
            <w:gridSpan w:val="25"/>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Ultralife Corporation Amended 2014 Long-Term Incentive Plan</w:t>
              </w:r>
            </w:hyperlink>
          </w:p>
        </w:tc>
        <w:tc>
          <w:tcPr>
            <w:tcW w:w="43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Appendix B of Form DEF 14A filed on June 1, 2021</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47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Credit and Security Agreement between Ultralife Corporation and</w:t>
              </w:r>
            </w:hyperlink>
          </w:p>
        </w:tc>
        <w:tc>
          <w:tcPr>
            <w:tcW w:w="340" w:type="dxa"/>
            <w:vAlign w:val="bottom"/>
            <w:gridSpan w:val="2"/>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June 6, 2017</w:t>
            </w:r>
          </w:p>
        </w:tc>
      </w:tr>
      <w:tr>
        <w:trPr>
          <w:trHeight w:val="196"/>
        </w:trPr>
        <w:tc>
          <w:tcPr>
            <w:tcW w:w="1120" w:type="dxa"/>
            <w:vAlign w:val="bottom"/>
          </w:tcPr>
          <w:p>
            <w:pPr>
              <w:spacing w:after="0"/>
              <w:rPr>
                <w:sz w:val="17"/>
                <w:szCs w:val="17"/>
                <w:color w:val="auto"/>
              </w:rPr>
            </w:pPr>
          </w:p>
        </w:tc>
        <w:tc>
          <w:tcPr>
            <w:tcW w:w="3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KeyBank National Association dated May 31, 2017</w:t>
              </w:r>
            </w:hyperlink>
          </w:p>
        </w:tc>
        <w:tc>
          <w:tcPr>
            <w:tcW w:w="1380" w:type="dxa"/>
            <w:vAlign w:val="bottom"/>
            <w:gridSpan w:val="16"/>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First Amendment Agreement, dated May 1, 2019, by and among</w:t>
              </w:r>
            </w:hyperlink>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May 2, 2019</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Ultralife Corporation, Southwest Electronic Energy Corporation,</w:t>
              </w:r>
            </w:hyperlink>
          </w:p>
        </w:tc>
        <w:tc>
          <w:tcPr>
            <w:tcW w:w="420" w:type="dxa"/>
            <w:vAlign w:val="bottom"/>
            <w:gridSpan w:val="5"/>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CLB, Inc., and KeyBank National Association</w:t>
              </w:r>
            </w:hyperlink>
          </w:p>
        </w:tc>
        <w:tc>
          <w:tcPr>
            <w:tcW w:w="1760" w:type="dxa"/>
            <w:vAlign w:val="bottom"/>
            <w:gridSpan w:val="18"/>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7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Amendment No. 1 to Ultralife Corporation Amended 2014 Long-</w:t>
              </w:r>
            </w:hyperlink>
          </w:p>
        </w:tc>
        <w:tc>
          <w:tcPr>
            <w:tcW w:w="380" w:type="dxa"/>
            <w:vAlign w:val="bottom"/>
            <w:gridSpan w:val="3"/>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Appendix A of Form DEF 14A filed on June 1, 2021</w:t>
            </w:r>
          </w:p>
        </w:tc>
      </w:tr>
      <w:tr>
        <w:trPr>
          <w:trHeight w:val="196"/>
        </w:trPr>
        <w:tc>
          <w:tcPr>
            <w:tcW w:w="112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Term Incentive Plan</w:t>
              </w:r>
            </w:hyperlink>
          </w:p>
        </w:tc>
        <w:tc>
          <w:tcPr>
            <w:tcW w:w="43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4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Second Amendment Agreement, dated December 13, 2021, by and</w:t>
              </w:r>
            </w:hyperlink>
          </w:p>
        </w:tc>
        <w:tc>
          <w:tcPr>
            <w:tcW w:w="280" w:type="dxa"/>
            <w:vAlign w:val="bottom"/>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w w:val="99"/>
              </w:rPr>
              <w:t>Exhibit 10.1 of the Form 8-K filed on December 16, 2021</w:t>
            </w:r>
          </w:p>
        </w:tc>
      </w:tr>
      <w:tr>
        <w:trPr>
          <w:trHeight w:val="196"/>
        </w:trPr>
        <w:tc>
          <w:tcPr>
            <w:tcW w:w="112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among Ultralife Corporation, Southwest Electronic Energy</w:t>
              </w:r>
            </w:hyperlink>
          </w:p>
        </w:tc>
        <w:tc>
          <w:tcPr>
            <w:tcW w:w="860" w:type="dxa"/>
            <w:vAlign w:val="bottom"/>
            <w:gridSpan w:val="13"/>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Corporation, CLB, Inc., Ultralife Excell Holding Corp., Ultralife</w:t>
              </w:r>
            </w:hyperlink>
          </w:p>
        </w:tc>
        <w:tc>
          <w:tcPr>
            <w:tcW w:w="440" w:type="dxa"/>
            <w:vAlign w:val="bottom"/>
            <w:gridSpan w:val="6"/>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Canada Holding Corp., Excell Battery Corporation USA, and</w:t>
              </w:r>
            </w:hyperlink>
          </w:p>
        </w:tc>
        <w:tc>
          <w:tcPr>
            <w:tcW w:w="680" w:type="dxa"/>
            <w:vAlign w:val="bottom"/>
            <w:gridSpan w:val="10"/>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KeyBank National Association</w:t>
              </w:r>
            </w:hyperlink>
          </w:p>
        </w:tc>
        <w:tc>
          <w:tcPr>
            <w:tcW w:w="43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Third Amendment Agreement, dated November 28, 2022, by and</w:t>
              </w:r>
            </w:hyperlink>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10.8 of the Form 10-K for the year ended</w:t>
            </w:r>
          </w:p>
        </w:tc>
      </w:tr>
      <w:tr>
        <w:trPr>
          <w:trHeight w:val="196"/>
        </w:trPr>
        <w:tc>
          <w:tcPr>
            <w:tcW w:w="112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among Ultralife Corporation, Southwest Electronic Energy</w:t>
              </w:r>
            </w:hyperlink>
          </w:p>
        </w:tc>
        <w:tc>
          <w:tcPr>
            <w:tcW w:w="460" w:type="dxa"/>
            <w:vAlign w:val="bottom"/>
            <w:tcBorders>
              <w:top w:val="single" w:sz="8" w:color="0000EE"/>
            </w:tcBorders>
            <w:gridSpan w:val="9"/>
          </w:tcPr>
          <w:p>
            <w:pPr>
              <w:spacing w:after="0"/>
              <w:rPr>
                <w:sz w:val="17"/>
                <w:szCs w:val="17"/>
                <w:color w:val="auto"/>
              </w:rPr>
            </w:pPr>
          </w:p>
        </w:tc>
        <w:tc>
          <w:tcPr>
            <w:tcW w:w="400" w:type="dxa"/>
            <w:vAlign w:val="bottom"/>
            <w:gridSpan w:val="4"/>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2022, filed March 31, 2013</w:t>
            </w:r>
          </w:p>
        </w:tc>
      </w:tr>
      <w:tr>
        <w:trPr>
          <w:trHeight w:val="196"/>
        </w:trPr>
        <w:tc>
          <w:tcPr>
            <w:tcW w:w="1120" w:type="dxa"/>
            <w:vAlign w:val="bottom"/>
          </w:tcPr>
          <w:p>
            <w:pPr>
              <w:spacing w:after="0"/>
              <w:rPr>
                <w:sz w:val="17"/>
                <w:szCs w:val="17"/>
                <w:color w:val="auto"/>
              </w:rPr>
            </w:pPr>
          </w:p>
        </w:tc>
        <w:tc>
          <w:tcPr>
            <w:tcW w:w="46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Corporation, CLB, Inc., Ultralife Excell Holding Corp., Ultralife</w:t>
              </w:r>
            </w:hyperlink>
          </w:p>
        </w:tc>
        <w:tc>
          <w:tcPr>
            <w:tcW w:w="440" w:type="dxa"/>
            <w:vAlign w:val="bottom"/>
            <w:gridSpan w:val="6"/>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Canada Holding Corp., Excell Battery Corporation USA, Excell</w:t>
              </w:r>
            </w:hyperlink>
          </w:p>
        </w:tc>
        <w:tc>
          <w:tcPr>
            <w:tcW w:w="43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Battery Canada ULC and KeyBank National Association</w:t>
              </w:r>
            </w:hyperlink>
          </w:p>
        </w:tc>
        <w:tc>
          <w:tcPr>
            <w:tcW w:w="500" w:type="dxa"/>
            <w:vAlign w:val="bottom"/>
            <w:tcBorders>
              <w:top w:val="single" w:sz="8" w:color="0000EE"/>
            </w:tcBorders>
            <w:gridSpan w:val="7"/>
          </w:tcPr>
          <w:p>
            <w:pPr>
              <w:spacing w:after="0"/>
              <w:rPr>
                <w:sz w:val="17"/>
                <w:szCs w:val="17"/>
                <w:color w:val="auto"/>
              </w:rPr>
            </w:pPr>
          </w:p>
        </w:tc>
        <w:tc>
          <w:tcPr>
            <w:tcW w:w="500" w:type="dxa"/>
            <w:vAlign w:val="bottom"/>
            <w:gridSpan w:val="7"/>
          </w:tcPr>
          <w:p>
            <w:pPr>
              <w:spacing w:after="0"/>
              <w:rPr>
                <w:sz w:val="17"/>
                <w:szCs w:val="17"/>
                <w:color w:val="auto"/>
              </w:rPr>
            </w:pPr>
          </w:p>
        </w:tc>
        <w:tc>
          <w:tcPr>
            <w:tcW w:w="4320" w:type="dxa"/>
            <w:vAlign w:val="bottom"/>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120" w:type="dxa"/>
            <w:vAlign w:val="bottom"/>
            <w:gridSpan w:val="2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Stock Purchase Agreement dated September 27, 2024</w:t>
              </w:r>
            </w:hyperlink>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10.1 of the Form 8-K filed on October 3, 2024</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4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Credit and Security Agreement dated as of October 31, 2024</w:t>
              </w:r>
            </w:hyperlink>
          </w:p>
        </w:tc>
        <w:tc>
          <w:tcPr>
            <w:tcW w:w="740" w:type="dxa"/>
            <w:vAlign w:val="bottom"/>
            <w:gridSpan w:val="12"/>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10.2 of the Form 8-K filed on November 6, 2024</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5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Subsidiaries</w:t>
            </w: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2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WithumSmith+Brown, PC</w:t>
            </w:r>
          </w:p>
        </w:tc>
        <w:tc>
          <w:tcPr>
            <w:tcW w:w="2360" w:type="dxa"/>
            <w:vAlign w:val="bottom"/>
            <w:gridSpan w:val="19"/>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45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Freed Maxick P.C. (f/k/a Freed Maxick CPAs, P.C.)</w:t>
            </w:r>
          </w:p>
        </w:tc>
        <w:tc>
          <w:tcPr>
            <w:tcW w:w="560" w:type="dxa"/>
            <w:vAlign w:val="bottom"/>
            <w:gridSpan w:val="9"/>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3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 15d-14(a) CEO Certifications</w:t>
            </w:r>
          </w:p>
        </w:tc>
        <w:tc>
          <w:tcPr>
            <w:tcW w:w="1740" w:type="dxa"/>
            <w:vAlign w:val="bottom"/>
            <w:gridSpan w:val="17"/>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1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9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Certifications</w:t>
            </w:r>
          </w:p>
        </w:tc>
        <w:tc>
          <w:tcPr>
            <w:tcW w:w="1380" w:type="dxa"/>
            <w:vAlign w:val="bottom"/>
            <w:tcBorders>
              <w:top w:val="single" w:sz="8" w:color="0000EE"/>
            </w:tcBorders>
            <w:gridSpan w:val="3"/>
          </w:tcPr>
          <w:p>
            <w:pPr>
              <w:spacing w:after="0"/>
              <w:rPr>
                <w:sz w:val="17"/>
                <w:szCs w:val="17"/>
                <w:color w:val="auto"/>
              </w:rPr>
            </w:pPr>
          </w:p>
        </w:tc>
        <w:tc>
          <w:tcPr>
            <w:tcW w:w="1760" w:type="dxa"/>
            <w:vAlign w:val="bottom"/>
            <w:gridSpan w:val="18"/>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4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Ultralife Corporation Policy for the Recovery of Erroneously</w:t>
              </w:r>
            </w:hyperlink>
          </w:p>
        </w:tc>
        <w:tc>
          <w:tcPr>
            <w:tcW w:w="700" w:type="dxa"/>
            <w:vAlign w:val="bottom"/>
            <w:gridSpan w:val="11"/>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Exhibit 97.1 of the Form 10-K for the year ended</w:t>
            </w:r>
          </w:p>
        </w:tc>
      </w:tr>
      <w:tr>
        <w:trPr>
          <w:trHeight w:val="196"/>
        </w:trPr>
        <w:tc>
          <w:tcPr>
            <w:tcW w:w="112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3">
              <w:r>
                <w:rPr>
                  <w:rFonts w:ascii="Times New Roman" w:cs="Times New Roman" w:eastAsia="Times New Roman" w:hAnsi="Times New Roman"/>
                  <w:sz w:val="18"/>
                  <w:szCs w:val="18"/>
                  <w:color w:val="0000EE"/>
                  <w:w w:val="98"/>
                </w:rPr>
                <w:t>Awarded Compensation</w:t>
              </w:r>
            </w:hyperlink>
          </w:p>
        </w:tc>
        <w:tc>
          <w:tcPr>
            <w:tcW w:w="3380" w:type="dxa"/>
            <w:vAlign w:val="bottom"/>
            <w:gridSpan w:val="22"/>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2023, filed March 21, 2024</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120" w:type="dxa"/>
            <w:vAlign w:val="bottom"/>
          </w:tcPr>
          <w:p>
            <w:pPr>
              <w:spacing w:after="0"/>
              <w:rPr>
                <w:sz w:val="20"/>
                <w:szCs w:val="20"/>
                <w:color w:val="auto"/>
              </w:rPr>
            </w:pPr>
          </w:p>
        </w:tc>
        <w:tc>
          <w:tcPr>
            <w:tcW w:w="51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4320" w:type="dxa"/>
            <w:vAlign w:val="bottom"/>
          </w:tcPr>
          <w:p>
            <w:pPr>
              <w:spacing w:after="0"/>
              <w:rPr>
                <w:sz w:val="20"/>
                <w:szCs w:val="20"/>
                <w:color w:val="auto"/>
              </w:rPr>
            </w:pPr>
          </w:p>
        </w:tc>
      </w:tr>
    </w:tbl>
    <w:p>
      <w:pPr>
        <w:spacing w:after="0" w:line="198" w:lineRule="exact"/>
        <w:rPr>
          <w:sz w:val="20"/>
          <w:szCs w:val="20"/>
          <w:color w:val="auto"/>
        </w:rPr>
      </w:pPr>
    </w:p>
    <w:p>
      <w:pPr>
        <w:ind w:left="960" w:hanging="14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certain portions of this exhibit.</w:t>
      </w:r>
    </w:p>
    <w:p>
      <w:pPr>
        <w:spacing w:after="0" w:line="225"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December 31, 2025 and December 31, 2024, (ii) Consolidated Statements of (Loss) Income and Comprehensive (Loss) Income for the years ended December 31, 2025 and December 31, 2024, (iii) Consolidated Statements of Cash Flows for the years ended December 31, 2025 and December 31, 2024, (iv) Consolidated Statements of Changes in Stockholders’ Equity for the years ended December 31, 2025 and December 31, 2024, and (v)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p>
        </w:tc>
        <w:tc>
          <w:tcPr>
            <w:tcW w:w="40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ULTRALIFE CORPORATION</w:t>
            </w:r>
          </w:p>
        </w:tc>
      </w:tr>
      <w:tr>
        <w:trPr>
          <w:trHeight w:val="432"/>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88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8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3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3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Janie Goddard</w:t>
            </w:r>
          </w:p>
        </w:tc>
      </w:tr>
      <w:tr>
        <w:trPr>
          <w:trHeight w:val="228"/>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Janie Goddard (Director)</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 Saeli</w:t>
            </w:r>
          </w:p>
        </w:tc>
      </w:tr>
      <w:tr>
        <w:trPr>
          <w:trHeight w:val="228"/>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Thomas L. Saeli (Director)</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Shaw II</w:t>
            </w:r>
          </w:p>
        </w:tc>
      </w:tr>
      <w:tr>
        <w:trPr>
          <w:trHeight w:val="228"/>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Robert W. Shaw II (Director)</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24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Bradford T. Whitmore</w:t>
            </w:r>
          </w:p>
        </w:tc>
      </w:tr>
      <w:tr>
        <w:trPr>
          <w:trHeight w:val="228"/>
        </w:trPr>
        <w:tc>
          <w:tcPr>
            <w:tcW w:w="3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Bradford T. Whitmore (Director)</w:t>
            </w:r>
          </w:p>
        </w:tc>
      </w:tr>
      <w:tr>
        <w:trPr>
          <w:trHeight w:val="414"/>
        </w:trPr>
        <w:tc>
          <w:tcPr>
            <w:tcW w:w="3460" w:type="dxa"/>
            <w:vAlign w:val="bottom"/>
          </w:tcPr>
          <w:p>
            <w:pPr>
              <w:spacing w:after="0"/>
              <w:rPr>
                <w:sz w:val="24"/>
                <w:szCs w:val="24"/>
                <w:color w:val="auto"/>
              </w:rPr>
            </w:pPr>
          </w:p>
        </w:tc>
        <w:tc>
          <w:tcPr>
            <w:tcW w:w="2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73</w:t>
            </w:r>
          </w:p>
        </w:tc>
        <w:tc>
          <w:tcPr>
            <w:tcW w:w="404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0" w:lineRule="exact"/>
        <w:rPr>
          <w:sz w:val="20"/>
          <w:szCs w:val="20"/>
          <w:color w:val="auto"/>
        </w:rPr>
      </w:pPr>
    </w:p>
    <w:p>
      <w:pPr>
        <w:spacing w:after="0" w:line="2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a 100% ownership interest in ABLE New Energy Co., Limited, incorporated in Hong Kong, which has a 100% ownership interest in ABLE New Energy Co., Ltd, incorporated in the People’s Republic of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Batteries (UK) LTD, incorporated in the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ownership interest in Ultralife UK LTD, we have a 100% controlling interest in Accutronics, Ltd., also incorporated in the United Kingdom.</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100% ownership interest in Southwest Electronic Energy Corporation and its wholly owned subsidiary, CLB, Inc. (collectively “SWE”), both incorporated in Texas.</w:t>
      </w:r>
    </w:p>
    <w:p>
      <w:pPr>
        <w:spacing w:after="0" w:line="162"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We have 100% ownership interest in Ultralife Excell Holding Corp., a Delaware corporation, which has 100% ownership interest in Excell Battery Corporation USA, a Texas corporation, and 100% ownership interest in Ultralife Canada Holding Corp., a Delaware corporation, which has 100% ownership interest in Excell Battery Canada ULC, a British Columbia unlimited liability corporation.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100% ownership interest in Electrochem Solutions, Inc., incorporated in Massachusetts.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51% ownership interest in Ultralife Batteries India Private Limited, incorporated in India.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100% ownership interest in Ultralife Energy Services Corporation, incorporated in Florida.</w:t>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(Numbers 333-203037 and 333-258107) and Form S-3 (Registration Numbers 333-278360 and 333-254846) of our report dated March 23, 2026, relating to the consolidated financial statements and effectiveness of Ultralife Corporation’s internal control over financial reporting of Ultralife Corporation appearing in this Annual Report on Form 10-K for the year ended December 31, 2025.</w:t>
      </w:r>
    </w:p>
    <w:p>
      <w:pPr>
        <w:spacing w:after="0" w:line="18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report dated March 23, 2026, on the effectiveness of internal controls over financial reporting as of December 31, 2025, expressed as opinion that Ultralife Corporation had not maintained effective internal controls over financial reporting as of December 31, 2025, based upon criteria established in Internal Control – Integrated Framework issued by the Committee of Sponsoring Organizations of the Treadway Commission of 2013.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ectPr>
          <w:pgSz w:w="11900" w:h="16838" w:orient="portrait"/>
          <w:cols w:equalWidth="0" w:num="1">
            <w:col w:w="11240"/>
          </w:cols>
          <w:pgMar w:left="320" w:top="33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(Numbers 333-203037 and 333-258107) and Form S-3 (Registration Numbers 333-278360 and 333-254846) of our report dated April 1, 2025, relating to the consolidated financial of Ultralife Corporation as of and for the year ended December 31, 2024 appearing in the Annual Report on Form 10-K of the Company for the year ended December 31, 2025. On August 1, 2025 Freed Maxick P.C. joined WithumSmith+Brown, PC and accordingly, we have not performed any audit or review procedures with respect to any financial statements appearing in such Registration Statements for the periods after this date.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Freed Maxick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Rochester,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2026</w:t>
      </w:r>
    </w:p>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320" w:type="dxa"/>
            <w:vAlign w:val="bottom"/>
          </w:tcPr>
          <w:p>
            <w:pPr>
              <w:spacing w:after="0"/>
              <w:rPr>
                <w:sz w:val="16"/>
                <w:szCs w:val="16"/>
                <w:color w:val="auto"/>
              </w:rPr>
            </w:pP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3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33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Ultralife Corporation;</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right="2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5320" w:type="dxa"/>
            <w:vAlign w:val="bottom"/>
          </w:tcPr>
          <w:p>
            <w:pPr>
              <w:spacing w:after="0"/>
              <w:rPr>
                <w:sz w:val="16"/>
                <w:szCs w:val="16"/>
                <w:color w:val="auto"/>
              </w:rPr>
            </w:pP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53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33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Section 1350 Certification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Annual Report on Form 10-K for the year ended December 31, 2025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191"/>
        </w:trPr>
        <w:tc>
          <w:tcPr>
            <w:tcW w:w="5980" w:type="dxa"/>
            <w:vAlign w:val="bottom"/>
          </w:tcPr>
          <w:p>
            <w:pPr>
              <w:spacing w:after="0"/>
              <w:rPr>
                <w:sz w:val="16"/>
                <w:szCs w:val="16"/>
                <w:color w:val="auto"/>
              </w:rPr>
            </w:pP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4"/>
        </w:trPr>
        <w:tc>
          <w:tcPr>
            <w:tcW w:w="598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23, 2026</w:t>
            </w: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191"/>
        </w:trPr>
        <w:tc>
          <w:tcPr>
            <w:tcW w:w="5980" w:type="dxa"/>
            <w:vAlign w:val="bottom"/>
          </w:tcPr>
          <w:p>
            <w:pPr>
              <w:spacing w:after="0"/>
              <w:rPr>
                <w:sz w:val="16"/>
                <w:szCs w:val="16"/>
                <w:color w:val="auto"/>
              </w:rPr>
            </w:pP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A. Fain</w:t>
            </w:r>
          </w:p>
        </w:tc>
      </w:tr>
      <w:tr>
        <w:trPr>
          <w:trHeight w:val="234"/>
        </w:trPr>
        <w:tc>
          <w:tcPr>
            <w:tcW w:w="598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 except to the extent that we specifically incorporate this certification by reference.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lowerLetter"/>
      <w:start w:val="3"/>
    </w:lvl>
  </w:abstractNum>
  <w:abstractNum w:abstractNumId="7">
    <w:nsid w:val="4353D0CD"/>
    <w:multiLevelType w:val="hybridMultilevel"/>
    <w:lvl w:ilvl="0">
      <w:lvlJc w:val="left"/>
      <w:lvlText w:val="%1."/>
      <w:numFmt w:val="lowerLetter"/>
      <w:start w:val="4"/>
    </w:lvl>
  </w:abstractNum>
  <w:abstractNum w:abstractNumId="8">
    <w:nsid w:val="B03E0C6"/>
    <w:multiLevelType w:val="hybridMultilevel"/>
    <w:lvl w:ilvl="0">
      <w:lvlJc w:val="left"/>
      <w:lvlText w:val="%1."/>
      <w:numFmt w:val="lowerLetter"/>
      <w:start w:val="6"/>
    </w:lvl>
  </w:abstractNum>
  <w:abstractNum w:abstractNumId="9">
    <w:nsid w:val="189A769B"/>
    <w:multiLevelType w:val="hybridMultilevel"/>
    <w:lvl w:ilvl="0">
      <w:lvlJc w:val="left"/>
      <w:lvlText w:val="%1."/>
      <w:numFmt w:val="lowerLetter"/>
      <w:start w:val="7"/>
    </w:lvl>
  </w:abstractNum>
  <w:abstractNum w:abstractNumId="10">
    <w:nsid w:val="54E49EB4"/>
    <w:multiLevelType w:val="hybridMultilevel"/>
    <w:lvl w:ilvl="0">
      <w:lvlJc w:val="left"/>
      <w:lvlText w:val="%1."/>
      <w:numFmt w:val="lowerLetter"/>
      <w:start w:val="8"/>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1."/>
      <w:numFmt w:val="lowerLetter"/>
      <w:start w:val="10"/>
    </w:lvl>
  </w:abstractNum>
  <w:abstractNum w:abstractNumId="13">
    <w:nsid w:val="836C40E"/>
    <w:multiLevelType w:val="hybridMultilevel"/>
    <w:lvl w:ilvl="0">
      <w:lvlJc w:val="left"/>
      <w:lvlText w:val="%1."/>
      <w:numFmt w:val="lowerLetter"/>
      <w:start w:val="12"/>
    </w:lvl>
  </w:abstractNum>
  <w:abstractNum w:abstractNumId="14">
    <w:nsid w:val="2901D82"/>
    <w:multiLevelType w:val="hybridMultilevel"/>
    <w:lvl w:ilvl="0">
      <w:lvlJc w:val="left"/>
      <w:lvlText w:val="%1."/>
      <w:numFmt w:val="lowerLetter"/>
      <w:start w:val="13"/>
    </w:lvl>
  </w:abstractNum>
  <w:abstractNum w:abstractNumId="15">
    <w:nsid w:val="3A95F874"/>
    <w:multiLevelType w:val="hybridMultilevel"/>
    <w:lvl w:ilvl="0">
      <w:lvlJc w:val="left"/>
      <w:lvlText w:val="%1."/>
      <w:numFmt w:val="lowerLetter"/>
      <w:start w:val="14"/>
    </w:lvl>
  </w:abstractNum>
  <w:abstractNum w:abstractNumId="16">
    <w:nsid w:val="8138641"/>
    <w:multiLevelType w:val="hybridMultilevel"/>
    <w:lvl w:ilvl="0">
      <w:lvlJc w:val="left"/>
      <w:lvlText w:val="%1."/>
      <w:numFmt w:val="lowerLetter"/>
      <w:start w:val="15"/>
    </w:lvl>
  </w:abstractNum>
  <w:abstractNum w:abstractNumId="17">
    <w:nsid w:val="1E7FF521"/>
    <w:multiLevelType w:val="hybridMultilevel"/>
    <w:lvl w:ilvl="0">
      <w:lvlJc w:val="left"/>
      <w:lvlText w:val="%1."/>
      <w:numFmt w:val="lowerLetter"/>
      <w:start w:val="16"/>
    </w:lvl>
  </w:abstractNum>
  <w:abstractNum w:abstractNumId="18">
    <w:nsid w:val="7C3DBD3D"/>
    <w:multiLevelType w:val="hybridMultilevel"/>
    <w:lvl w:ilvl="0">
      <w:lvlJc w:val="left"/>
      <w:lvlText w:val="%1."/>
      <w:numFmt w:val="lowerLetter"/>
      <w:start w:val="17"/>
    </w:lvl>
  </w:abstractNum>
  <w:abstractNum w:abstractNumId="19">
    <w:nsid w:val="737B8DDC"/>
    <w:multiLevelType w:val="hybridMultilevel"/>
    <w:lvl w:ilvl="0">
      <w:lvlJc w:val="left"/>
      <w:lvlText w:val="%1."/>
      <w:numFmt w:val="lowerLetter"/>
      <w:start w:val="18"/>
    </w:lvl>
  </w:abstractNum>
  <w:abstractNum w:abstractNumId="20">
    <w:nsid w:val="6CEAF087"/>
    <w:multiLevelType w:val="hybridMultilevel"/>
    <w:lvl w:ilvl="0">
      <w:lvlJc w:val="left"/>
      <w:lvlText w:val="%1."/>
      <w:numFmt w:val="lowerLetter"/>
      <w:start w:val="19"/>
    </w:lvl>
  </w:abstractNum>
  <w:abstractNum w:abstractNumId="21">
    <w:nsid w:val="22221A70"/>
    <w:multiLevelType w:val="hybridMultilevel"/>
    <w:lvl w:ilvl="0">
      <w:lvlJc w:val="left"/>
      <w:lvlText w:val="%1."/>
      <w:numFmt w:val="lowerLetter"/>
      <w:start w:val="20"/>
    </w:lvl>
  </w:abstractNum>
  <w:abstractNum w:abstractNumId="22">
    <w:nsid w:val="4516DDE9"/>
    <w:multiLevelType w:val="hybridMultilevel"/>
    <w:lvl w:ilvl="0">
      <w:lvlJc w:val="left"/>
      <w:lvlText w:val="%1."/>
      <w:numFmt w:val="lowerLetter"/>
      <w:start w:val="21"/>
    </w:lvl>
  </w:abstractNum>
  <w:abstractNum w:abstractNumId="23">
    <w:nsid w:val="3006C83E"/>
    <w:multiLevelType w:val="hybridMultilevel"/>
    <w:lvl w:ilvl="0">
      <w:lvlJc w:val="left"/>
      <w:lvlText w:val="%1."/>
      <w:numFmt w:val="lowerRoman"/>
      <w:start w:val="5"/>
    </w:lvl>
  </w:abstractNum>
  <w:abstractNum w:abstractNumId="24">
    <w:nsid w:val="614FD4A1"/>
    <w:multiLevelType w:val="hybridMultilevel"/>
    <w:lvl w:ilvl="0">
      <w:lvlJc w:val="left"/>
      <w:lvlText w:val="%1."/>
      <w:numFmt w:val="lowerLetter"/>
      <w:start w:val="23"/>
    </w:lvl>
  </w:abstractNum>
  <w:abstractNum w:abstractNumId="25">
    <w:nsid w:val="419AC241"/>
    <w:multiLevelType w:val="hybridMultilevel"/>
    <w:lvl w:ilvl="0">
      <w:lvlJc w:val="left"/>
      <w:lvlText w:val="%1."/>
      <w:numFmt w:val="lowerRoman"/>
      <w:start w:val="10"/>
    </w:lvl>
  </w:abstractNum>
  <w:abstractNum w:abstractNumId="26">
    <w:nsid w:val="5577F8E1"/>
    <w:multiLevelType w:val="hybridMultilevel"/>
    <w:lvl w:ilvl="0">
      <w:lvlJc w:val="left"/>
      <w:lvlText w:val="%1."/>
      <w:numFmt w:val="lowerLetter"/>
      <w:start w:val="25"/>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4"/>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2"/>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lowerLetter"/>
      <w:start w:val="4"/>
    </w:lvl>
  </w:abstractNum>
  <w:abstractNum w:abstractNumId="34">
    <w:nsid w:val="5E884ADC"/>
    <w:multiLevelType w:val="hybridMultilevel"/>
    <w:lvl w:ilvl="0">
      <w:lvlJc w:val="left"/>
      <w:lvlText w:val="%1."/>
      <w:numFmt w:val="lowerLetter"/>
      <w:start w:val="5"/>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bullet"/>
      <w:start w:val="1"/>
    </w:lvl>
  </w:abstractNum>
  <w:abstractNum w:abstractNumId="37">
    <w:nsid w:val="580BD78F"/>
    <w:multiLevelType w:val="hybridMultilevel"/>
    <w:lvl w:ilvl="0">
      <w:lvlJc w:val="left"/>
      <w:lvlText w:val="&amp;"/>
      <w:numFmt w:val="bullet"/>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2"/>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94" Type="http://schemas.openxmlformats.org/officeDocument/2006/relationships/image" Target="media/image70.png"/><Relationship Id="rId75" Type="http://schemas.openxmlformats.org/officeDocument/2006/relationships/hyperlink" Target="http://www.sec.gov/Archives/edgar/data/0000875657/000143774921028699/ex_316642.htm" TargetMode="External"/><Relationship Id="rId76" Type="http://schemas.openxmlformats.org/officeDocument/2006/relationships/hyperlink" Target="http://www.sec.gov/Archives/edgar/data/0000875657/000143774921028699/ex_316643.htm" TargetMode="External"/><Relationship Id="rId77" Type="http://schemas.openxmlformats.org/officeDocument/2006/relationships/hyperlink" Target="http://www.sec.gov/Archives/edgar/data/875657/000143774919008478/ex_142064.htm" TargetMode="External"/><Relationship Id="rId78" Type="http://schemas.openxmlformats.org/officeDocument/2006/relationships/hyperlink" Target="http://www.sec.gov/Archives/edgar/data/875657/000087565716000069/exh22.htm" TargetMode="External"/><Relationship Id="rId79" Type="http://schemas.openxmlformats.org/officeDocument/2006/relationships/hyperlink" Target="http://www.sec.gov/Archives/edgar/data/875657/000095015209002617/l35518aexv3w1.htm" TargetMode="External"/><Relationship Id="rId80" Type="http://schemas.openxmlformats.org/officeDocument/2006/relationships/hyperlink" Target="http://www.sec.gov/Archives/edgar/data/875657/000087565714000021/exhibit3ii.htm" TargetMode="External"/><Relationship Id="rId81" Type="http://schemas.openxmlformats.org/officeDocument/2006/relationships/hyperlink" Target="http://www.sec.gov/Archives/edgar/data/875657/000095015209002617/l35518aexv4w1.htm" TargetMode="External"/><Relationship Id="rId82" Type="http://schemas.openxmlformats.org/officeDocument/2006/relationships/hyperlink" Target="http://www.sec.gov/Archives/edgar/data/875657/000143774920008595/ex_182409.htm" TargetMode="External"/><Relationship Id="rId85" Type="http://schemas.openxmlformats.org/officeDocument/2006/relationships/hyperlink" Target="http://www.sec.gov/Archives/edgar/data/875657/0000950116-96-001038.txt" TargetMode="External"/><Relationship Id="rId86" Type="http://schemas.openxmlformats.org/officeDocument/2006/relationships/hyperlink" Target="http://www.sec.gov/Archives/edgar/data/875657/000143774921013843/ulbi20210526_def14a.htm" TargetMode="External"/><Relationship Id="rId87" Type="http://schemas.openxmlformats.org/officeDocument/2006/relationships/hyperlink" Target="http://www.sec.gov/Archives/edgar/data/875657/000143774917010741/ex10-1.htm" TargetMode="External"/><Relationship Id="rId88" Type="http://schemas.openxmlformats.org/officeDocument/2006/relationships/hyperlink" Target="http://www.sec.gov/Archives/edgar/data/875657/000143774919008478/ex_142178.htm" TargetMode="External"/><Relationship Id="rId89" Type="http://schemas.openxmlformats.org/officeDocument/2006/relationships/hyperlink" Target="http://www.sec.gov/Archives/edgar/data/0000875657/000143774921028699/ex_316662.htm" TargetMode="External"/><Relationship Id="rId90" Type="http://schemas.openxmlformats.org/officeDocument/2006/relationships/hyperlink" Target="http://www.sec.gov/Archives/edgar/data/875657/000143774923008694/ex_490486.htm" TargetMode="External"/><Relationship Id="rId91" Type="http://schemas.openxmlformats.org/officeDocument/2006/relationships/hyperlink" Target="http://www.sec.gov/Archives/edgar/data/875657/000143774924030645/ex_729650.htm" TargetMode="External"/><Relationship Id="rId92" Type="http://schemas.openxmlformats.org/officeDocument/2006/relationships/hyperlink" Target="http://www.sec.gov/Archives/edgar/data/875657/000143774924033673/ex_743408.htm" TargetMode="External"/><Relationship Id="rId93" Type="http://schemas.openxmlformats.org/officeDocument/2006/relationships/hyperlink" Target="http://www.sec.gov/Archives/edgar/data/875657/000143774924008872/ex_6366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2026-03-23T15:07:55Z</dcterms:created>
  <dcterms:modified xsi:type="dcterms:W3CDTF">2026-03-23T15:07:55Z</dcterms:modified>
</cp:coreProperties>
</file>