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05" w:lineRule="exact"/>
        <w:rPr>
          <w:sz w:val="24"/>
          <w:szCs w:val="24"/>
          <w:color w:val="auto"/>
        </w:rPr>
      </w:pPr>
    </w:p>
    <w:p>
      <w:pPr>
        <w:ind w:left="3340" w:right="1900" w:hanging="3332"/>
        <w:spacing w:after="0" w:line="282"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ULTRALIFE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46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(315) 332-7100</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Common Stock, $0.10 par value per</w:t>
      </w:r>
    </w:p>
    <w:p>
      <w:pPr>
        <w:sectPr>
          <w:pgSz w:w="11900" w:h="16838" w:orient="portrait"/>
          <w:cols w:equalWidth="0" w:num="1">
            <w:col w:w="11240"/>
          </w:cols>
          <w:pgMar w:left="320" w:top="684" w:right="339" w:bottom="1440" w:gutter="0" w:footer="0" w:header="0"/>
        </w:sectPr>
      </w:pP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(Name of each exchange on which</w:t>
      </w:r>
    </w:p>
    <w:p>
      <w:pPr>
        <w:spacing w:after="0" w:line="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registered)</w:t>
      </w:r>
    </w:p>
    <w:p>
      <w:pPr>
        <w:spacing w:after="0" w:line="200" w:lineRule="exact"/>
        <w:rPr>
          <w:sz w:val="24"/>
          <w:szCs w:val="24"/>
          <w:color w:val="auto"/>
        </w:rPr>
      </w:pPr>
    </w:p>
    <w:p>
      <w:pPr>
        <w:sectPr>
          <w:pgSz w:w="11900" w:h="16838" w:orient="portrait"/>
          <w:cols w:equalWidth="0" w:num="3">
            <w:col w:w="4260" w:space="720"/>
            <w:col w:w="2420" w:space="720"/>
            <w:col w:w="3120"/>
          </w:cols>
          <w:pgMar w:left="320" w:top="684" w:right="339" w:bottom="1440" w:gutter="0" w:footer="0" w:header="0"/>
          <w:type w:val="continuous"/>
        </w:sectPr>
      </w:pPr>
    </w:p>
    <w:p>
      <w:pPr>
        <w:spacing w:after="0" w:line="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4" w:right="339" w:bottom="1440" w:gutter="0" w:footer="0" w:header="0"/>
          <w:type w:val="continuous"/>
        </w:sectPr>
      </w:pPr>
    </w:p>
    <w:p>
      <w:pPr>
        <w:spacing w:after="0" w:line="135"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37"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34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37" w:lineRule="exact"/>
        <w:rPr>
          <w:sz w:val="24"/>
          <w:szCs w:val="24"/>
          <w:color w:val="auto"/>
        </w:rPr>
      </w:pPr>
    </w:p>
    <w:p>
      <w:pPr>
        <w:ind w:left="56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84" w:right="339" w:bottom="1440"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4, 2026, the registrant had 16,656,669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7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8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Consolidated Balance Sheets as of March 31, 2026 and December 31, 2025</w:t>
            </w:r>
          </w:p>
        </w:tc>
        <w:tc>
          <w:tcPr>
            <w:tcW w:w="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820" w:type="dxa"/>
            <w:vAlign w:val="bottom"/>
            <w:shd w:val="clear" w:color="auto" w:fill="CCEEFF"/>
          </w:tcPr>
          <w:p>
            <w:pPr>
              <w:spacing w:after="0"/>
              <w:rPr>
                <w:sz w:val="17"/>
                <w:szCs w:val="17"/>
                <w:color w:val="auto"/>
              </w:rPr>
            </w:pPr>
          </w:p>
        </w:tc>
        <w:tc>
          <w:tcPr>
            <w:tcW w:w="97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Statements of (Loss) Income and Comprehensive (Loss) Income for the Three-Month Periods Ended March 31, 2026</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820" w:type="dxa"/>
            <w:vAlign w:val="bottom"/>
            <w:shd w:val="clear" w:color="auto" w:fill="CCEEFF"/>
          </w:tcPr>
          <w:p>
            <w:pPr>
              <w:spacing w:after="0"/>
              <w:rPr>
                <w:sz w:val="20"/>
                <w:szCs w:val="20"/>
                <w:color w:val="auto"/>
              </w:rPr>
            </w:pP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March 31, 2025</w:t>
            </w:r>
          </w:p>
        </w:tc>
        <w:tc>
          <w:tcPr>
            <w:tcW w:w="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Consolidated Statements of Cash Flows for the Three-Month Periods Ended March 31, 2026 and March 31, 2025</w:t>
            </w:r>
          </w:p>
        </w:tc>
        <w:tc>
          <w:tcPr>
            <w:tcW w:w="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820" w:type="dxa"/>
            <w:vAlign w:val="bottom"/>
            <w:shd w:val="clear" w:color="auto" w:fill="CCEEFF"/>
          </w:tcPr>
          <w:p>
            <w:pPr>
              <w:spacing w:after="0"/>
              <w:rPr>
                <w:sz w:val="17"/>
                <w:szCs w:val="17"/>
                <w:color w:val="auto"/>
              </w:rPr>
            </w:pPr>
          </w:p>
        </w:tc>
        <w:tc>
          <w:tcPr>
            <w:tcW w:w="97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Three-Month Periods Ended March 31, 2026 and March 31,</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820" w:type="dxa"/>
            <w:vAlign w:val="bottom"/>
            <w:shd w:val="clear" w:color="auto" w:fill="CCEEFF"/>
          </w:tcPr>
          <w:p>
            <w:pPr>
              <w:spacing w:after="0"/>
              <w:rPr>
                <w:sz w:val="20"/>
                <w:szCs w:val="20"/>
                <w:color w:val="auto"/>
              </w:rPr>
            </w:pP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23</w:t>
            </w:r>
          </w:p>
        </w:tc>
        <w:tc>
          <w:tcPr>
            <w:tcW w:w="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Signatures</w:t>
            </w:r>
          </w:p>
        </w:tc>
        <w:tc>
          <w:tcPr>
            <w:tcW w:w="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26</w:t>
            </w:r>
          </w:p>
        </w:tc>
        <w:tc>
          <w:tcPr>
            <w:tcW w:w="140" w:type="dxa"/>
            <w:vAlign w:val="bottom"/>
            <w:shd w:val="clear" w:color="auto" w:fill="CCEEFF"/>
          </w:tcPr>
          <w:p>
            <w:pPr>
              <w:spacing w:after="0"/>
              <w:rPr>
                <w:sz w:val="18"/>
                <w:szCs w:val="18"/>
                <w:color w:val="auto"/>
              </w:rPr>
            </w:pPr>
          </w:p>
        </w:tc>
      </w:tr>
      <w:tr>
        <w:trPr>
          <w:trHeight w:val="790"/>
        </w:trPr>
        <w:tc>
          <w:tcPr>
            <w:tcW w:w="82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ULTRALIFE CORPORATION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196"/>
        </w:trPr>
        <w:tc>
          <w:tcPr>
            <w:tcW w:w="8000" w:type="dxa"/>
            <w:vAlign w:val="bottom"/>
            <w:shd w:val="clear" w:color="auto" w:fill="CCEEFF"/>
          </w:tcPr>
          <w:p>
            <w:pPr>
              <w:ind w:left="52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$461 and $457, respectively</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33,948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54,008</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40,397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45,376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10,494</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3,911</w:t>
            </w:r>
          </w:p>
        </w:tc>
      </w:tr>
      <w:tr>
        <w:trPr>
          <w:trHeight w:val="223"/>
        </w:trPr>
        <w:tc>
          <w:tcPr>
            <w:tcW w:w="80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2,754</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13,031</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45,526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2,919</w:t>
            </w: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21,092,617 shares at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March 31, 2026 and 21,092,617 shares at December 31, 2025; outstanding – 16,656,503 shares at March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 2026 and 16,656,503 shares at December 31, 2025</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192,858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192,859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(40,340)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(3,141)</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 at cost; 4,436,114 shares at March 31, 2026 and 4,436,114 shares at December 31, 2025</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(21,492)</w:t>
            </w: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129,995</w:t>
            </w: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129,745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130,134</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216,912</w:t>
            </w:r>
          </w:p>
        </w:tc>
        <w:tc>
          <w:tcPr>
            <w:tcW w:w="10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4"/>
          </w:tcPr>
          <w:p>
            <w:pPr>
              <w:jc w:val="center"/>
              <w:ind w:left="15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6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INCOME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r>
      <w:tr>
        <w:trPr>
          <w:trHeight w:val="187"/>
        </w:trPr>
        <w:tc>
          <w:tcPr>
            <w:tcW w:w="8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47,445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50,746</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38,001</w:t>
            </w: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2,404</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6,942</w:t>
            </w: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Ultralife Corporation</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Ultralife Corporation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16,633</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Potential common shares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r>
      <w:tr>
        <w:trPr>
          <w:trHeight w:val="187"/>
        </w:trPr>
        <w:tc>
          <w:tcPr>
            <w:tcW w:w="8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01"/>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(6,608)</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3,614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1,767</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credit facilities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1,865</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9,345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6,854</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right="40" w:firstLine="162"/>
        <w:spacing w:after="0" w:line="250" w:lineRule="auto"/>
        <w:rPr>
          <w:sz w:val="20"/>
          <w:szCs w:val="20"/>
          <w:color w:val="auto"/>
        </w:rPr>
      </w:pPr>
      <w:r>
        <w:rPr>
          <w:rFonts w:ascii="Times New Roman" w:cs="Times New Roman" w:eastAsia="Times New Roman" w:hAnsi="Times New Roman"/>
          <w:sz w:val="18"/>
          <w:szCs w:val="18"/>
          <w:color w:val="auto"/>
        </w:rPr>
        <w:t>– stock options Stock-based compensation</w:t>
      </w:r>
    </w:p>
    <w:p>
      <w:pPr>
        <w:spacing w:after="0" w:line="1" w:lineRule="exact"/>
        <w:rPr>
          <w:sz w:val="20"/>
          <w:szCs w:val="20"/>
          <w:color w:val="auto"/>
        </w:rPr>
      </w:pPr>
    </w:p>
    <w:p>
      <w:pPr>
        <w:ind w:right="620" w:firstLine="170"/>
        <w:spacing w:after="0" w:line="265" w:lineRule="auto"/>
        <w:tabs>
          <w:tab w:leader="none" w:pos="26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Foreign currency</w:t>
      </w:r>
    </w:p>
    <w:p>
      <w:pPr>
        <w:ind w:left="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translation adjustments</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Balance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March 31, 2025</w:t>
      </w:r>
    </w:p>
    <w:p>
      <w:pPr>
        <w:spacing w:after="0" w:line="20" w:lineRule="exact"/>
        <w:rPr>
          <w:sz w:val="20"/>
          <w:szCs w:val="20"/>
          <w:color w:val="auto"/>
        </w:rPr>
      </w:pPr>
      <w:r>
        <w:rPr>
          <w:sz w:val="20"/>
          <w:szCs w:val="20"/>
          <w:color w:val="auto"/>
        </w:rPr>
        <w:br w:type="column"/>
      </w: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2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2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Excess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40" w:type="dxa"/>
            <w:vAlign w:val="bottom"/>
            <w:tcBorders>
              <w:top w:val="single" w:sz="8" w:color="auto"/>
            </w:tcBorders>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of Par</w:t>
            </w:r>
          </w:p>
        </w:tc>
        <w:tc>
          <w:tcPr>
            <w:tcW w:w="1420" w:type="dxa"/>
            <w:vAlign w:val="bottom"/>
            <w:gridSpan w:val="4"/>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920" w:type="dxa"/>
            <w:vAlign w:val="bottom"/>
            <w:gridSpan w:val="2"/>
          </w:tcPr>
          <w:p>
            <w:pPr>
              <w:jc w:val="right"/>
              <w:ind w:right="141"/>
              <w:spacing w:after="0" w:line="188" w:lineRule="exact"/>
              <w:rPr>
                <w:sz w:val="20"/>
                <w:szCs w:val="20"/>
                <w:color w:val="auto"/>
              </w:rPr>
            </w:pPr>
            <w:r>
              <w:rPr>
                <w:rFonts w:ascii="Times New Roman" w:cs="Times New Roman" w:eastAsia="Times New Roman" w:hAnsi="Times New Roman"/>
                <w:sz w:val="18"/>
                <w:szCs w:val="18"/>
                <w:b w:val="1"/>
                <w:bCs w:val="1"/>
                <w:color w:val="auto"/>
                <w:w w:val="95"/>
              </w:rPr>
              <w:t>Treasury</w:t>
            </w:r>
          </w:p>
        </w:tc>
        <w:tc>
          <w:tcPr>
            <w:tcW w:w="80" w:type="dxa"/>
            <w:vAlign w:val="bottom"/>
          </w:tcPr>
          <w:p>
            <w:pPr>
              <w:spacing w:after="0"/>
              <w:rPr>
                <w:sz w:val="16"/>
                <w:szCs w:val="16"/>
                <w:color w:val="auto"/>
              </w:rPr>
            </w:pPr>
          </w:p>
        </w:tc>
        <w:tc>
          <w:tcPr>
            <w:tcW w:w="10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3"/>
        </w:trPr>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21,069,079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191,828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(4,006)</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(34,442)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134,187</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21,069,079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-1396365</wp:posOffset>
            </wp:positionV>
            <wp:extent cx="71323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-984885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-436245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1980" w:space="140"/>
            <w:col w:w="9080"/>
          </w:cols>
          <w:pgMar w:left="320" w:top="819" w:right="379" w:bottom="1440" w:gutter="0" w:footer="0" w:header="0"/>
        </w:sectPr>
      </w:pPr>
    </w:p>
    <w:p>
      <w:pPr>
        <w:ind w:right="1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right="40" w:firstLine="162"/>
        <w:spacing w:after="0" w:line="250" w:lineRule="auto"/>
        <w:rPr>
          <w:sz w:val="20"/>
          <w:szCs w:val="20"/>
          <w:color w:val="auto"/>
        </w:rPr>
      </w:pPr>
      <w:r>
        <w:rPr>
          <w:rFonts w:ascii="Times New Roman" w:cs="Times New Roman" w:eastAsia="Times New Roman" w:hAnsi="Times New Roman"/>
          <w:sz w:val="18"/>
          <w:szCs w:val="18"/>
          <w:color w:val="auto"/>
        </w:rPr>
        <w:t>– stock options Stock-based compensation</w:t>
      </w:r>
    </w:p>
    <w:p>
      <w:pPr>
        <w:spacing w:after="0" w:line="1" w:lineRule="exact"/>
        <w:rPr>
          <w:sz w:val="20"/>
          <w:szCs w:val="20"/>
          <w:color w:val="auto"/>
        </w:rPr>
      </w:pPr>
    </w:p>
    <w:p>
      <w:pPr>
        <w:ind w:right="620" w:firstLine="170"/>
        <w:spacing w:after="0" w:line="265" w:lineRule="auto"/>
        <w:tabs>
          <w:tab w:leader="none" w:pos="26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Foreign currency</w:t>
      </w:r>
    </w:p>
    <w:p>
      <w:pPr>
        <w:ind w:left="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translation adjustments</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Balance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21,092,617</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192,859</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(3,141)</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(40,340)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130,134</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21,092,617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-1122045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-711200</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-162560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980" w:space="140"/>
            <w:col w:w="9080"/>
          </w:cols>
          <w:pgMar w:left="320" w:top="819" w:right="37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December 31, 2025 consolidated balance sheet information referenced herein was derived from audited financial statements but does not include all disclosures required by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ASU 2024-03 is effective for the Company’s annual reporting period beginning January 1, 2027, and interim reporting periods beginning January 1, 2028, with early adoption permitted. The Company is currently evaluating the impact that ASU 2024-03 will have on its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2024, Ultralife, SWE, CLB, Excell USA, and Electrochem, as borrowers, and certain other subsidiaries of the Company, entered into a new Credit and Security Agreement with KeyBank National Association (“KeyBank” or the “Bank”), as lender and administrative agent (the “New Credit Agreement”). The proceeds of the loans under the New Credit Agreement were used, in part, to repay outstanding indebtedness under the Company’s then existing Credit and Security Agreement with KeyBank (the “Amended Credit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Credit Agreement, among other things, provides in its term loan provisions for a 5-year, $55 million senior secured term loan (the “Term Loan” or “Term Loan Facility”). The Term Loan is subject to repayment in quarterly installments commencing March 31, 2025, in amounts as set forth in the New Credit Agreement. Interest is payable on the unpaid principal outstanding under the Term Loan. All amounts of unpaid principal and accrued and unpaid interest remaining due under the Term Loan are scheduled to be paid in full October 31, 2029.</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closing of the acquisition of all issued and outstanding shares of Electrochem on October 31, 2024, the Company borrowed the full amount of the Term Loan Facility.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$48,188 outstanding principal on the Term Loan, $3,438 of which is included in current portion of long-term debt on the consolidated balance sheets, and no amounts outstanding on the Revolving Credit Facility. As of March 31, 2026, unamortized debt issuance costs associated with the Term Loan of $560 are classified on the consolidated balance sheets as a reduction of long-term debt, and unamortized debt issuance costs associated with the Revolving Credit Facility of $387 are classified on the consolidated balance sheets as other noncurrent assets. Debt issuance costs include lender fees and certain costs paid to third parties, including legal and accountant fees, and are amortized to interest expense over the term of the New 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Credit Agreement also provides under its revolving credit provisions for revolving loans, letters of credit, and swing loans (“Revolving Credit Facility”). Upon the effectiveness of the New Credit Agreement, any amounts outstanding under letters of credit issued pursuant to the Amended Credit Agreement became issued under the New Credit Agreement. The availability under the Revolving Credit Facility is subject to certain borrowing base limits based on trade receivables and inventories. All unpaid principal and accrued and unpaid interest with respect to the Revolving Credit Facility is due and payable in full on October 31, 2029.</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voluntarily prepay principal amounts outstanding under the New Credit Agreement at any time subject to certain advance notifications and other restrictions.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fixed charge coverage ratio, as defined in the New Credit Agreement, of equal to or greater than 1.15 to 1.00 for the fiscal quarter ending March 31, 2025, and for each fiscal quarter thereafter, as calculated for the four (4) consecutive fiscal quarters ending on such date, and a consolidated senior leverage ratio, as defined in the New Credit Agreement, not to exceed (i) 3.50 to 1.00 for the fiscal quarters ending March 31, 2025 through December 31, 2025, (ii) 3.25 to 1.00 for the fiscal quarters ending March 31, 2026 through December 31, 2026, (iii) 3.00 to 1.00 for the fiscal quarter ending March 31, 2027 and on the last day of each fiscal quarter thereafter, for the remaining term of the New Credit Agreement. The Company was in full compliance with its covenants under the New Credit Agreement as of March 31, 2026.</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Borrowings under the New Credit Agreement are secured by substantially all the assets of the Company and certain of its present and future subsidiaries who are or become parties to, or guarantors under the New Credit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Term Loan Facility and Revolving Credit Facilities at a variable rate of interest based on designated interest rate benchmarks plus a varying margin determined by reference to the consolidated senior leverage ratio in effect from time to time. Our borrowing rate was 6.13% as of March 31,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must pay a fee of twenty, twenty-five or thirty basis points (depending on the consolidated senior leverage ratio in effect from time to time) based on the average daily unused availability under the Revolving Credit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must make payments to the extent borrowings exceed the maximum amount then permitted to be borrowed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principal repayment obligations on our Amended Credit Facilities as of March 31, 2026 are as follows:</w:t>
            </w: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35,125</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(loss) income attributable to Ultralife by the weighted average shares outstanding during the period. Diluted EPS includes the dilutive effect of securities when the average market price exceeds the exercise price of the securities, if any, and is calculated using the treasury stock method.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three-month period ended March 31, 2026, there were no outstanding equity awards included in the calculation of diluted weighted average shares outstanding, and no potential common shares included in the calculation of diluted EPS, as no securities were dilutive. There were 963,482 outstanding stock options and 19,943 unvested restricted stock awards not included in the calculation of EPS for the three-month period ended March 31, 2026, as the effect would be anti-dilutive.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comparable three-month period ended March 31, 2025, there were 314,704 outstanding stock options included in the calculation of diluted weighted average shares outstanding, as such securities were dilutive, resulting in 46,793 potential common shares included in the calculation of diluted EPS. There were 778,717 outstanding stock options and 35,486 unvested restricted stock awards for the three-month period ended March 31, 2025, not included in the calculation of diluted weighted average shares outstanding, as the effect would be anti-dilutive.</w:t>
      </w:r>
    </w:p>
    <w:p>
      <w:pPr>
        <w:spacing w:after="0" w:line="200" w:lineRule="exact"/>
        <w:rPr>
          <w:sz w:val="20"/>
          <w:szCs w:val="20"/>
          <w:color w:val="auto"/>
        </w:rPr>
      </w:pPr>
    </w:p>
    <w:p>
      <w:pPr>
        <w:spacing w:after="0" w:line="219" w:lineRule="exact"/>
        <w:rPr>
          <w:sz w:val="20"/>
          <w:szCs w:val="20"/>
          <w:color w:val="auto"/>
        </w:rPr>
      </w:pPr>
    </w:p>
    <w:p>
      <w:pPr>
        <w:ind w:right="6640" w:firstLine="8"/>
        <w:spacing w:after="0" w:line="503" w:lineRule="auto"/>
        <w:tabs>
          <w:tab w:leader="none" w:pos="324"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 Fair Value Measurements and Disclosures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March 31, 2026, and December 31, 2025. The fair value of cash, accounts receivable,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net of obsolescence reserves, with cost determined under the first-in, first-out (FIFO)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composition of inventories, net was: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5,966</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6,600</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4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7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30,179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64,242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63,556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8,164</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(73,637)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(72,519)</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expense for property, plant and equipment was as follows: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7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three-month period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3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2026</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at March 31, 2026</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320" w:type="dxa"/>
            <w:vAlign w:val="bottom"/>
          </w:tcPr>
          <w:p>
            <w:pPr>
              <w:spacing w:after="0"/>
              <w:rPr>
                <w:sz w:val="20"/>
                <w:szCs w:val="20"/>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6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320" w:type="dxa"/>
            <w:vAlign w:val="bottom"/>
          </w:tcPr>
          <w:p>
            <w:pPr>
              <w:spacing w:after="0"/>
              <w:rPr>
                <w:sz w:val="20"/>
                <w:szCs w:val="20"/>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6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change in the cost of total intangible assets from December 31, 2025, to March 31, 2026, is the effect of foreign currency translations.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other intangible assets was as follows: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28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00" w:type="dxa"/>
            <w:vAlign w:val="bottom"/>
          </w:tcPr>
          <w:p>
            <w:pPr>
              <w:spacing w:after="0"/>
              <w:rPr>
                <w:sz w:val="17"/>
                <w:szCs w:val="17"/>
                <w:color w:val="auto"/>
              </w:rPr>
            </w:pPr>
          </w:p>
        </w:tc>
        <w:tc>
          <w:tcPr>
            <w:tcW w:w="116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left="2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included in:</w:t>
            </w: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262</w:t>
            </w:r>
          </w:p>
        </w:tc>
        <w:tc>
          <w:tcPr>
            <w:tcW w:w="124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STOCK-BASED COMPENSATION</w:t>
            </w: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0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28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00" w:type="dxa"/>
            <w:vAlign w:val="bottom"/>
          </w:tcPr>
          <w:p>
            <w:pPr>
              <w:spacing w:after="0"/>
              <w:rPr>
                <w:sz w:val="17"/>
                <w:szCs w:val="17"/>
                <w:color w:val="auto"/>
              </w:rPr>
            </w:pPr>
          </w:p>
        </w:tc>
        <w:tc>
          <w:tcPr>
            <w:tcW w:w="116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left="2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1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March 31, 2026, there was $308 of total unrecognized compensation cost related to outstanding stock options, which is expected to be recognized over a weighted average period of 1.1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three-month period ended March 31, 2026:</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9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9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6.95</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5.92</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(8,869)</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6.58</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963,482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6.95</w:t>
            </w:r>
          </w:p>
        </w:tc>
        <w:tc>
          <w:tcPr>
            <w:tcW w:w="13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40" w:type="dxa"/>
            <w:vAlign w:val="bottom"/>
            <w:gridSpan w:val="2"/>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w w:val="95"/>
              </w:rPr>
              <w:t>6.92</w:t>
            </w:r>
          </w:p>
        </w:tc>
        <w:tc>
          <w:tcPr>
            <w:tcW w:w="1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vMerge w:val="continue"/>
          </w:tcPr>
          <w:p>
            <w:pPr>
              <w:spacing w:after="0"/>
              <w:rPr>
                <w:sz w:val="20"/>
                <w:szCs w:val="20"/>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908,569</w:t>
            </w:r>
          </w:p>
        </w:tc>
        <w:tc>
          <w:tcPr>
            <w:tcW w:w="14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CCEEFF"/>
            </w:tcBorders>
            <w:gridSpan w:val="2"/>
            <w:vMerge w:val="continue"/>
          </w:tcPr>
          <w:p>
            <w:pPr>
              <w:spacing w:after="0"/>
              <w:rPr>
                <w:sz w:val="20"/>
                <w:szCs w:val="20"/>
                <w:color w:val="auto"/>
              </w:rPr>
            </w:pPr>
          </w:p>
        </w:tc>
        <w:tc>
          <w:tcPr>
            <w:tcW w:w="540" w:type="dxa"/>
            <w:vAlign w:val="bottom"/>
            <w:tcBorders>
              <w:bottom w:val="single" w:sz="8" w:color="CCEEFF"/>
            </w:tcBorders>
            <w:gridSpan w:val="2"/>
            <w:vMerge w:val="continue"/>
          </w:tcPr>
          <w:p>
            <w:pPr>
              <w:spacing w:after="0"/>
              <w:rPr>
                <w:sz w:val="20"/>
                <w:szCs w:val="20"/>
                <w:color w:val="auto"/>
              </w:rPr>
            </w:pPr>
          </w:p>
        </w:tc>
        <w:tc>
          <w:tcPr>
            <w:tcW w:w="138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2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735,301</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w w:val="95"/>
              </w:rPr>
              <w:t>6.77</w:t>
            </w:r>
          </w:p>
        </w:tc>
        <w:tc>
          <w:tcPr>
            <w:tcW w:w="13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28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March 31, 2026, and 2025 was $0, respectively.</w:t>
      </w:r>
    </w:p>
    <w:p>
      <w:pPr>
        <w:spacing w:after="0" w:line="16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Restricted stock awards vest in equal annual installments over three (3) years. Unrecognized compensation cost related to unvested restricted shares at March 31, 2026, and 2025, respectively, was $75 and $216.</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0" w:right="259" w:bottom="1440" w:gutter="0" w:footer="0" w:header="0"/>
        </w:sectPr>
      </w:pPr>
    </w:p>
    <w:bookmarkStart w:id="11" w:name="page12"/>
    <w:bookmarkEnd w:id="11"/>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three-month periods ended March 31, 2026 and 2025 was 29.0% and 23.2%, respectively. The period-over-period change was primarily attributable to the geographic mix of our operating results and other income recognized on nontaxable refundable tax credits under the 45X Advanced Manufacturing Production Credit.</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United States which includes a broad range of tax provisions affecting businesses. The legislation has multiple effective dates, with certain provisions effective in 2025 and others implemented through 2027. The Company has included the estimated impacts of the bill in the consolidated financial statements for the three-month period ended March 31, 2026.</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2025, our federal net operating loss (“NOL”) carryforwards, state net operating loss carryforwards, and federal general business tax credit carryforwards were $8,800, $5,100 and $3,400, respectively. Our domestic net operating loss carryforwards begin to expire in 2031. Our federal general business tax credit carryforwards begin to expire in 2028. As of March 31, 2026, management has concluded it is more likely than not that these domestic NOL and credit carryforwards will be fully utilized.</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of March 31, 2026,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0"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As of March 31, 2026, we have not recognized a valuation allowance against our other foreign deferred tax assets, as realization is considered to be more likely than not.</w:t>
      </w:r>
    </w:p>
    <w:p>
      <w:pPr>
        <w:spacing w:after="0" w:line="16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maintains its assertion that all foreign earnings will be indefinitely reinvested in those operations, other than earnings generated in the U.K.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March 31, 2026 and December 31, 2025.</w:t>
      </w:r>
    </w:p>
    <w:p>
      <w:pPr>
        <w:spacing w:after="0" w:line="22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2022 thru 2024 remain subject to IRS examination. Our U.S. tax matters for 2005-2007, 2009, and 2011-2015 also remain subject to IRS examination due to the remaining availability of net operating loss carryforwards generated in those years. Our U.S. tax matters for 2015 thru 2024 remain subject to examination by various state and local tax jurisdictions. Our tax matters for the years 2015 thru 2024 remain subject to examination by the respective foreign tax jurisdiction authorities.</w:t>
      </w:r>
    </w:p>
    <w:p>
      <w:pPr>
        <w:spacing w:after="0" w:line="200" w:lineRule="exact"/>
        <w:rPr>
          <w:sz w:val="20"/>
          <w:szCs w:val="20"/>
          <w:color w:val="auto"/>
        </w:rPr>
      </w:pPr>
    </w:p>
    <w:p>
      <w:pPr>
        <w:spacing w:after="0" w:line="22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March 31, 2026, the remaining lease terms on our operating leases range from approximately one (1) year to six (6)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260" w:type="dxa"/>
            <w:vAlign w:val="bottom"/>
            <w:gridSpan w:val="2"/>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13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526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5260" w:type="dxa"/>
            <w:vAlign w:val="bottom"/>
            <w:gridSpan w:val="2"/>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13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819"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00" w:type="dxa"/>
            <w:vAlign w:val="bottom"/>
            <w:gridSpan w:val="13"/>
          </w:tcPr>
          <w:p>
            <w:pPr>
              <w:ind w:left="260"/>
              <w:spacing w:after="0"/>
              <w:rPr>
                <w:sz w:val="20"/>
                <w:szCs w:val="20"/>
                <w:color w:val="auto"/>
              </w:rPr>
            </w:pPr>
            <w:r>
              <w:rPr>
                <w:rFonts w:ascii="Times New Roman" w:cs="Times New Roman" w:eastAsia="Times New Roman" w:hAnsi="Times New Roman"/>
                <w:sz w:val="18"/>
                <w:szCs w:val="18"/>
                <w:b w:val="1"/>
                <w:bCs w:val="1"/>
                <w:color w:val="auto"/>
              </w:rPr>
              <w:t>Three-month period ended March 31,</w:t>
            </w:r>
          </w:p>
        </w:tc>
      </w:tr>
      <w:tr>
        <w:trPr>
          <w:trHeight w:val="223"/>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7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425"/>
        </w:trPr>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212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3,121</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8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6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927</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3,105</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8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8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minimum lease payments as of March 31, 2026, are as follows: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gridSpan w:val="2"/>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gridSpan w:val="2"/>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gridSpan w:val="2"/>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gridSpan w:val="2"/>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5"/>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80" w:right="259" w:bottom="1440" w:gutter="0" w:footer="0" w:header="0"/>
        </w:sectPr>
      </w:pPr>
    </w:p>
    <w:bookmarkStart w:id="13" w:name="page14"/>
    <w:bookmarkEnd w:id="13"/>
    <w:p>
      <w:pPr>
        <w:ind w:right="7660" w:firstLine="8"/>
        <w:spacing w:after="0" w:line="503" w:lineRule="auto"/>
        <w:tabs>
          <w:tab w:leader="none" w:pos="324"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Purchase Commitments</w:t>
      </w:r>
    </w:p>
    <w:p>
      <w:pPr>
        <w:spacing w:after="0"/>
        <w:rPr>
          <w:sz w:val="20"/>
          <w:szCs w:val="20"/>
          <w:color w:val="auto"/>
        </w:rPr>
      </w:pPr>
      <w:r>
        <w:rPr>
          <w:rFonts w:ascii="Times New Roman" w:cs="Times New Roman" w:eastAsia="Times New Roman" w:hAnsi="Times New Roman"/>
          <w:sz w:val="18"/>
          <w:szCs w:val="18"/>
          <w:color w:val="auto"/>
        </w:rPr>
        <w:t>As of March 31, 2026, we have made commitments to purchase approximately $545 of production machinery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three months of 2026 and 2025 were as follows: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Three-month period ended March 31,</w:t>
            </w: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4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1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r>
      <w:tr>
        <w:trPr>
          <w:trHeight w:val="23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1160" w:type="dxa"/>
            <w:vAlign w:val="bottom"/>
            <w:tcBorders>
              <w:top w:val="single" w:sz="8" w:color="auto"/>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Legal Matters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sheets. For the three-month periods ended March 31, 2026 and March 31, 2025, revenue recognized on extended warranties was $74.</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March 31, 2026, there was deferred revenue on extended warranty contracts of $781, comprised of $298 expected to be recognized as revenue within one (1) year and classified as accrued expenses and other current liabilities on our consolidated balance sheets, and $483 expected to be recognized as revenue over the remaining duration of the respective contracts and classified as other noncurrent liabilities on our consolidated balance sheets.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deferred revenue on extended warranty contracts of $855, comprised of $298 expected to be recognized as revenue within one (1) year and classified as accrued expenses and other current liabilities on our consolidated balance sheets, and $557 expected to be recognized as revenue over the remaining duration of the respective contracts and classified as other noncurrent liabilities on our consolidated balance sheets.</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19" w:right="25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BUSINESS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represent a component of the Company that engages in business activities from which it may recognize revenues and incur expenses whose operating results are regularly reviewed by the public entity’s chief operating decision maker (“CODM”) to make decisions about resources to be allocated to the segment and assess its performance, and for which discrete financial information is available. Upon identification of operating segments, the Company determines which of those operating segments are required to be presented as reportable segments based on the quantitative thresholds.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structure our operations primarily around the products we sell and report our financial results in the following two reportable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CODM is Mike Manna, President &amp; Chief Executive Officer. Both of our operating segments are regularly reviewed by the CODM through weekly revenue, gross margin and consolidated financial forecast updates, bi-weekly business and financial reviews to assess business performance, top priorities, utilization of resources and to regularly communicate with segment management, who are part of the CODM’s executive leadership team, and monthly meetings with the executive leadership team. In his role as CODM, Mr. Manna is deeply involved in business operations through daily updates by the segment management and ongoing financial, revenue and operations discussions.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financial measures used by the CODM to monitor and evaluate the performance of the operating segments is segment contribution, as defined by gross profit less direct selling, general and administrative (“SG&amp;A”) and research and development expenses. This metric is used as a consistent benchmark for comparison across reporting periods.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segment expenses regularly reviewed by the CODM and included in segment contribution are cost of products sold and direct R&amp;D and SG&amp;A expenses. There are no other segment items included in segment contribution beyond the significant expenses disclosed.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general and administrative (“G&amp;A”) expenses, including costs associated with our acquisitions, include corporate functions including board of directors, executive officers, accounting &amp; finance, human resources, legal, information technology and their related functional expenses. These costs are not directly allocable to the operating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review segment assets at a level other than that presented in the Company’s 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March 31, 2026: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0"/>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(34,797)</w:t>
            </w: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(37,335)</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9,358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SG&amp;A expenses</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(4,081)</w:t>
            </w: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(2,961)</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3,055</w:t>
            </w: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2,689</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(2,904)</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Ultralife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169,847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23,463</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220,632</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1,321</w:t>
            </w:r>
          </w:p>
        </w:tc>
        <w:tc>
          <w:tcPr>
            <w:tcW w:w="400" w:type="dxa"/>
            <w:vAlign w:val="bottom"/>
          </w:tcPr>
          <w:p>
            <w:pPr>
              <w:spacing w:after="0"/>
              <w:rPr>
                <w:sz w:val="18"/>
                <w:szCs w:val="18"/>
                <w:color w:val="auto"/>
              </w:rPr>
            </w:pPr>
          </w:p>
        </w:tc>
      </w:tr>
      <w:tr>
        <w:trPr>
          <w:trHeight w:val="43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March 31, 2025: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(34,881)</w:t>
            </w: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(38,001)</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11,440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12,745</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SG&amp;A expenses</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(3,865)</w:t>
            </w: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(4,231)</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(2,404)</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5,984</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(2,711)</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173,169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20,578</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223,753</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w:t>
            </w:r>
          </w:p>
        </w:tc>
        <w:tc>
          <w:tcPr>
            <w:tcW w:w="400" w:type="dxa"/>
            <w:vAlign w:val="bottom"/>
          </w:tcPr>
          <w:p>
            <w:pPr>
              <w:spacing w:after="0"/>
              <w:rPr>
                <w:sz w:val="18"/>
                <w:szCs w:val="18"/>
                <w:color w:val="auto"/>
              </w:rPr>
            </w:pPr>
          </w:p>
        </w:tc>
      </w:tr>
      <w:tr>
        <w:trPr>
          <w:trHeight w:val="432"/>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25" w:lineRule="exact"/>
        <w:rPr>
          <w:sz w:val="20"/>
          <w:szCs w:val="20"/>
          <w:color w:val="auto"/>
        </w:rPr>
      </w:pPr>
    </w:p>
    <w:p>
      <w:pPr>
        <w:jc w:val="center"/>
        <w:ind w:right="6420"/>
        <w:spacing w:after="0"/>
        <w:rPr>
          <w:sz w:val="20"/>
          <w:szCs w:val="20"/>
          <w:color w:val="auto"/>
        </w:rPr>
      </w:pPr>
      <w:r>
        <w:rPr>
          <w:rFonts w:ascii="Times New Roman" w:cs="Times New Roman" w:eastAsia="Times New Roman" w:hAnsi="Times New Roman"/>
          <w:sz w:val="18"/>
          <w:szCs w:val="18"/>
          <w:u w:val="single" w:color="auto"/>
          <w:color w:val="auto"/>
        </w:rPr>
        <w:t>Commercial and Government/Defense Revenue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Three-month period ended March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Government/</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Revenue</w:t>
            </w:r>
          </w:p>
        </w:tc>
        <w:tc>
          <w:tcPr>
            <w:tcW w:w="220" w:type="dxa"/>
            <w:vAlign w:val="bottom"/>
          </w:tcPr>
          <w:p>
            <w:pPr>
              <w:spacing w:after="0"/>
              <w:rPr>
                <w:sz w:val="20"/>
                <w:szCs w:val="20"/>
                <w:color w:val="auto"/>
              </w:rPr>
            </w:pPr>
          </w:p>
        </w:tc>
        <w:tc>
          <w:tcPr>
            <w:tcW w:w="164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20"/>
                <w:szCs w:val="20"/>
                <w:color w:val="auto"/>
              </w:rPr>
            </w:pP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Defense</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3,290</w:t>
            </w:r>
          </w:p>
        </w:tc>
        <w:tc>
          <w:tcPr>
            <w:tcW w:w="220" w:type="dxa"/>
            <w:vAlign w:val="bottom"/>
          </w:tcPr>
          <w:p>
            <w:pPr>
              <w:spacing w:after="0"/>
              <w:rPr>
                <w:sz w:val="19"/>
                <w:szCs w:val="19"/>
                <w:color w:val="auto"/>
              </w:rPr>
            </w:pP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3,290</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5"/>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Three-month period ended March 31, 2025:</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Government/</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Revenue</w:t>
            </w:r>
          </w:p>
        </w:tc>
        <w:tc>
          <w:tcPr>
            <w:tcW w:w="220" w:type="dxa"/>
            <w:vAlign w:val="bottom"/>
          </w:tcPr>
          <w:p>
            <w:pPr>
              <w:spacing w:after="0"/>
              <w:rPr>
                <w:sz w:val="20"/>
                <w:szCs w:val="20"/>
                <w:color w:val="auto"/>
              </w:rPr>
            </w:pPr>
          </w:p>
        </w:tc>
        <w:tc>
          <w:tcPr>
            <w:tcW w:w="164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20"/>
                <w:szCs w:val="20"/>
                <w:color w:val="auto"/>
              </w:rPr>
            </w:pP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Defense</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4,425</w:t>
            </w:r>
          </w:p>
        </w:tc>
        <w:tc>
          <w:tcPr>
            <w:tcW w:w="220" w:type="dxa"/>
            <w:vAlign w:val="bottom"/>
          </w:tcPr>
          <w:p>
            <w:pPr>
              <w:spacing w:after="0"/>
              <w:rPr>
                <w:sz w:val="19"/>
                <w:szCs w:val="19"/>
                <w:color w:val="auto"/>
              </w:rPr>
            </w:pP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4,425</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5"/>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U.S. and Non-U.S. Revenue Information</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1600" w:type="dxa"/>
            <w:vAlign w:val="bottom"/>
          </w:tcPr>
          <w:p>
            <w:pPr>
              <w:jc w:val="right"/>
              <w:ind w:right="1450"/>
              <w:spacing w:after="0"/>
              <w:rPr>
                <w:sz w:val="20"/>
                <w:szCs w:val="20"/>
                <w:color w:val="auto"/>
              </w:rPr>
            </w:pPr>
            <w:r>
              <w:rPr>
                <w:rFonts w:ascii="Times New Roman" w:cs="Times New Roman" w:eastAsia="Times New Roman" w:hAnsi="Times New Roman"/>
                <w:sz w:val="18"/>
                <w:szCs w:val="18"/>
                <w:u w:val="single" w:color="auto"/>
                <w:color w:val="auto"/>
                <w:w w:val="78"/>
              </w:rPr>
              <w:t>:</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Three-month period ended March 31, 2026:</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24"/>
                <w:szCs w:val="24"/>
                <w:color w:val="auto"/>
              </w:rPr>
            </w:pPr>
          </w:p>
        </w:tc>
        <w:tc>
          <w:tcPr>
            <w:tcW w:w="164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7"/>
              </w:rPr>
              <w:t>United</w:t>
            </w:r>
          </w:p>
        </w:tc>
        <w:tc>
          <w:tcPr>
            <w:tcW w:w="200" w:type="dxa"/>
            <w:vAlign w:val="bottom"/>
          </w:tcPr>
          <w:p>
            <w:pPr>
              <w:spacing w:after="0"/>
              <w:rPr>
                <w:sz w:val="24"/>
                <w:szCs w:val="24"/>
                <w:color w:val="auto"/>
              </w:rPr>
            </w:pPr>
          </w:p>
        </w:tc>
        <w:tc>
          <w:tcPr>
            <w:tcW w:w="15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Revenue</w:t>
            </w:r>
          </w:p>
        </w:tc>
        <w:tc>
          <w:tcPr>
            <w:tcW w:w="220" w:type="dxa"/>
            <w:vAlign w:val="bottom"/>
          </w:tcPr>
          <w:p>
            <w:pPr>
              <w:spacing w:after="0"/>
              <w:rPr>
                <w:sz w:val="20"/>
                <w:szCs w:val="20"/>
                <w:color w:val="auto"/>
              </w:rPr>
            </w:pPr>
          </w:p>
        </w:tc>
        <w:tc>
          <w:tcPr>
            <w:tcW w:w="164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rPr>
              <w:t>States</w:t>
            </w:r>
          </w:p>
        </w:tc>
        <w:tc>
          <w:tcPr>
            <w:tcW w:w="200" w:type="dxa"/>
            <w:vAlign w:val="bottom"/>
          </w:tcPr>
          <w:p>
            <w:pPr>
              <w:spacing w:after="0"/>
              <w:rPr>
                <w:sz w:val="20"/>
                <w:szCs w:val="20"/>
                <w:color w:val="auto"/>
              </w:rPr>
            </w:pP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3,290</w:t>
            </w:r>
          </w:p>
        </w:tc>
        <w:tc>
          <w:tcPr>
            <w:tcW w:w="220" w:type="dxa"/>
            <w:vAlign w:val="bottom"/>
          </w:tcPr>
          <w:p>
            <w:pPr>
              <w:spacing w:after="0"/>
              <w:rPr>
                <w:sz w:val="19"/>
                <w:szCs w:val="19"/>
                <w:color w:val="auto"/>
              </w:rPr>
            </w:pP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2,307</w:t>
            </w:r>
          </w:p>
        </w:tc>
        <w:tc>
          <w:tcPr>
            <w:tcW w:w="200" w:type="dxa"/>
            <w:vAlign w:val="bottom"/>
          </w:tcPr>
          <w:p>
            <w:pPr>
              <w:spacing w:after="0"/>
              <w:rPr>
                <w:sz w:val="19"/>
                <w:szCs w:val="19"/>
                <w:color w:val="auto"/>
              </w:rPr>
            </w:pP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5"/>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Three-month period ended March 31, 2025:</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24"/>
                <w:szCs w:val="24"/>
                <w:color w:val="auto"/>
              </w:rPr>
            </w:pPr>
          </w:p>
        </w:tc>
        <w:tc>
          <w:tcPr>
            <w:tcW w:w="164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7"/>
              </w:rPr>
              <w:t>United</w:t>
            </w:r>
          </w:p>
        </w:tc>
        <w:tc>
          <w:tcPr>
            <w:tcW w:w="200" w:type="dxa"/>
            <w:vAlign w:val="bottom"/>
          </w:tcPr>
          <w:p>
            <w:pPr>
              <w:spacing w:after="0"/>
              <w:rPr>
                <w:sz w:val="24"/>
                <w:szCs w:val="24"/>
                <w:color w:val="auto"/>
              </w:rPr>
            </w:pPr>
          </w:p>
        </w:tc>
        <w:tc>
          <w:tcPr>
            <w:tcW w:w="15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Revenue</w:t>
            </w:r>
          </w:p>
        </w:tc>
        <w:tc>
          <w:tcPr>
            <w:tcW w:w="220" w:type="dxa"/>
            <w:vAlign w:val="bottom"/>
          </w:tcPr>
          <w:p>
            <w:pPr>
              <w:spacing w:after="0"/>
              <w:rPr>
                <w:sz w:val="20"/>
                <w:szCs w:val="20"/>
                <w:color w:val="auto"/>
              </w:rPr>
            </w:pPr>
          </w:p>
        </w:tc>
        <w:tc>
          <w:tcPr>
            <w:tcW w:w="164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rPr>
              <w:t>States</w:t>
            </w:r>
          </w:p>
        </w:tc>
        <w:tc>
          <w:tcPr>
            <w:tcW w:w="200" w:type="dxa"/>
            <w:vAlign w:val="bottom"/>
          </w:tcPr>
          <w:p>
            <w:pPr>
              <w:spacing w:after="0"/>
              <w:rPr>
                <w:sz w:val="20"/>
                <w:szCs w:val="20"/>
                <w:color w:val="auto"/>
              </w:rPr>
            </w:pP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4,425</w:t>
            </w:r>
          </w:p>
        </w:tc>
        <w:tc>
          <w:tcPr>
            <w:tcW w:w="220" w:type="dxa"/>
            <w:vAlign w:val="bottom"/>
          </w:tcPr>
          <w:p>
            <w:pPr>
              <w:spacing w:after="0"/>
              <w:rPr>
                <w:sz w:val="19"/>
                <w:szCs w:val="19"/>
                <w:color w:val="auto"/>
              </w:rPr>
            </w:pP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4,287</w:t>
            </w:r>
          </w:p>
        </w:tc>
        <w:tc>
          <w:tcPr>
            <w:tcW w:w="200" w:type="dxa"/>
            <w:vAlign w:val="bottom"/>
          </w:tcPr>
          <w:p>
            <w:pPr>
              <w:spacing w:after="0"/>
              <w:rPr>
                <w:sz w:val="19"/>
                <w:szCs w:val="19"/>
                <w:color w:val="auto"/>
              </w:rPr>
            </w:pP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5"/>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00" w:hanging="92"/>
        <w:spacing w:after="0"/>
        <w:tabs>
          <w:tab w:leader="none" w:pos="10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Sales classified to U.S. include shipments to U.S.-based prime contractors which in some cases may serve non-U.S. projects.</w:t>
      </w:r>
    </w:p>
    <w:p>
      <w:pPr>
        <w:spacing w:after="0" w:line="203" w:lineRule="exact"/>
        <w:rPr>
          <w:rFonts w:ascii="Times New Roman" w:cs="Times New Roman" w:eastAsia="Times New Roman" w:hAnsi="Times New Roman"/>
          <w:sz w:val="27"/>
          <w:szCs w:val="27"/>
          <w:color w:val="auto"/>
          <w:vertAlign w:val="superscript"/>
        </w:rPr>
      </w:pPr>
    </w:p>
    <w:p>
      <w:pPr>
        <w:ind w:left="55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580" w:right="7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management and information currently available to management. The statements contained in this report relating to matters that are not historical facts are forward-looking statements that involve risks and uncertainties, including, but not limited to, uncertain global economic conditions including the impact of inflation, tariffs, interest rates and supply chain disruptions affecting our business, revenues and earnings adversely; our reliance on certain key customers for a significant portion of our revenues; reductions or delays in U.S. and foreign military spending; our efforts to develop new products or new commercial applications for our products could be prolonged; potential disruptions or delays in our supply of raw materials and components or material increases in their costs due to business conditions, new or additional tariffs, global conflicts, weather, sourcing requirements or other factors not under our control; our resources being overwhelmed by our growth; our ability to recruit and retain top management and key personnel; breaches in information systems security and other disruptions in our information technology systems; fluctuations in the price of oil and the resulting impact on the demand for downhole drilling; the unique risks associated with our China operations; possible future declines in demand for the products that use our batteries or communications systems; safety risks, including the risk of fire inherent in the manufacture, use and transportation of Lithium batteries; variability in our quarterly and annual results and the price of our common stock; purchases by our customers of product quantities not meeting the volume expectations in our supply agreements; rising interest rates increasing the cost of our variable borrowings; our inability to comply with changes to the regulations for the shipment of our products; our entrance into new end-markets which could lead to additional financial exposure; litigation or claims resulting in negative optics in the markets we serve and increased costs; the potential of future pandemics that may arise, causing delays in the manufacture and delivery of our mission critical products to end customers; potential costs attributable to the warranties we supply with our products and services; negative publicity concerning Lithium-ion batteries; rules and procedures regarding contracting with the U.S. and foreign governments; our exposure to foreign currency fluctuations; our ability to utilize our net operating loss carryforwards; the risk that we are unable to protect our proprietary and intellectual property; our ability to comply with government regulations including the use of “conflict minerals”; possible impairments of our goodwill and other intangible assets; known and unknown environmental matters; possible audits of our contracts by the U.S. and foreign governments and their respective defense agencies; exposure to possible violations of the U.S. Foreign Corrupt Practices Act, the U.K. Bribery Act or other anti-corruption laws;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“foresee,” “could,” “likely,” or words of similar import are intended to identify forward-looking statements. For further discussion of certain of the matters described above and other risks and uncertainties, see Item 1A, “Risk Factors” in our Annual Report on Form 10-K for the year ended December 31, 2025.</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do not guarantee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to reflect new information or risks, future events or other developments.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financial information in this MD&amp;A is presented in thousands of dollars, except for share and per share amounts, unless otherwise specified.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and seeking opportunities to expand through acquisitions.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Historically, we utilized the following brands, tradenames and trademarks (“sub-brands”) to promote our products in the markets we serve: Ultralife®, Ultralife Thin Cell®, Ultralife HiRate®, Ultralife &amp; design®, LithiumPower®, LithiumPower</w:t>
      </w:r>
    </w:p>
    <w:p>
      <w:pPr>
        <w:spacing w:after="0" w:line="1" w:lineRule="exact"/>
        <w:rPr>
          <w:sz w:val="20"/>
          <w:szCs w:val="20"/>
          <w:color w:val="auto"/>
        </w:rPr>
      </w:pPr>
    </w:p>
    <w:p>
      <w:pPr>
        <w:jc w:val="both"/>
        <w:ind w:firstLine="8"/>
        <w:spacing w:after="0" w:line="252" w:lineRule="auto"/>
        <w:tabs>
          <w:tab w:leader="none" w:pos="2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SMART CIRCUIT®, SMARTCIRCUIT®, SMART CIRCUIT &amp; design®, SODIUMPOWER®, SODIUMPOWER (design)®, WE. ARE. POWER®, AMTI®, ABLE™, ACCUTRONICS™, ACCUPRO™, ENTELLION™, McDowell Research®, SWE DRILL-DATA®, SWE SEASAFE (&amp; DESIGN)®, SWE SEASAFE DIRECT®, SWE SOUTHWEST ELECTRONIC ENERGY CORP®, SWE Southwest Electronic Energy Group®, Excell Battery Group™ and Criterion Gauge™, POW-R BMS®, POW-R-BMS®, POW-R TOTE® and Electrochem®. As explained below, our rebranding initiative will eliminate or de-emphasize our reference to the sub-brands going forward. We have sales, operations and product development facilities in North America, Europe and Asia.</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strategic evolution, in October 2025, Ultralife decided to undergo a comprehensive rebranding initiative that consolidates all sub-brands under a singular, unified master brand – Ultralife. This move reflects our commitment to clarity, consistency and amplified brand equity across all markets. By streamlining our global identity, we aim to strengthen customer recognition, enhance operational efficiency and better align to our customers’ needs with a singular, powerful brand narrative. To this end, the Accutronics, Southwest Electronic Energy, Excell Battery, McDowell Research and AMTI brands will no longer be emphasized. The Electrochem brand will remain, but as a product brand on select primary cells. This transformation positions Ultralife for ongoing growth and stronger market impact as we continue to lead in mission critical battery and RF power solutions. This rebranding initiative had a non-cash impact of $12,181 to reduce the value of our tradename and trademark intangible assets recorded during our 2025 fourth quarter.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segment contribution, defined as gross profit less direct selling, general and administrative (“SG&amp;A”) and research and development expenses, is the best indicator of segment performance. As such, we report segment results at the segment contribution level. (See Note 10 in the notes to consolidated financial statements contained in Item 1 of this Form 10-Q.)</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revenues of $47,445 for the three-month period ended March 31, 2026, decreased by $3,301 or 6.5%, over $50,746 for the three-month period ended March 31, 2025, reflecting a 5.5% decline in commercial sales and an 8.2% decline in government/defense sales.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$10,110 or 21.3% of revenue, for the three-month period ended March 31, 2026, compared to $12,745, or 25.1% of revenue, for the same quarter a year ago. The 380-basis point decline primarily resulted from sales product mix impacting tariffs, higher utility costs and certain one-time events impacting production delays and operating efficiencies.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were $10,325 for the three-month period ending March 31, 2026, compared to $9,346 for the three-month period ended March 31, 2025, reflecting an increase in new product development costs related to continued investment in our product offering and certain one-time, non-recurring costs. Operating expenses for the 2026 period were 21.8% of revenue compared to 18.4% of revenue for the year-earlier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(loss) income for the three-month period ended March 31, 2026, was ($215), or (0.5)% of revenues, compared to $3,399, or 6.7% of revenues, for the year-earlier period. The decrease in operating income primarily resulted from the declines in revenue and gross margin and the increase in operating expenses, including $847 in one-time, non-recurring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income attributable to Ultralife Corporation was ($451), or ($0.03) per share – basic and diluted, for the three-month period ended March 31, 2026, compared to $1,865, or $0.11 per share – basic and diluted, for the three-month period ended March 31,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defined as net (loss) income attributable to Ultralife Corporation before net interest expense, (benefit) provision for income taxes, depreciation and amortization, and stock-based compensation expense, plus/minus expenses/income that we do not consider reflective of our ongoing operations, amounted to $3,209, or 6.8% of revenues, for the first quarter of 2026, compared to $5,448, or 10.7% of revenues, for the first quarter of 2025. See the section “Adjusted EBITDA” on page 20 for a reconciliation of adjusted EBITDA to net income attributable to Ultralife Corporation.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remain intently focused on improving manufacturing efficiencies at our Newark, NY facility, particularly as we ramp up production of new products, in order to increase the gross margin of Battery &amp; Energy Products, and on driving Communications Systems orders. These improvements, along with execution and replenishment of our backlog, position Ultralife to restore profitability and generate incremental cash flow for 2026 to reduce debt, support strategic capital expenditures, continue our investment in new product development and maximize the value of our global brand.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March 31, 2026, and March 31, 2025</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ending March 31, 2026, were $47,445, a decrease of $3,301, or 6.5%, from $50,746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three-month period ended March 31, 2025. Overall, commercial sales decreased 5.5% and government/defense sales decreased 8.2%.</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Battery &amp; Energy Products revenues decreased $2,166, or 4.7%, from $46,321 for the three-month period ended March 31, 2025, to $44,155 for the three-month period ended March 31, 2026. The revenue decline was primarily attributable to a 5.5% decrease in commercial sales due to a 22.1% decrease in industrial and other commercial sales and a 5.9% decrease in oil &amp; gas, offsetting a 5.9% increase in medical battery sales. The overall decline in commercial sales was in large part a result of lost production days due to the failure of the substation providing power to our Newark, NY facility and winter blizzards and a prolonged shutdown to conduct a comprehensive physical inventory at our Raynham, MA facility. Government/Defense sales declined 2.7% due to the shipment of a very large charger order for an allied country in the 2025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Systems sales decreased $1,135, or 25.7%, from $4,425 for the three-month period ended March 31, 2025, to $3,290 for the three-month period ended March 31, 2026. The decrease was primarily attributable to shipments in the prior year to a major international defense contractor and the timing of expected orders in the current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$37,335 for the quarter ended March 31, 2026, a decrease of $666, or 1.8%,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$38,001 reported for the same three-month period a year ago. Cost of products sold as a percentage of total revenue increased from 74.9% for the three-month period ended March 31, 2025, to 78.7% for the three-month period ended March 31, 2026. Correspondingly, consolidated gross margin decreased from 25.1% for the three-month period ended March 31, 2025, to 21.3% for the three-month period ended March 31, 2026, primarily reflecting sales product mix impacting tariffs, higher utility costs and certain one-time events impacting production days and operating efficiencies.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first quarter of 2026 was $9,358, a decrease of $2,082 or 18.2% from gross profit of $11,440 for the first quarter of 2025. Battery &amp; Energy Products’ gross margin of 21.2% decreased by 350-basis points from the 24.7% gross margin for the year-earlier period, primarily due to sales product mix impacting tariffs, higher utility costs and certain one-time events impacting production days and operating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first quarter of 2026 was $752 or 22.9% of revenues, compared to gross profit of $1,305 or 29.5% of revenues for the first quarter of 2025. The 660-basis point decrease in gross margin was primarily due to unfavorable sales mix and the 25.7% revenue decline reducing factory volume.</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three-month period ended March 31, 2026, were $10,325, an increase of $979 or 10.5% from the $9,346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three-month period ended March 31, 2025. The increase is primarily attributable to a 23.2% increase in new product development costs related to continued investment in our product offerings and certain one-time, non-recurring expenses of $847 primarily related to consulting costs to help expedite gross margin improvement at our two largest manufacturing facilities and litigation expenses incurred for our cyber-insurance claim. Both periods reflected continued tight control over discretionary spending.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operating expenses were 21.8% of revenue for the quarter ending March 31, 2026, compared to 18.4% of revenue for the quarter ended March 31, 2025. Amortization expense associated with intangible assets related to our acquisitions was $267 for the first quarter of 2026 ($262 in selling, general and administrative expenses and $5 in research and development costs), compared with $405 for the first quarter of 2025 ($376 in selling, general, and administrative expenses and $29 in research and development costs). The year-over-year decline in amortization expenses resulted from our decision in the 2025 fourth quarter to undergo a comprehensive rebranding initiative that consolidates all sub-brands under a singular, unified master brand – Ultralife, and the ensuing write-down of tradenames and trademarks associated with out sub-brands during that period. Research and development costs were $2,961 for the three-month period ended March 31, 2026, an increase of $557 or 23.2%, from $2,404 for the three-month period ended March 31, 2025. The increase is attributable to an increase in new product development costs related to continued investment in our product offering as we aggressively pursue both government/defense and commercial opportunities. Selling, general, and administrative expenses were $7,364 for the three-month period ended March 31, 2026, an increase of $422 or 6.1% from $6,942 for the first quarter of 2025. The period-over-period increase was primarily attributable to the inclusion of certain one-time, non-recurring expenses of $847 primarily related to consulting costs to help expedite gross margin improvement at our two largest manufacturing facilities and litigation expenses incurred for our cyber-insurance claim.</w:t>
      </w:r>
    </w:p>
    <w:p>
      <w:pPr>
        <w:spacing w:after="0" w:line="1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$448 for the three-month period ended March 31, 2026, compared to $953 for the three-month period ended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2025. Interest and financing expense decreased $164, or 15.9%, from $1,032 for the first quarter of 2025 to $868 for the comparable period in 2026 resulting from the financing of the Electrochem acquisition on October 31, 2024. Miscellaneous income amounted to $420 for the first quarter of 2026 compared to $79 for the first quarter of 2025, primarily attributable to refundable tax credits for certain qualifying battery cells and packs we manufacture under the 45X Advanced Manufacturing Production Credit, established by the Inflation Reduction Act which runs through 2032. The year-earlier period reflects interest income recognized on the Employee Retention Credit under the Coronavirus Aid, Relief and Economic Security Act filed on June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2023, and approved for payment by the Internal Revenue Service on March 31, 2025. In addition, both periods reflect foreign exchange gains and losses due to fluctuations in foreign currency exchange rates.</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For the three-month period ended March 31, 2026, Ultralife recognized an income tax (benefit) provision of ($192), comprised of a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provision of $136 expected to be paid on income primarily in foreign jurisdictions and a deferred tax (benefit) of $(328). This compares to a provision of $567 comprised of a current provision of $223 and a deferred tax provision of $344 for the three-month period ended March 31, 2025. Our effective tax rate was 29.0% for the first quarter of 2026 as compared to 23.2% for the first quarter of 2025, primarily attributable to the geographic mix of our operating results and other income recognized on the nontaxable refundable tax credits under the 45X Advanced Manufacturing Production Credit. See Note 6 to the consolidated financial statements in Item 1 of Part I of this Form 10-Q for additional information regarding our income taxes.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(Loss) Income Attributable to Ultralife Corporation. </w:t>
      </w:r>
      <w:r>
        <w:rPr>
          <w:rFonts w:ascii="Times New Roman" w:cs="Times New Roman" w:eastAsia="Times New Roman" w:hAnsi="Times New Roman"/>
          <w:sz w:val="18"/>
          <w:szCs w:val="18"/>
          <w:color w:val="auto"/>
        </w:rPr>
        <w:t>Net (loss) income attributable to Ultralife Corporation was ($451), or ($0.03) per share – basic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diluted, for the three-month period ended March 31, 2026, compared to $1,865, or $0.11 per share – basic and diluted, for the three-month period ended March 31, 2025. Weighted average shares outstanding used to compute diluted earnings per share decreased from 16,679,758 for the first quarter of 2025 to 16,656,503 for the first quarter of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(loss) income attributable to Ultralife Corporation before interest expense, provision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(loss) income attributable to Ultralife Corporation, the most comparable financial measure under GAAP.</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(loss) income.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(loss)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Corporation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ind w:left="1100" w:hanging="323"/>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jc w:val="both"/>
        <w:ind w:left="1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5" w:lineRule="exact"/>
        <w:rPr>
          <w:rFonts w:ascii="Times New Roman" w:cs="Times New Roman" w:eastAsia="Times New Roman" w:hAnsi="Times New Roman"/>
          <w:sz w:val="18"/>
          <w:szCs w:val="18"/>
          <w:color w:val="auto"/>
        </w:rPr>
      </w:pPr>
    </w:p>
    <w:p>
      <w:pPr>
        <w:ind w:left="1100" w:hanging="323"/>
        <w:spacing w:after="0" w:line="282" w:lineRule="auto"/>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loss attributable to Ultralife Corporation.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r>
      <w:tr>
        <w:trPr>
          <w:trHeight w:val="201"/>
        </w:trPr>
        <w:tc>
          <w:tcPr>
            <w:tcW w:w="16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58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7"/>
                <w:szCs w:val="17"/>
                <w:color w:val="auto"/>
              </w:rPr>
            </w:pPr>
          </w:p>
        </w:tc>
      </w:tr>
      <w:tr>
        <w:trPr>
          <w:trHeight w:val="238"/>
        </w:trPr>
        <w:tc>
          <w:tcPr>
            <w:tcW w:w="1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Ultralife Corporation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costs for plant closure</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and acquisition costs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One-Time Events Impacting Production</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cash totaled $8,890, as compared to $9,345 at December 31, 2025. The decrease largely reflects decreased revenue by our operations during the period, as well as a reduction in our outstanding debt.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2026, cash generated from operations was $2,256, as compared to $3,368 generated for the three-month period ended March 31, 2025. For the 2026 period, cash generated from operations was comprised of net loss of $471 plus non-cash items totaling $1,058 for depreciation, amortization, stock-based compensation, and deferred taxes, as well as $1,669 attributable to working capital.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2026, was $770 for capital expenditures, primarily reflecting investments in equipment for new products transitioning to higher-volume manufacturing.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2026, was $2,063, representing a $2,063 reduction in our outstanding debt.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future taxable income. See Note 6 to the consolidated financial statements in Item 1 of Part 1 of this Form 10-Q for additional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of borrowings under our Revolving Credit Facility will be sufficient to meet our general funding requirements for the foreseeable future.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provide flexibility in accessing the capital markets, on March 30, 2021, the Company filed a shelf registration statement on Form S-3 (File No. 333-254846) (the “Prior Registration Statement”) registering securities in an aggregate amount of $100,000,000. None of the $100,000,000 of registered securities were sold under the Prior Registration Statement (the “Unsold Securities”). Under the rules of the Securities and Exchange Commission (the “SEC”) the Prior Registration Statement was set to expire on April 2, 2024. Therefore, on March 29, 2024, the Company filed a new shelf registration statement on Form S-3 (File No. 333-278360) (the “New Registration Statement”) to replace the Prior Registration Statement. The New Registration Statement includes all $100,000,000 of the Unsold Securities registered on the Prior Registration Statement. The SEC declared the New Registration Statement effective May 7, 2024. Pursuant to Rule 415(a)(6) under Securities Act of 1933, as amended (the “Securities Act”), the offering of the Unsold Securities under the Prior Registration Statement was deemed terminated as of the date of effectiveness of the New Registration Statement. Upon the filing of an appropriate prospectus supplement or supplements under the New Registration Statement, we may offer and sell our securities from time to time in one or more offerings, at our discretion. We intend to use the net proceeds resulting from any sales of these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 differentiated products for attractive growth markets.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$48,188 outstanding on the Term Loan and no amounts outstanding on the Revolving Credit Facility. The Company was in full compliance with its debt covenants under the Revolving Credit Facility and Term Loan as of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have made commitments to purchase approximately $545 of production machinery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2025 Annual Report on Form 10-K should be reviewed for a greater understanding of how our financial performance is recorded and reported.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2026, there were no significant changes in the manner in which our significant accounting policies were applied or in which related assumptions and estimates were developed.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President and Chief Executive Officer (principal executive officer) and our Chief Financial Officer and Treasurer (principal financial officer), has evaluated the effectiveness of our disclosure controls and procedures (as defined in Rule 13a-15(e) of the Exchange Act) as of the end of the period covered by this quarterly report. Management has concluded that our disclosure control and procedures were not effective as of March 31, 2026, because of the existing material weakness in our internal control over financial reporting as previously reported in our Annual Report on Form 10-K for the year ended December 31,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 identified, management believes that the Consolidated Financial Statements included in this Quarterly Report on Form 10-Q are fairly stated in all material respects in accordance with U.S. generally accepted accounting principles for each of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Weakness in Internal Control over Financial Reporting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2025, using the criteria set forth by the Committee of Sponsoring Organizations of the Treadway Commission (“COSO”) in Internal Control - Integrated Framework (2013). Based on our evaluation, management concluded that there is a material weakness in our internal control over financial reporting</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 a result of the material weakness identified, management has concluded that our internal control over financial reporting was not effective as of December 31, 2025. The material weakness was not yet fully remediated as of March 31, 2026.</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material weakness has been identified because remediation efforts initiated during the year ended December 31, 2025 relating to the material weakness identified during the year ended December 31, 2024 attributable to the need for additional personnel to provide a full complement of accounting and reporting expertise had not been in place and adequately documented for a sufficient period of time to allow management to conclude that the related controls were operating effectively. In addition, information technology general controls (ITGC) were not operating effectively to ensure that (i) access to applications and data, including the ability to make changes, was appropriately restricted to authorized personnel, and (ii) the activities of individuals with such access were adequately monitored. As a result, business process controls (automated and manual) that are dependent on the affected ITGCs were also deemed ineffective because they could have been adversely impacted.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Remediation Efforts to Address Material Weakness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course of 2025, management implemented a remediation plan designed to address the material weakness identified during the year ended December 31, 2024, attributable to the need for additional personnel to provide a full complement of accounting and reporting expertise commensurate with the growth of the Company. The Company has significantly strengthened its finance and accounting team by adding a new oversight role and hiring additional highly experienced personnel including certified public accountants. The personnel actions taken include the naming of a Chief Accounting Officer with a backfill to the Corporate Controller role and filling the following positions: Director – Internal Audit &amp; SOX Compliance, Manager – Corporate Accounting, Manager – Corporate Reporting &amp; Consolidations, Controller – Electrochem, and Senior Management Accountant – Electrochem. Significant improvements in the design, execution and documentation of business process controls were implemented across our locations pursuant to our remediation plan during the second half of 2025 once the additional oversight was in place and additional personnel were hired; however, it was determined that certain business process controls were not in place and adequately documented for a sufficient period of time to allow management to conclude that the previously identified material weakness was fully remediated as of December 31, 2025.</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2026 and through the date of this Quarterly Report on Form 10-Q, management continues to develop and is actively implementing corrective actions to remediate the identified ITGC deficiencies. The Company is conducting a comprehensive risk-based evaluation of user access to our key IT applications to ensure that access is appropriately administered. Access will be restricted to the extent possible, and monitoring or other mitigating controls will be implemented to address instances, if any, where system-level segregation may not be feasible. Steps have been taken to restrict certain user access and to evaluate activity logs through the period that such access was deemed to have not been appropriately restricted. Additionally, we are in the process of formalizing our user access reviews and requiring that they are performed on a more frequent and timely basis.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Remediation will be deemed complete once all corrective actions are fully implemented and in place for a sufficient period of time and further evaluation is performed, including testing, to conclude that our internal control over financial reporting is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remedial actions described above, there were no changes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Limitations of Effectiveness of Controls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does not expect that the Company’s disclosure controls and procedures or its internal control over financial reporting will prevent or detect all error and all fraud. A control system, no matter how well designed and operated, can provide only reasonable, not absolute, assurance that its objectives will be met. The design of a control system must reflect the fact that there are resource constraints, and the benefits of controls must be considered relative to their costs. Furthermore,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or by the collusion of two or more persons.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PART II.</w:t>
            </w:r>
          </w:p>
        </w:tc>
        <w:tc>
          <w:tcPr>
            <w:tcW w:w="68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675"/>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300" w:type="dxa"/>
            <w:vAlign w:val="bottom"/>
          </w:tcPr>
          <w:p>
            <w:pPr>
              <w:spacing w:after="0"/>
              <w:rPr>
                <w:sz w:val="20"/>
                <w:szCs w:val="20"/>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169"/>
        </w:trPr>
        <w:tc>
          <w:tcPr>
            <w:tcW w:w="660" w:type="dxa"/>
            <w:vAlign w:val="bottom"/>
          </w:tcPr>
          <w:p>
            <w:pPr>
              <w:spacing w:after="0"/>
              <w:rPr>
                <w:sz w:val="14"/>
                <w:szCs w:val="14"/>
                <w:color w:val="auto"/>
              </w:rPr>
            </w:pPr>
          </w:p>
        </w:tc>
        <w:tc>
          <w:tcPr>
            <w:tcW w:w="12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4"/>
                <w:szCs w:val="14"/>
                <w:color w:val="auto"/>
              </w:rPr>
            </w:pPr>
          </w:p>
        </w:tc>
        <w:tc>
          <w:tcPr>
            <w:tcW w:w="338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Rule 13a-14(a) / 15d-14(a) CEO Certifications</w:t>
            </w:r>
          </w:p>
        </w:tc>
        <w:tc>
          <w:tcPr>
            <w:tcW w:w="20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86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7"/>
                <w:szCs w:val="17"/>
                <w:color w:val="auto"/>
              </w:rPr>
            </w:pPr>
          </w:p>
        </w:tc>
        <w:tc>
          <w:tcPr>
            <w:tcW w:w="53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Rule 13a-14(a) / 15d-14(a) CFO Certifications</w:t>
            </w:r>
          </w:p>
        </w:tc>
        <w:tc>
          <w:tcPr>
            <w:tcW w:w="37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86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7"/>
                <w:szCs w:val="17"/>
                <w:color w:val="auto"/>
              </w:rPr>
            </w:pPr>
          </w:p>
        </w:tc>
        <w:tc>
          <w:tcPr>
            <w:tcW w:w="19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Certifications</w:t>
            </w:r>
          </w:p>
        </w:tc>
        <w:tc>
          <w:tcPr>
            <w:tcW w:w="1380" w:type="dxa"/>
            <w:vAlign w:val="bottom"/>
            <w:tcBorders>
              <w:top w:val="single" w:sz="8" w:color="0000EE"/>
            </w:tcBorders>
          </w:tcPr>
          <w:p>
            <w:pPr>
              <w:spacing w:after="0"/>
              <w:rPr>
                <w:sz w:val="17"/>
                <w:szCs w:val="17"/>
                <w:color w:val="auto"/>
              </w:rPr>
            </w:pPr>
          </w:p>
        </w:tc>
        <w:tc>
          <w:tcPr>
            <w:tcW w:w="2020" w:type="dxa"/>
            <w:vAlign w:val="bottom"/>
            <w:gridSpan w:val="2"/>
          </w:tcPr>
          <w:p>
            <w:pPr>
              <w:spacing w:after="0"/>
              <w:rPr>
                <w:sz w:val="17"/>
                <w:szCs w:val="17"/>
                <w:color w:val="auto"/>
              </w:rPr>
            </w:pPr>
          </w:p>
        </w:tc>
        <w:tc>
          <w:tcPr>
            <w:tcW w:w="37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18"/>
        </w:trPr>
        <w:tc>
          <w:tcPr>
            <w:tcW w:w="6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6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6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6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6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6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32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198" w:lineRule="exact"/>
        <w:rPr>
          <w:sz w:val="20"/>
          <w:szCs w:val="20"/>
          <w:color w:val="auto"/>
        </w:rPr>
      </w:pPr>
    </w:p>
    <w:p>
      <w:pPr>
        <w:jc w:val="both"/>
        <w:ind w:left="660" w:right="80"/>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March 31, 2026 and December 31, 2025, (ii) Consolidated Statements of (Loss) Income and Comprehensive (Loss) Income for the three months ended March 31, 2026 and 2025, (iii) Consolidated Statements of Cash Flows for the three months ended March 31, 2026 and 2025, (iv) Consolidated Statements of Changes in Stockholders’ Equity for the three months ended March 31, 2026 and 2025, and (v) Notes to Consolidated Financial Statements.</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19" w:right="25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ULTRALIFE CORPORATION</w:t>
            </w:r>
          </w:p>
        </w:tc>
        <w:tc>
          <w:tcPr>
            <w:tcW w:w="1080" w:type="dxa"/>
            <w:vAlign w:val="bottom"/>
          </w:tcPr>
          <w:p>
            <w:pPr>
              <w:spacing w:after="0"/>
              <w:rPr>
                <w:sz w:val="17"/>
                <w:szCs w:val="17"/>
                <w:color w:val="auto"/>
              </w:rPr>
            </w:pPr>
          </w:p>
        </w:tc>
      </w:tr>
      <w:tr>
        <w:trPr>
          <w:trHeight w:val="237"/>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392"/>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320" w:type="dxa"/>
            <w:vAlign w:val="bottom"/>
            <w:gridSpan w:val="4"/>
          </w:tcPr>
          <w:p>
            <w:pPr>
              <w:ind w:left="172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0"/>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60" w:type="dxa"/>
            <w:vAlign w:val="bottom"/>
            <w:gridSpan w:val="3"/>
          </w:tcPr>
          <w:p>
            <w:pPr>
              <w:ind w:left="200"/>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16"/>
        </w:trPr>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8"/>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320" w:type="dxa"/>
            <w:vAlign w:val="bottom"/>
            <w:gridSpan w:val="4"/>
          </w:tcPr>
          <w:p>
            <w:pPr>
              <w:ind w:left="172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60" w:type="dxa"/>
            <w:vAlign w:val="bottom"/>
            <w:gridSpan w:val="3"/>
          </w:tcPr>
          <w:p>
            <w:pPr>
              <w:ind w:left="200"/>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16"/>
        </w:trPr>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26</w:t>
            </w:r>
          </w:p>
        </w:tc>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00"/>
          </w:cols>
          <w:pgMar w:left="320" w:top="576"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0"/>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54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0"/>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March 31, 2026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0"/>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91"/>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191"/>
        </w:trPr>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4"/>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7"/>
    </w:lvl>
  </w:abstractNum>
  <w:abstractNum w:abstractNumId="10">
    <w:nsid w:val="DED7263"/>
    <w:multiLevelType w:val="hybridMultilevel"/>
    <w:lvl w:ilvl="0">
      <w:lvlJc w:val="left"/>
      <w:lvlText w:val="%1."/>
      <w:numFmt w:val="decimal"/>
      <w:start w:val="8"/>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amp;"/>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2026-05-08T06:34:11Z</dcterms:created>
  <dcterms:modified xsi:type="dcterms:W3CDTF">2026-05-08T06:34:11Z</dcterms:modified>
</cp:coreProperties>
</file>