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lbi20260723_8k.htm"/>
      <w:bookmarkStart w:id="1" w:name="ksulbi20260723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b/>
          <w:sz w:val="36"/>
        </w:rPr>
        <w:t>FORM 8-K</w:t>
      </w:r>
      <w:r>
        <w:rPr>
          <w:rFonts w:ascii="Times New Roman" w:hAnsi="Times New Roman"/>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July 23,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36"/>
        </w:rPr>
        <w:t>ULTRALIFE CORPORATION</w:t>
      </w:r>
      <w:r>
        <w:rPr>
          <w:rFonts w:ascii="Times New Roman" w:hAnsi="Times New Roman"/>
          <w:caps w:val="false"/>
          <w:smallCaps w:val="false"/>
          <w:sz w:val="20"/>
        </w:rPr>
        <w:t xml:space="preserve"> </w:t>
        <w:br/>
        <w:t>(Exact name of registrant as specified in its charter)</w:t>
        <w:br/>
        <w:t> </w:t>
      </w:r>
    </w:p>
    <w:tbl>
      <w:tblPr>
        <w:tblW w:w="6885" w:type="dxa"/>
        <w:jc w:val="left"/>
        <w:tblInd w:w="0" w:type="dxa"/>
        <w:tblLayout w:type="fixed"/>
        <w:tblCellMar>
          <w:top w:w="0" w:type="dxa"/>
          <w:left w:w="0" w:type="dxa"/>
          <w:bottom w:w="0" w:type="dxa"/>
          <w:right w:w="0" w:type="dxa"/>
        </w:tblCellMar>
      </w:tblPr>
      <w:tblGrid>
        <w:gridCol w:w="1910"/>
        <w:gridCol w:w="2210"/>
        <w:gridCol w:w="2765"/>
      </w:tblGrid>
      <w:tr>
        <w:trPr/>
        <w:tc>
          <w:tcPr>
            <w:tcW w:w="19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000-20852</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16-1387013</w:t>
            </w:r>
          </w:p>
        </w:tc>
      </w:tr>
      <w:tr>
        <w:trPr/>
        <w:tc>
          <w:tcPr>
            <w:tcW w:w="19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2000 Technology Parkway, Newark, New York</w:t>
      </w:r>
      <w:r>
        <w:rPr>
          <w:rFonts w:ascii="Times New Roman" w:hAnsi="Times New Roman"/>
          <w:caps w:val="false"/>
          <w:smallCaps w:val="false"/>
          <w:sz w:val="20"/>
        </w:rPr>
        <w:t> </w:t>
      </w:r>
      <w:r>
        <w:rPr>
          <w:rFonts w:ascii="Times New Roman" w:hAnsi="Times New Roman"/>
          <w:b/>
          <w:caps w:val="false"/>
          <w:smallCaps w:val="false"/>
          <w:sz w:val="20"/>
        </w:rPr>
        <w:t>14513</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(315) 332-7100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115" w:type="dxa"/>
        <w:jc w:val="left"/>
        <w:tblInd w:w="0" w:type="dxa"/>
        <w:tblLayout w:type="fixed"/>
        <w:tblCellMar>
          <w:top w:w="0" w:type="dxa"/>
          <w:left w:w="0" w:type="dxa"/>
          <w:bottom w:w="28" w:type="dxa"/>
          <w:right w:w="0" w:type="dxa"/>
        </w:tblCellMar>
      </w:tblPr>
      <w:tblGrid>
        <w:gridCol w:w="3496"/>
        <w:gridCol w:w="146"/>
        <w:gridCol w:w="1501"/>
        <w:gridCol w:w="146"/>
        <w:gridCol w:w="3826"/>
      </w:tblGrid>
      <w:tr>
        <w:trPr/>
        <w:tc>
          <w:tcPr>
            <w:tcW w:w="349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Title of each class</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150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Trading Symbol</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Name of each exchange on which registered</w:t>
            </w:r>
          </w:p>
        </w:tc>
      </w:tr>
      <w:tr>
        <w:trPr/>
        <w:tc>
          <w:tcPr>
            <w:tcW w:w="3496"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$0.10 par value per share</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150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ULBI</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3826" w:type="dxa"/>
            <w:tcBorders/>
            <w:tcMar>
              <w:top w:w="28" w:type="dxa"/>
              <w:left w:w="28" w:type="dxa"/>
              <w:right w:w="28" w:type="dxa"/>
            </w:tcMar>
            <w:vAlign w:val="center"/>
          </w:tcPr>
          <w:p>
            <w:pPr>
              <w:pStyle w:val="TableContents"/>
              <w:bidi w:val="0"/>
              <w:spacing w:before="0" w:after="0"/>
              <w:ind w:left="0" w:right="0" w:hanging="0"/>
              <w:jc w:val="center"/>
              <w:rPr/>
            </w:pPr>
            <w:r>
              <w:rPr/>
              <w:t> </w:t>
            </w:r>
            <w:r>
              <w:rPr>
                <w:rFonts w:ascii="Times New Roman" w:hAnsi="Times New Roman"/>
                <w:sz w:val="20"/>
              </w:rPr>
              <w:t>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 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5.07</w:t>
      </w:r>
      <w:r>
        <w:rPr>
          <w:rFonts w:ascii="Times New Roman" w:hAnsi="Times New Roman"/>
          <w:caps w:val="false"/>
          <w:smallCaps w:val="false"/>
          <w:sz w:val="20"/>
        </w:rPr>
        <w:t xml:space="preserve">         </w:t>
      </w:r>
      <w:r>
        <w:rPr>
          <w:rFonts w:ascii="Times New Roman" w:hAnsi="Times New Roman"/>
          <w:b/>
          <w:caps w:val="false"/>
          <w:smallCaps w:val="false"/>
          <w:sz w:val="20"/>
        </w:rPr>
        <w:t>Submission of Matters to a Vote of Security 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22, 2026, Ultralife Corporation (“the Company”) held its 2026 Annual Meeting of Stockholders (the “Annual Meeting”). Only stockholders of record at the close of business on May 28, 2026 (the “Record Date”) were entitled to vote at the Annual Meeting. As of the Record Date, there were 16,656,669 shares of common stock outstanding and entitled to vote, of which 13,980,794 (83.93%) were present in person or by proxy, representing a quorum. The results of stockholder voting on the proposals presented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Company’s stockholders elected five Directors, all of whom constitute the Company’s entire Board of Directors, to serve for a term of one year and until their successors are duly elected and qualified. The number of shares that (i) voted for the election of each Director, (ii) withheld authority to vote for each Director, and (iii) were broker non-votes, are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1805"/>
        <w:gridCol w:w="950"/>
        <w:gridCol w:w="845"/>
        <w:gridCol w:w="1550"/>
      </w:tblGrid>
      <w:tr>
        <w:trPr/>
        <w:tc>
          <w:tcPr>
            <w:tcW w:w="1805"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Director</w:t>
            </w:r>
          </w:p>
        </w:tc>
        <w:tc>
          <w:tcPr>
            <w:tcW w:w="9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Withheld</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 Non-Votes</w:t>
            </w:r>
          </w:p>
        </w:tc>
      </w:tr>
      <w:tr>
        <w:trPr/>
        <w:tc>
          <w:tcPr>
            <w:tcW w:w="1805"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left"/>
              <w:rPr/>
            </w:pPr>
            <w:r>
              <w:rPr/>
              <w:t> </w:t>
            </w:r>
          </w:p>
        </w:tc>
      </w:tr>
      <w:tr>
        <w:trPr/>
        <w:tc>
          <w:tcPr>
            <w:tcW w:w="180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E. Manna</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11,065,320</w:t>
            </w:r>
          </w:p>
        </w:tc>
        <w:tc>
          <w:tcPr>
            <w:tcW w:w="84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215,149</w:t>
            </w:r>
          </w:p>
        </w:tc>
        <w:tc>
          <w:tcPr>
            <w:tcW w:w="15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2,700,325</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Janie Goddard</w:t>
            </w:r>
          </w:p>
        </w:tc>
        <w:tc>
          <w:tcPr>
            <w:tcW w:w="95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10,260,448</w:t>
            </w:r>
          </w:p>
        </w:tc>
        <w:tc>
          <w:tcPr>
            <w:tcW w:w="84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1,020,021</w:t>
            </w:r>
          </w:p>
        </w:tc>
        <w:tc>
          <w:tcPr>
            <w:tcW w:w="155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2,700,325</w:t>
            </w:r>
          </w:p>
        </w:tc>
      </w:tr>
      <w:tr>
        <w:trPr/>
        <w:tc>
          <w:tcPr>
            <w:tcW w:w="180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Thomas L. Saeli</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11,044,346</w:t>
            </w:r>
          </w:p>
        </w:tc>
        <w:tc>
          <w:tcPr>
            <w:tcW w:w="84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236,123</w:t>
            </w:r>
          </w:p>
        </w:tc>
        <w:tc>
          <w:tcPr>
            <w:tcW w:w="15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2,700,325</w:t>
            </w:r>
          </w:p>
        </w:tc>
      </w:tr>
      <w:tr>
        <w:trPr/>
        <w:tc>
          <w:tcPr>
            <w:tcW w:w="180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W. Shaw II</w:t>
            </w:r>
          </w:p>
        </w:tc>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11,044,375</w:t>
            </w:r>
          </w:p>
        </w:tc>
        <w:tc>
          <w:tcPr>
            <w:tcW w:w="845"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236,094</w:t>
            </w:r>
          </w:p>
        </w:tc>
        <w:tc>
          <w:tcPr>
            <w:tcW w:w="15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2,700,325</w:t>
            </w:r>
          </w:p>
        </w:tc>
      </w:tr>
      <w:tr>
        <w:trPr/>
        <w:tc>
          <w:tcPr>
            <w:tcW w:w="180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Bradford T. Whitmore</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10,912,209</w:t>
            </w:r>
          </w:p>
        </w:tc>
        <w:tc>
          <w:tcPr>
            <w:tcW w:w="84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368,260</w:t>
            </w:r>
          </w:p>
        </w:tc>
        <w:tc>
          <w:tcPr>
            <w:tcW w:w="15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2,700,325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Company’s stockholders ratified the selection of the Company’s independent registered public accounting firm as WithumSmith+Brown, PC for 2026. The number of shares that (i) voted for the ratification of the accounting firm, (ii) voted against the ratification, and (iii) abstained from the vote are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2733" w:type="dxa"/>
        <w:jc w:val="left"/>
        <w:tblInd w:w="0" w:type="dxa"/>
        <w:tblLayout w:type="fixed"/>
        <w:tblCellMar>
          <w:top w:w="28" w:type="dxa"/>
          <w:left w:w="28" w:type="dxa"/>
          <w:bottom w:w="28" w:type="dxa"/>
          <w:right w:w="28" w:type="dxa"/>
        </w:tblCellMar>
      </w:tblPr>
      <w:tblGrid>
        <w:gridCol w:w="1051"/>
        <w:gridCol w:w="886"/>
        <w:gridCol w:w="796"/>
      </w:tblGrid>
      <w:tr>
        <w:trPr/>
        <w:tc>
          <w:tcPr>
            <w:tcW w:w="1051" w:type="dxa"/>
            <w:tcBorders/>
            <w:vAlign w:val="center"/>
          </w:tcPr>
          <w:p>
            <w:pPr>
              <w:pStyle w:val="TableContents"/>
              <w:bidi w:val="0"/>
              <w:spacing w:before="0" w:after="0"/>
              <w:ind w:left="0" w:right="0" w:hanging="0"/>
              <w:jc w:val="center"/>
              <w:rPr>
                <w:rFonts w:ascii="Times New Roman" w:hAnsi="Times New Roman"/>
                <w:b/>
                <w:sz w:val="20"/>
                <w:u w:val="single"/>
              </w:rPr>
            </w:pPr>
            <w:r>
              <w:rPr>
                <w:rFonts w:ascii="Times New Roman" w:hAnsi="Times New Roman"/>
                <w:b/>
                <w:sz w:val="20"/>
                <w:u w:val="single"/>
              </w:rPr>
              <w:t>For</w:t>
            </w:r>
          </w:p>
        </w:tc>
        <w:tc>
          <w:tcPr>
            <w:tcW w:w="886" w:type="dxa"/>
            <w:tcBorders/>
            <w:vAlign w:val="center"/>
          </w:tcPr>
          <w:p>
            <w:pPr>
              <w:pStyle w:val="TableContents"/>
              <w:bidi w:val="0"/>
              <w:spacing w:before="0" w:after="0"/>
              <w:ind w:left="0" w:right="0" w:hanging="0"/>
              <w:jc w:val="center"/>
              <w:rPr>
                <w:rFonts w:ascii="Times New Roman" w:hAnsi="Times New Roman"/>
                <w:b/>
                <w:sz w:val="20"/>
                <w:u w:val="single"/>
              </w:rPr>
            </w:pPr>
            <w:r>
              <w:rPr>
                <w:rFonts w:ascii="Times New Roman" w:hAnsi="Times New Roman"/>
                <w:b/>
                <w:sz w:val="20"/>
                <w:u w:val="single"/>
              </w:rPr>
              <w:t>Withheld</w:t>
            </w:r>
          </w:p>
        </w:tc>
        <w:tc>
          <w:tcPr>
            <w:tcW w:w="796" w:type="dxa"/>
            <w:tcBorders/>
            <w:vAlign w:val="center"/>
          </w:tcPr>
          <w:p>
            <w:pPr>
              <w:pStyle w:val="TableContents"/>
              <w:bidi w:val="0"/>
              <w:spacing w:before="0" w:after="0"/>
              <w:ind w:left="0" w:right="0" w:hanging="0"/>
              <w:jc w:val="center"/>
              <w:rPr>
                <w:rFonts w:ascii="Times New Roman" w:hAnsi="Times New Roman"/>
                <w:b/>
                <w:sz w:val="20"/>
                <w:u w:val="single"/>
              </w:rPr>
            </w:pPr>
            <w:r>
              <w:rPr>
                <w:rFonts w:ascii="Times New Roman" w:hAnsi="Times New Roman"/>
                <w:b/>
                <w:sz w:val="20"/>
                <w:u w:val="single"/>
              </w:rPr>
              <w:t>Abstain</w:t>
            </w:r>
          </w:p>
        </w:tc>
      </w:tr>
      <w:tr>
        <w:trPr/>
        <w:tc>
          <w:tcPr>
            <w:tcW w:w="1051"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 </w:t>
            </w:r>
          </w:p>
        </w:tc>
      </w:tr>
      <w:tr>
        <w:trPr/>
        <w:tc>
          <w:tcPr>
            <w:tcW w:w="105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13,830,508</w:t>
            </w:r>
          </w:p>
        </w:tc>
        <w:tc>
          <w:tcPr>
            <w:tcW w:w="886"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137,166</w:t>
            </w:r>
          </w:p>
        </w:tc>
        <w:tc>
          <w:tcPr>
            <w:tcW w:w="796"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13,120</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The Company’s shareholders approved an advisory resolution on executive compensation. The number of shares that (i) voted for the resolution, (ii) voted against the resolution, (iii) abstained from the vote, and (iv) were broker non-votes, are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3860" w:type="dxa"/>
        <w:jc w:val="left"/>
        <w:tblInd w:w="0" w:type="dxa"/>
        <w:tblLayout w:type="fixed"/>
        <w:tblCellMar>
          <w:top w:w="0" w:type="dxa"/>
          <w:left w:w="0" w:type="dxa"/>
          <w:bottom w:w="0" w:type="dxa"/>
          <w:right w:w="0" w:type="dxa"/>
        </w:tblCellMar>
      </w:tblPr>
      <w:tblGrid>
        <w:gridCol w:w="950"/>
        <w:gridCol w:w="695"/>
        <w:gridCol w:w="665"/>
        <w:gridCol w:w="1550"/>
      </w:tblGrid>
      <w:tr>
        <w:trPr/>
        <w:tc>
          <w:tcPr>
            <w:tcW w:w="9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Against</w:t>
            </w:r>
          </w:p>
        </w:tc>
        <w:tc>
          <w:tcPr>
            <w:tcW w:w="66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Abstain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 Non-Votes</w:t>
            </w:r>
          </w:p>
        </w:tc>
      </w:tr>
      <w:tr>
        <w:trPr/>
        <w:tc>
          <w:tcPr>
            <w:tcW w:w="950"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10,970,705</w:t>
            </w:r>
          </w:p>
        </w:tc>
        <w:tc>
          <w:tcPr>
            <w:tcW w:w="69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245,370</w:t>
            </w:r>
          </w:p>
        </w:tc>
        <w:tc>
          <w:tcPr>
            <w:tcW w:w="66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64,394</w:t>
            </w:r>
          </w:p>
        </w:tc>
        <w:tc>
          <w:tcPr>
            <w:tcW w:w="155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2,700,325</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Company’s shareholders indicated their preference, on a non-binding advisory basis, that the frequency of future advisory votes on executive compensation be “3 Years”. The number of shares that (i) voted for 1 Year, (ii) voted for 2 Years, (iii) voted for 3 Years, and (iv) abstained from the vote, are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3050" w:type="dxa"/>
        <w:jc w:val="left"/>
        <w:tblInd w:w="0" w:type="dxa"/>
        <w:tblLayout w:type="fixed"/>
        <w:tblCellMar>
          <w:top w:w="0" w:type="dxa"/>
          <w:left w:w="0" w:type="dxa"/>
          <w:bottom w:w="0" w:type="dxa"/>
          <w:right w:w="0" w:type="dxa"/>
        </w:tblCellMar>
      </w:tblPr>
      <w:tblGrid>
        <w:gridCol w:w="845"/>
        <w:gridCol w:w="695"/>
        <w:gridCol w:w="845"/>
        <w:gridCol w:w="66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1 Year</w:t>
            </w:r>
          </w:p>
        </w:tc>
        <w:tc>
          <w:tcPr>
            <w:tcW w:w="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 Years</w:t>
            </w:r>
          </w:p>
        </w:tc>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 Years</w:t>
            </w:r>
          </w:p>
        </w:tc>
        <w:tc>
          <w:tcPr>
            <w:tcW w:w="66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Abstain</w:t>
            </w:r>
          </w:p>
        </w:tc>
      </w:tr>
      <w:tr>
        <w:trPr/>
        <w:tc>
          <w:tcPr>
            <w:tcW w:w="845"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84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2,576,450</w:t>
            </w:r>
          </w:p>
        </w:tc>
        <w:tc>
          <w:tcPr>
            <w:tcW w:w="69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109,411</w:t>
            </w:r>
          </w:p>
        </w:tc>
        <w:tc>
          <w:tcPr>
            <w:tcW w:w="84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8,554,151</w:t>
            </w:r>
          </w:p>
        </w:tc>
        <w:tc>
          <w:tcPr>
            <w:tcW w:w="66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40,457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consideration of the voting results of the Annual Meeting and other factors, the Board of Directors has determined that the frequency of future advisory votes on executive compensation will be three years.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1610"/>
        <w:gridCol w:w="320"/>
        <w:gridCol w:w="302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23, 2026</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ULTRALIFE CORPORATION</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Philip A. Fain</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Philip A. Fain</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pPr>
            <w:r>
              <w:rPr/>
              <w:t> </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4029</Characters>
  <CharactersWithSpaces>4900</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