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50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84"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684" w:right="339" w:bottom="1440" w:gutter="0" w:footer="0" w:header="0"/>
          <w:type w:val="continuous"/>
        </w:sectPr>
      </w:pPr>
    </w:p>
    <w:p>
      <w:pPr>
        <w:spacing w:after="0" w:line="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-133985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41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797560</wp:posOffset>
            </wp:positionH>
            <wp:positionV relativeFrom="paragraph">
              <wp:posOffset>-78740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1283335</wp:posOffset>
            </wp:positionH>
            <wp:positionV relativeFrom="paragraph">
              <wp:posOffset>-78740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37" w:lineRule="exact"/>
        <w:rPr>
          <w:sz w:val="24"/>
          <w:szCs w:val="24"/>
          <w:color w:val="auto"/>
        </w:rPr>
      </w:pPr>
    </w:p>
    <w:p>
      <w:pPr>
        <w:ind w:left="5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5700395</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October 26, 2020, the registrant had 15,928,055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67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7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1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September 30, 2020 and December 31, 2019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18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00" w:type="dxa"/>
            <w:vAlign w:val="bottom"/>
            <w:shd w:val="clear" w:color="auto" w:fill="CCEEFF"/>
          </w:tcPr>
          <w:p>
            <w:pPr>
              <w:spacing w:after="0"/>
              <w:rPr>
                <w:sz w:val="17"/>
                <w:szCs w:val="17"/>
                <w:color w:val="auto"/>
              </w:rPr>
            </w:pPr>
          </w:p>
        </w:tc>
        <w:tc>
          <w:tcPr>
            <w:tcW w:w="88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and Comprehensive Income for the Three and Nine-Month Periods Ended September</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2020 and September 29, 2019</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818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Nine-Month Periods Ended September 30, 2020 and September 29, 2019</w:t>
            </w: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18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00" w:type="dxa"/>
            <w:vAlign w:val="bottom"/>
            <w:shd w:val="clear" w:color="auto" w:fill="CCEEFF"/>
          </w:tcPr>
          <w:p>
            <w:pPr>
              <w:spacing w:after="0"/>
              <w:rPr>
                <w:sz w:val="17"/>
                <w:szCs w:val="17"/>
                <w:color w:val="auto"/>
              </w:rPr>
            </w:pPr>
          </w:p>
        </w:tc>
        <w:tc>
          <w:tcPr>
            <w:tcW w:w="88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Shareholders’ Equity for the Three and Nine-Month Periods Ended September 30,</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and September 29, 2019</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9A9A9A"/>
            </w:tcBorders>
            <w:gridSpan w:val="2"/>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78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3"/>
        </w:trPr>
        <w:tc>
          <w:tcPr>
            <w:tcW w:w="1300" w:type="dxa"/>
            <w:vAlign w:val="bottom"/>
          </w:tcPr>
          <w:p>
            <w:pPr>
              <w:spacing w:after="0"/>
              <w:rPr>
                <w:sz w:val="24"/>
                <w:szCs w:val="24"/>
                <w:color w:val="auto"/>
              </w:rPr>
            </w:pPr>
          </w:p>
        </w:tc>
        <w:tc>
          <w:tcPr>
            <w:tcW w:w="67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7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p>
        </w:tc>
        <w:tc>
          <w:tcPr>
            <w:tcW w:w="67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3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300" w:type="dxa"/>
            <w:vAlign w:val="bottom"/>
            <w:shd w:val="clear" w:color="auto" w:fill="CCEEFF"/>
          </w:tcPr>
          <w:p>
            <w:pPr>
              <w:spacing w:after="0"/>
              <w:rPr>
                <w:sz w:val="18"/>
                <w:szCs w:val="18"/>
                <w:color w:val="auto"/>
              </w:rPr>
            </w:pPr>
          </w:p>
        </w:tc>
        <w:tc>
          <w:tcPr>
            <w:tcW w:w="670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13,777</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$303 and $324, respectively</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30,106</w:t>
            </w: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Inventories, net</w:t>
            </w: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29,759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22,525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9,721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8"/>
                <w:szCs w:val="18"/>
                <w:color w:val="auto"/>
              </w:rPr>
            </w:pPr>
          </w:p>
        </w:tc>
      </w:tr>
      <w:tr>
        <w:trPr>
          <w:trHeight w:val="249"/>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67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135,554</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144,557</w:t>
            </w:r>
          </w:p>
        </w:tc>
      </w:tr>
      <w:tr>
        <w:trPr>
          <w:trHeight w:val="196"/>
        </w:trPr>
        <w:tc>
          <w:tcPr>
            <w:tcW w:w="1300" w:type="dxa"/>
            <w:vAlign w:val="bottom"/>
            <w:tcBorders>
              <w:top w:val="single" w:sz="8" w:color="CCEEFF"/>
            </w:tcBorders>
          </w:tcPr>
          <w:p>
            <w:pPr>
              <w:spacing w:after="0"/>
              <w:rPr>
                <w:sz w:val="17"/>
                <w:szCs w:val="17"/>
                <w:color w:val="auto"/>
              </w:rPr>
            </w:pPr>
          </w:p>
        </w:tc>
        <w:tc>
          <w:tcPr>
            <w:tcW w:w="67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300" w:type="dxa"/>
            <w:vAlign w:val="bottom"/>
            <w:shd w:val="clear" w:color="auto" w:fill="CCEEFF"/>
          </w:tcPr>
          <w:p>
            <w:pPr>
              <w:spacing w:after="0"/>
              <w:rPr>
                <w:sz w:val="18"/>
                <w:szCs w:val="18"/>
                <w:color w:val="auto"/>
              </w:rPr>
            </w:pPr>
          </w:p>
        </w:tc>
        <w:tc>
          <w:tcPr>
            <w:tcW w:w="670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8,875</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15,780</w:t>
            </w:r>
          </w:p>
        </w:tc>
      </w:tr>
      <w:tr>
        <w:trPr>
          <w:trHeight w:val="130"/>
        </w:trPr>
        <w:tc>
          <w:tcPr>
            <w:tcW w:w="130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-5328285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-5337175</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819"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34,807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20,331,348 shares at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2020 and 20,268,050 shares at December 31, 2019; outstanding – 15,928,055 shares at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2020 and 15,866,868 shares at December 31, 2019</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(52,830)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 at cost; 4,403,293 shares at September 30, 2020 and 4,401,182 shares at December 31,</w:t>
            </w:r>
          </w:p>
        </w:tc>
        <w:tc>
          <w:tcPr>
            <w:tcW w:w="4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21"/>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109,750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144,557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24,362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gain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 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common shares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(4,847)</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SWE, net of cash acquired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(25,248)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(30,094)</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Paycheck Protection Program loan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term loan facility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16,503</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(18,845)</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40" w:right="339" w:bottom="0" w:gutter="0" w:footer="0" w:header="0"/>
        </w:sectPr>
      </w:pPr>
    </w:p>
    <w:bookmarkStart w:id="4" w:name="page5"/>
    <w:bookmarkEnd w:id="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212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of Par</w:t>
            </w:r>
          </w:p>
        </w:tc>
        <w:tc>
          <w:tcPr>
            <w:tcW w:w="142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92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16"/>
                <w:szCs w:val="16"/>
                <w:color w:val="auto"/>
              </w:rPr>
            </w:pPr>
          </w:p>
        </w:tc>
        <w:tc>
          <w:tcPr>
            <w:tcW w:w="10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20,053,335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182,630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104,463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1"/>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 September 29,</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20,253,889</w:t>
            </w:r>
          </w:p>
        </w:tc>
        <w:tc>
          <w:tcPr>
            <w:tcW w:w="22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183,995</w:t>
            </w:r>
          </w:p>
        </w:tc>
        <w:tc>
          <w:tcPr>
            <w:tcW w:w="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(3,471)</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(54,456)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(21,231)</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106,851</w:t>
            </w:r>
          </w:p>
        </w:tc>
        <w:tc>
          <w:tcPr>
            <w:tcW w:w="0" w:type="dxa"/>
            <w:vAlign w:val="bottom"/>
          </w:tcPr>
          <w:p>
            <w:pPr>
              <w:spacing w:after="0"/>
              <w:rPr>
                <w:sz w:val="1"/>
                <w:szCs w:val="1"/>
                <w:color w:val="auto"/>
              </w:rPr>
            </w:pPr>
          </w:p>
        </w:tc>
      </w:tr>
      <w:tr>
        <w:trPr>
          <w:trHeight w:val="238"/>
        </w:trPr>
        <w:tc>
          <w:tcPr>
            <w:tcW w:w="2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20,268,050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184,292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(21,231)</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109,750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stock options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restricted stock</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1"/>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20,331,348</w:t>
            </w:r>
          </w:p>
        </w:tc>
        <w:tc>
          <w:tcPr>
            <w:tcW w:w="22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185,261</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(49,706)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(21,246)</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113,837</w:t>
            </w:r>
          </w:p>
        </w:tc>
        <w:tc>
          <w:tcPr>
            <w:tcW w:w="0" w:type="dxa"/>
            <w:vAlign w:val="bottom"/>
          </w:tcPr>
          <w:p>
            <w:pPr>
              <w:spacing w:after="0"/>
              <w:rPr>
                <w:sz w:val="1"/>
                <w:szCs w:val="1"/>
                <w:color w:val="auto"/>
              </w:rPr>
            </w:pPr>
          </w:p>
        </w:tc>
      </w:tr>
      <w:tr>
        <w:trPr>
          <w:trHeight w:val="198"/>
        </w:trPr>
        <w:tc>
          <w:tcPr>
            <w:tcW w:w="2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20,163,756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183,457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(55,354)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106,051</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1"/>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 September 29,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20,253,889</w:t>
            </w:r>
          </w:p>
        </w:tc>
        <w:tc>
          <w:tcPr>
            <w:tcW w:w="22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183,995</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(3,471)</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(54,456)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(21,231)</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106,851</w:t>
            </w:r>
          </w:p>
        </w:tc>
        <w:tc>
          <w:tcPr>
            <w:tcW w:w="0" w:type="dxa"/>
            <w:vAlign w:val="bottom"/>
          </w:tcPr>
          <w:p>
            <w:pPr>
              <w:spacing w:after="0"/>
              <w:rPr>
                <w:sz w:val="1"/>
                <w:szCs w:val="1"/>
                <w:color w:val="auto"/>
              </w:rPr>
            </w:pPr>
          </w:p>
        </w:tc>
      </w:tr>
      <w:tr>
        <w:trPr>
          <w:trHeight w:val="198"/>
        </w:trPr>
        <w:tc>
          <w:tcPr>
            <w:tcW w:w="2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20,297,182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184,900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(3,296)</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(50,113)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(21,246)</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112,334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1"/>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20,331,348</w:t>
            </w:r>
          </w:p>
        </w:tc>
        <w:tc>
          <w:tcPr>
            <w:tcW w:w="22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185,261</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(49,706)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(21,246)</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113,837</w:t>
            </w:r>
          </w:p>
        </w:tc>
        <w:tc>
          <w:tcPr>
            <w:tcW w:w="0" w:type="dxa"/>
            <w:vAlign w:val="bottom"/>
          </w:tcPr>
          <w:p>
            <w:pPr>
              <w:spacing w:after="0"/>
              <w:rPr>
                <w:sz w:val="1"/>
                <w:szCs w:val="1"/>
                <w:color w:val="auto"/>
              </w:rPr>
            </w:pPr>
          </w:p>
        </w:tc>
      </w:tr>
      <w:tr>
        <w:trPr>
          <w:trHeight w:val="198"/>
        </w:trPr>
        <w:tc>
          <w:tcPr>
            <w:tcW w:w="2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w:t>
      </w:r>
    </w:p>
    <w:p>
      <w:pPr>
        <w:sectPr>
          <w:pgSz w:w="11900" w:h="16886" w:orient="portrait"/>
          <w:cols w:equalWidth="0" w:num="1">
            <w:col w:w="11240"/>
          </w:cols>
          <w:pgMar w:left="320" w:top="117" w:right="339" w:bottom="0" w:gutter="0" w:footer="0" w:header="0"/>
        </w:sectPr>
      </w:pPr>
    </w:p>
    <w:bookmarkStart w:id="5" w:name="page6"/>
    <w:bookmarkEnd w:id="5"/>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subsequent interim periods or a full year. Reference should be made to the Consolidated Financial Statements and related notes thereto contained in our Form 10-K for the year ended December 31, 2019.</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2019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the Company’s interim fiscal periods are reported on a calendar month-basis to better align with fiscal period changes of our customer base. Prior to 2020, the Company’s monthly closing schedule was a 4/4/5 week-based cycle for each fiscal quarter. We do not believe this change materially impacts quarterly comparisons.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the Company adopted Accounting Standards Update (“ASU”) 2017-04, “Intangibles – Goodwill and Other (Topic 350) – Simplifying the Test for Goodwill Impairment”. The new standard eliminates the two-step process that required the identification of potential impairment and a separate measure of the actual impairment. Adoption of the new standard will not materially impact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&amp; gas exploration and production, and subsea electrification markets, which were previously unserved by Ultralife. Another key benefit of the acquisition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SWE was completed pursuant to a Stock Purchase Agreement dated May 1, 2019 (the “Stock Purchase Agreement”) by and among Ultralife, SWE, Southwest Electronic Energy Medical Research Institute, a Texas non-profit (the “Seller”), and Claude Leonard Benckenstein, an individual (the “Shareholder”). The Stock Purchase Agreement contains customary terms and conditions including representations, warranties and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for the acquisition was funded by the Company through a combination of cash on hand and borrowings under the Credit Facilities (see Note 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allocation of the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bl>
    <w:p>
      <w:pPr>
        <w:sectPr>
          <w:pgSz w:w="11900" w:h="16900" w:orient="portrait"/>
          <w:cols w:equalWidth="0" w:num="1">
            <w:col w:w="11240"/>
          </w:cols>
          <w:pgMar w:left="320" w:top="121" w:right="339" w:bottom="0" w:gutter="0" w:footer="0" w:header="0"/>
        </w:sectPr>
      </w:pPr>
    </w:p>
    <w:bookmarkStart w:id="6" w:name="page7"/>
    <w:bookmarkEnd w:id="6"/>
    <w:p>
      <w:pPr>
        <w:ind w:left="11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7"/>
          <w:szCs w:val="17"/>
          <w:color w:val="auto"/>
        </w:rPr>
        <w:t>Deferred tax liability, net</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jc w:val="right"/>
        <w:ind w:right="1160"/>
        <w:spacing w:after="0"/>
        <w:rPr>
          <w:sz w:val="20"/>
          <w:szCs w:val="20"/>
          <w:color w:val="auto"/>
        </w:rPr>
      </w:pPr>
      <w:r>
        <w:rPr>
          <w:rFonts w:ascii="Times New Roman" w:cs="Times New Roman" w:eastAsia="Times New Roman" w:hAnsi="Times New Roman"/>
          <w:sz w:val="18"/>
          <w:szCs w:val="18"/>
          <w:color w:val="auto"/>
        </w:rPr>
        <w:t>(1,060)</w:t>
      </w:r>
    </w:p>
    <w:p>
      <w:pPr>
        <w:spacing w:after="0" w:line="27"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(778)</w:t>
      </w:r>
    </w:p>
    <w:p>
      <w:pPr>
        <w:spacing w:after="0" w:line="9"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(1,011)</w:t>
      </w:r>
    </w:p>
    <w:p>
      <w:pPr>
        <w:spacing w:after="0" w:line="9" w:lineRule="exact"/>
        <w:rPr>
          <w:sz w:val="20"/>
          <w:szCs w:val="20"/>
          <w:color w:val="auto"/>
        </w:rPr>
      </w:pPr>
    </w:p>
    <w:p>
      <w:pPr>
        <w:ind w:left="1040" w:hanging="1038"/>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780" w:space="720"/>
            <w:col w:w="2740"/>
          </w:cols>
          <w:pgMar w:left="320" w:top="121" w:right="339" w:bottom="0" w:gutter="0" w:footer="0" w:header="0"/>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SWE contributed revenue of $13,382 and net income of $858, inclusive of interest expense of $273 directly related to the financing of the SWE acquisition and amortization expense of $182 on identifiable intangible assets acquired from SWE.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29, 2019, from the May 1, 2019 acquisition date, SWE contributed revenue of $11,993 and net income of $740, inclusive of a $264 increase in cost of products sold for the fair value step-up of acquired inventory sold during the period, non-recurring expenses of $165 directly related to the acquisition, interest expense of $289 directly related to the financing of the SWE acquisition, amortization expense of $101 on acquired identifiable intangible assets, a $55 reduction of depreciation expense as a result of fair value adjustments and useful life changes, and stock-based compensation charges of $49 for stock options and restricted stock awarded to certain SWE employees.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 forth below are the unaudited supplemental pro forma results of the Company and SWE for the nine-month periods ended September 30, 2020 and September 29, 2019 as if the acquisition had occurred as of January 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5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September 29,</w:t>
            </w:r>
          </w:p>
        </w:tc>
      </w:tr>
      <w:tr>
        <w:trPr>
          <w:trHeight w:val="234"/>
        </w:trPr>
        <w:tc>
          <w:tcPr>
            <w:tcW w:w="5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78,736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84,567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5,536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Ultralife Corporation: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5" w:lineRule="exact"/>
        <w:rPr>
          <w:rFonts w:ascii="Times New Roman" w:cs="Times New Roman" w:eastAsia="Times New Roman" w:hAnsi="Times New Roman"/>
          <w:sz w:val="18"/>
          <w:szCs w:val="18"/>
          <w:b w:val="1"/>
          <w:bCs w:val="1"/>
          <w:i w:val="1"/>
          <w:iCs w:val="1"/>
          <w:color w:val="auto"/>
        </w:rPr>
      </w:pPr>
    </w:p>
    <w:p>
      <w:pPr>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Upon closing of the SWE acquisition on May 1, 2019, the Company drew down the full amount of the Term Loan Facility and $6,782 under the Revolving Credit Facility. As of September 30, 2020, the Company had $3,855 outstanding principal on the Term Loan Facility, of which $1,537 is included in current portion of long-term debt on the balance sheet, and no amounts outstanding on the Revolving Credit Facility. As of September 30, 2020, total unamortized debt issuance costs of $128 associated with the Amended Credit Agreement are classified as a reduction of long-term debt on the balance sheet.</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w:t>
      </w:r>
    </w:p>
    <w:p>
      <w:pPr>
        <w:sectPr>
          <w:pgSz w:w="11900" w:h="16838" w:orient="portrait"/>
          <w:cols w:equalWidth="0" w:num="1">
            <w:col w:w="11240"/>
          </w:cols>
          <w:pgMar w:left="320" w:top="121" w:right="3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Company was in full compliance with its covenants as of September 30, 2020.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September 30, 2020, 831,244 stock options and 19,165 restricted stock awards were included in the calculation of diluted EPS as such securities are dilutive. Inclusion of these securities resulted in 181,270 additional shares in the calculation of fully diluted earnings per share. For the comparable three-month period ended September 29, 2019, 914,535 stock options and 31,666 restricted stock awards were included in the calculation of diluted EPS resulting in 377,200 additional shares in the calculation of fully diluted earnings per share. For the nine-month periods ended September 30, 2020 and September 29, 2019, 831,244 and 914,535 stock options and 19,165 and 31,666 restricted stock awards, respectively, were included in the calculation of diluted EPS as such securities are dilutive. Inclusion of these securities resulted in 213,574 and 382,711 additional shares, respectively, in the calculation of fully diluted earnings per share.</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898,167 and 703,250 outstanding stock options for the three-month periods ended September 30, 2020 and September 29, 2019, respectively, which were not included in EPS as the effect would be anti-dilutive. There were 898,167 and 703,250 outstanding stock options for the nine-month periods ended September 30, 2020 and September 29, 2019,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600" w:firstLine="8"/>
        <w:spacing w:after="0" w:line="503" w:lineRule="auto"/>
        <w:tabs>
          <w:tab w:leader="none" w:pos="3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September 30, 2020 and December 31, 2019. The fair value of cash, trade accounts receivable, trade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7,135</w:t>
            </w: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7,405</w:t>
            </w:r>
          </w:p>
        </w:tc>
      </w:tr>
      <w:tr>
        <w:trPr>
          <w:trHeight w:val="20"/>
        </w:trPr>
        <w:tc>
          <w:tcPr>
            <w:tcW w:w="34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and December 31, 2019, restricted cash included $87 and $82, respectively, of euro-denominated deposits withheld by the Dutch tax authorities and third-party VAT representatives in connection with a previously utilized logistics arrangement in the Netherlands. As of December 31, 2019, restricted cash included $188 for a government grant awarded in the People’s Republic of China to fund specified technological research and development initiatives. The grant proceeds are realized as a direct offset to qualifying expenditures as incurred. For the nine-month period ended September 30, 2020, grant proceeds of $188 were used to fund qualifying capital expenditures and material and labor costs incurred. Restricted cash is included as a component of the cash balance for purposes of the consolidated statements of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net of obsolescence reserves, with cost determined under the first-in, first-out (FIFO) method. The composition of inventories, net was:</w:t>
      </w:r>
    </w:p>
    <w:p>
      <w:pPr>
        <w:spacing w:after="0" w:line="158" w:lineRule="exact"/>
        <w:rPr>
          <w:sz w:val="20"/>
          <w:szCs w:val="20"/>
          <w:color w:val="auto"/>
        </w:rPr>
      </w:pPr>
    </w:p>
    <w:p>
      <w:pPr>
        <w:ind w:left="7900"/>
        <w:spacing w:after="0"/>
        <w:tabs>
          <w:tab w:leader="none" w:pos="9620" w:val="left"/>
        </w:tabs>
        <w:rPr>
          <w:sz w:val="20"/>
          <w:szCs w:val="20"/>
          <w:color w:val="auto"/>
        </w:rPr>
      </w:pPr>
      <w:r>
        <w:rPr>
          <w:rFonts w:ascii="Times New Roman" w:cs="Times New Roman" w:eastAsia="Times New Roman" w:hAnsi="Times New Roman"/>
          <w:sz w:val="18"/>
          <w:szCs w:val="18"/>
          <w:b w:val="1"/>
          <w:bCs w:val="1"/>
          <w:color w:val="auto"/>
        </w:rPr>
        <w:t>September 30,</w:t>
      </w:r>
      <w:r>
        <w:rPr>
          <w:sz w:val="20"/>
          <w:szCs w:val="20"/>
          <w:color w:val="auto"/>
        </w:rPr>
        <w:tab/>
      </w:r>
      <w:r>
        <w:rPr>
          <w:rFonts w:ascii="Times New Roman" w:cs="Times New Roman" w:eastAsia="Times New Roman" w:hAnsi="Times New Roman"/>
          <w:sz w:val="17"/>
          <w:szCs w:val="17"/>
          <w:b w:val="1"/>
          <w:bCs w:val="1"/>
          <w:color w:val="auto"/>
        </w:rPr>
        <w:t>December 31,</w:t>
      </w:r>
    </w:p>
    <w:p>
      <w:pPr>
        <w:sectPr>
          <w:pgSz w:w="11900" w:h="16838" w:orient="portrait"/>
          <w:cols w:equalWidth="0" w:num="1">
            <w:col w:w="11240"/>
          </w:cols>
          <w:pgMar w:left="320" w:top="121"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17,600</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29,746</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82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1,273</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15,365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(64,555)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(62,828)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22,605</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60" w:type="dxa"/>
            <w:vAlign w:val="bottom"/>
          </w:tcPr>
          <w:p>
            <w:pPr>
              <w:spacing w:after="0"/>
              <w:rPr>
                <w:sz w:val="24"/>
                <w:szCs w:val="24"/>
                <w:color w:val="auto"/>
              </w:rPr>
            </w:pPr>
          </w:p>
        </w:tc>
        <w:tc>
          <w:tcPr>
            <w:tcW w:w="2540" w:type="dxa"/>
            <w:vAlign w:val="bottom"/>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top w:val="single" w:sz="8" w:color="auto"/>
            </w:tcBorders>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1,743</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nine-month period ended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2019</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4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gridSpan w:val="2"/>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-3505200</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2019 to September 30, 2020 is a result of the effect of foreign currency translations.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p>
      <w:pPr>
        <w:sectPr>
          <w:pgSz w:w="11900" w:h="16838" w:orient="portrait"/>
          <w:cols w:equalWidth="0" w:num="1">
            <w:col w:w="11240"/>
          </w:cols>
          <w:pgMar w:left="320" w:top="117"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   STOCK-BASED COMPENSATION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September 30, 2020, there was $720 of total unrecognized compensation cost related to outstanding stock options, which is expected to be recognized over a weighted average period of 1.4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nine-month period ended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1,541,792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256,000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(17,584)</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1,729,411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3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Vested and expected to vest at September</w:t>
            </w: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1,626,494</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60" w:type="dxa"/>
            <w:vAlign w:val="bottom"/>
            <w:gridSpan w:val="2"/>
          </w:tcPr>
          <w:p>
            <w:pPr>
              <w:jc w:val="right"/>
              <w:ind w:right="2450"/>
              <w:spacing w:after="0" w:line="194" w:lineRule="exact"/>
              <w:rPr>
                <w:sz w:val="20"/>
                <w:szCs w:val="20"/>
                <w:color w:val="auto"/>
              </w:rPr>
            </w:pPr>
            <w:r>
              <w:rPr>
                <w:rFonts w:ascii="Times New Roman" w:cs="Times New Roman" w:eastAsia="Times New Roman" w:hAnsi="Times New Roman"/>
                <w:sz w:val="18"/>
                <w:szCs w:val="18"/>
                <w:color w:val="auto"/>
              </w:rPr>
              <w:t>30, 2020</w:t>
            </w:r>
          </w:p>
        </w:tc>
        <w:tc>
          <w:tcPr>
            <w:tcW w:w="1460" w:type="dxa"/>
            <w:vAlign w:val="bottom"/>
            <w:gridSpan w:val="2"/>
            <w:vMerge w:val="continue"/>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6.84</w:t>
            </w:r>
          </w:p>
        </w:tc>
        <w:tc>
          <w:tcPr>
            <w:tcW w:w="140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September 30, 2020</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1,244,119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1400" w:type="dxa"/>
            <w:vAlign w:val="bottom"/>
            <w:tcBorders>
              <w:bottom w:val="single" w:sz="8" w:color="CCEEFF"/>
            </w:tcBorders>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13"/>
        </w:trPr>
        <w:tc>
          <w:tcPr>
            <w:tcW w:w="876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 following assumptions were used to value stock options granted during the nine months ended September 30, 2020: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2020 was $2.78.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September 30, 2020 and September 29, 2019 was $142 and $388, respectively. Cash received from stock option exercises under our stock-based compensation plans for the nine-month periods ended September 30, 2020 and September 29, 2019 was $218 and $866,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$63 at September 30, 2020, which is expected to be recognized over a weighted average period of 1.5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nine-month periods ended September 30, 2020 and September 29, 2019 was 23.9% and 20.5% respectively. The period-over-period change was primarily attributable to the geographic mix of earnings and lower discrete tax benefits realized on disqualifying dispositions of incentive stock options exercised by employees as compared to the prior period.</w:t>
      </w:r>
    </w:p>
    <w:p>
      <w:pPr>
        <w:sectPr>
          <w:pgSz w:w="11900" w:h="16838" w:orient="portrait"/>
          <w:cols w:equalWidth="0" w:num="1">
            <w:col w:w="11240"/>
          </w:cols>
          <w:pgMar w:left="320" w:top="117" w:right="339" w:bottom="74"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2019, we have domestic net operating loss (“NOL”) carryforwards of $58,400, which expire 2020 thru 2035, and domestic tax credits of $1,907, which expire 2028 thru 2039, available to reduce future taxable income. As of September 30, 2020,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we have not recognized a valuation allowance against our other foreign deferred tax assets, as realization is considered to be more likely than not.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September 30, 2020 and December 31, 2019.</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 remain subject to IRS examination. Our U.S. tax matters for 2001, 2002, 2005-2007 and 2011-2015 also remain subject to IRS examination due to the remaining availability of net operating loss carryforwards generated in those years. Our U.S. tax matters for 2001, 2002, 2005-2007 and 2011-2019 remain subject to examination by various state and local tax jurisdictions. Our tax matters for the years 2010 through 2019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September 30, 2020, the remaining lease terms on our operating leases range from approximately 1 to 4 years. Renewal options and termination options are not reasonably certain of exercise by the Company.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3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2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220" w:type="dxa"/>
            <w:vAlign w:val="bottom"/>
          </w:tcPr>
          <w:p>
            <w:pPr>
              <w:spacing w:after="0"/>
              <w:rPr>
                <w:sz w:val="16"/>
                <w:szCs w:val="16"/>
                <w:color w:val="auto"/>
              </w:rPr>
            </w:pPr>
          </w:p>
        </w:tc>
        <w:tc>
          <w:tcPr>
            <w:tcW w:w="1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1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80" w:type="dxa"/>
            <w:vAlign w:val="bottom"/>
            <w:gridSpan w:val="2"/>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8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9"/>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60" w:type="dxa"/>
            <w:vAlign w:val="bottom"/>
            <w:tcBorders>
              <w:bottom w:val="single" w:sz="8" w:color="auto"/>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lease payments as of September 30, 2020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r>
      <w:tr>
        <w:trPr>
          <w:trHeight w:val="210"/>
        </w:trPr>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into an agreement to extend the operating lease term of its Virginia Beach facility through April 2024. Aggregate future minimum lease payments of $959 are required to be made over the three-year extension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line="12"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have made commitments to purchase approximately $783 of production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Product Warranties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nine months of 2020 and 2019 were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Assumed warranty obligations – SWE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Contingencies and Legal Matters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that are reasonably possible at this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recognized from prior period performance obligations for the nine-month periods ended September 30, 2020 and September 29, 2019 were not material. Deferred revenue, unbilled revenue and deferred contract costs recorded on our consolidated balance sheets as of September 30, 2020 and December 31, 2019 were not material. As of September 30, 2020 and December 31, 2019, the Company had no unsatisfied performance obligations for contracts with an original expected duration of greater than one year. Pursuant to ASC Topic 606, we have applied the practical expedient with respect to disclosure of the deferral and future expected timing of revenue recognition for transaction price allocated to remaining performance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segment performance were as follows: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51" w:orient="portrait"/>
          <w:cols w:equalWidth="0" w:num="1">
            <w:col w:w="11240"/>
          </w:cols>
          <w:pgMar w:left="320" w:top="846" w:right="339" w:bottom="0" w:gutter="0" w:footer="0" w:header="0"/>
        </w:sectPr>
      </w:pPr>
    </w:p>
    <w:bookmarkStart w:id="13" w:name="page14"/>
    <w:bookmarkEnd w:id="13"/>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29, 2019:</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2020:</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4"/>
        </w:trPr>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500" w:type="dxa"/>
            <w:vAlign w:val="bottom"/>
            <w:tcBorders>
              <w:bottom w:val="single" w:sz="8" w:color="9A9A9A"/>
            </w:tcBorders>
            <w:gridSpan w:val="2"/>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r>
        <w:trPr>
          <w:trHeight w:val="8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29, 2019:</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75,772</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4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-1913890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-1922780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and Government/Defense Revenue Information:</w:t>
      </w:r>
    </w:p>
    <w:p>
      <w:pPr>
        <w:sectPr>
          <w:pgSz w:w="11900" w:h="16878" w:orient="portrait"/>
          <w:cols w:equalWidth="0" w:num="1">
            <w:col w:w="11240"/>
          </w:cols>
          <w:pgMar w:left="320" w:top="121" w:right="33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30, 2020:</w:t>
      </w: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29, 2019:</w:t>
      </w: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Defense</w:t>
            </w:r>
          </w:p>
        </w:tc>
      </w:tr>
      <w:tr>
        <w:trPr>
          <w:trHeight w:val="191"/>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21,819</w:t>
            </w: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15,772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6,047</w:t>
            </w:r>
          </w:p>
        </w:tc>
        <w:tc>
          <w:tcPr>
            <w:tcW w:w="1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r>
      <w:tr>
        <w:trPr>
          <w:trHeight w:val="60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Defense</w:t>
            </w:r>
          </w:p>
        </w:tc>
      </w:tr>
      <w:tr>
        <w:trPr>
          <w:trHeight w:val="191"/>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22,578</w:t>
            </w: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17,677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4,901</w:t>
            </w:r>
          </w:p>
        </w:tc>
        <w:tc>
          <w:tcPr>
            <w:tcW w:w="1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-1735455</wp:posOffset>
            </wp:positionV>
            <wp:extent cx="67722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-1452245</wp:posOffset>
            </wp:positionV>
            <wp:extent cx="677227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-594995</wp:posOffset>
            </wp:positionV>
            <wp:extent cx="67722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-312420</wp:posOffset>
            </wp:positionV>
            <wp:extent cx="677227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73" w:lineRule="exact"/>
        <w:rPr>
          <w:sz w:val="20"/>
          <w:szCs w:val="20"/>
          <w:color w:val="auto"/>
        </w:rPr>
      </w:pPr>
    </w:p>
    <w:p>
      <w:pPr>
        <w:sectPr>
          <w:pgSz w:w="11900" w:h="16878" w:orient="portrait"/>
          <w:cols w:equalWidth="0" w:num="2">
            <w:col w:w="5020" w:space="720"/>
            <w:col w:w="550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2020:</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46,746</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46,746</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59%</w:t>
            </w: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0" w:type="dxa"/>
            <w:vAlign w:val="bottom"/>
          </w:tcPr>
          <w:p>
            <w:pPr>
              <w:spacing w:after="0"/>
              <w:rPr>
                <w:sz w:val="1"/>
                <w:szCs w:val="1"/>
                <w:color w:val="auto"/>
              </w:rPr>
            </w:pPr>
          </w:p>
        </w:tc>
      </w:tr>
      <w:tr>
        <w:trPr>
          <w:trHeight w:val="41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29, 2019:</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8" w:orient="portrait"/>
          <w:cols w:equalWidth="0" w:num="1">
            <w:col w:w="11240"/>
          </w:cols>
          <w:pgMar w:left="320" w:top="121" w:right="339" w:bottom="0" w:gutter="0" w:footer="0" w:header="0"/>
          <w:type w:val="continuous"/>
        </w:sectPr>
      </w:pPr>
    </w:p>
    <w:bookmarkStart w:id="14" w:name="page15"/>
    <w:bookmarkEnd w:id="14"/>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Communications Systems</w:t>
            </w:r>
          </w:p>
        </w:tc>
        <w:tc>
          <w:tcPr>
            <w:tcW w:w="19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9"/>
        </w:trPr>
        <w:tc>
          <w:tcPr>
            <w:tcW w:w="10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16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56%</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480" w:type="dxa"/>
            <w:vAlign w:val="bottom"/>
          </w:tcPr>
          <w:p>
            <w:pPr>
              <w:spacing w:after="0"/>
              <w:rPr>
                <w:sz w:val="18"/>
                <w:szCs w:val="18"/>
                <w:color w:val="auto"/>
              </w:rPr>
            </w:pPr>
          </w:p>
        </w:tc>
      </w:tr>
      <w:tr>
        <w:trPr>
          <w:trHeight w:val="412"/>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47"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and Non-U.S. Revenue Information</w:t>
      </w:r>
      <w:r>
        <w:rPr>
          <w:rFonts w:ascii="Times New Roman" w:cs="Times New Roman" w:eastAsia="Times New Roman" w:hAnsi="Times New Roman"/>
          <w:sz w:val="11"/>
          <w:szCs w:val="11"/>
          <w:u w:val="single" w:color="auto"/>
          <w:color w:val="auto"/>
        </w:rPr>
        <w:t>1</w:t>
      </w:r>
      <w:r>
        <w:rPr>
          <w:rFonts w:ascii="Times New Roman" w:cs="Times New Roman" w:eastAsia="Times New Roman" w:hAnsi="Times New Roman"/>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30, 2020: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September 29, 2019:</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29,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21,819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10,820</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10,999</w:t>
            </w:r>
          </w:p>
        </w:tc>
        <w:tc>
          <w:tcPr>
            <w:tcW w:w="14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2,263</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54%</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r>
      <w:tr>
        <w:trPr>
          <w:trHeight w:val="609"/>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22,578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11,459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11,119</w:t>
            </w:r>
          </w:p>
        </w:tc>
        <w:tc>
          <w:tcPr>
            <w:tcW w:w="14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4,397</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r>
      <w:tr>
        <w:trPr>
          <w:trHeight w:val="209"/>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58%</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r>
      <w:tr>
        <w:trPr>
          <w:trHeight w:val="609"/>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66,616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36,299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30,317</w:t>
            </w:r>
          </w:p>
        </w:tc>
        <w:tc>
          <w:tcPr>
            <w:tcW w:w="14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10,840</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1,280</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78,736</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60%</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r>
      <w:tr>
        <w:trPr>
          <w:trHeight w:val="609"/>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States</w:t>
            </w:r>
          </w:p>
        </w:tc>
      </w:tr>
      <w:tr>
        <w:trPr>
          <w:trHeight w:val="191"/>
        </w:trPr>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58,876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29,869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29,007</w:t>
            </w:r>
          </w:p>
        </w:tc>
        <w:tc>
          <w:tcPr>
            <w:tcW w:w="14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16,896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15,748</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75,772</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60%</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-4015740</wp:posOffset>
            </wp:positionV>
            <wp:extent cx="67722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-3732530</wp:posOffset>
            </wp:positionV>
            <wp:extent cx="677227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-2875280</wp:posOffset>
            </wp:positionV>
            <wp:extent cx="67722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-2592705</wp:posOffset>
            </wp:positionV>
            <wp:extent cx="677227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-1735455</wp:posOffset>
            </wp:positionV>
            <wp:extent cx="67722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-1452245</wp:posOffset>
            </wp:positionV>
            <wp:extent cx="677227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-594995</wp:posOffset>
            </wp:positionV>
            <wp:extent cx="677227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-312420</wp:posOffset>
            </wp:positionV>
            <wp:extent cx="677227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77" w:lineRule="exact"/>
        <w:rPr>
          <w:sz w:val="20"/>
          <w:szCs w:val="20"/>
          <w:color w:val="auto"/>
        </w:rPr>
      </w:pPr>
    </w:p>
    <w:p>
      <w:pPr>
        <w:sectPr>
          <w:pgSz w:w="11900" w:h="16847" w:orient="portrait"/>
          <w:cols w:equalWidth="0" w:num="2">
            <w:col w:w="4940" w:space="720"/>
            <w:col w:w="558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Sales classified to U.S. include shipments to U.S.-based prime contractors which in some cases may serve non-U.S. projects.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or other infectious disease pandemics which may arise in the future; our reliance on certain key customers; possible future declines in demand for the products that use our batteries or communications systems; the unique risks associated with our China operations including changes in U.S. tariffs and trade disputes with China;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by our oil &amp; gas customers;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w:t>
      </w:r>
    </w:p>
    <w:p>
      <w:pPr>
        <w:sectPr>
          <w:pgSz w:w="11900" w:h="16847" w:orient="portrait"/>
          <w:cols w:equalWidth="0" w:num="1">
            <w:col w:w="11240"/>
          </w:cols>
          <w:pgMar w:left="320" w:top="121" w:right="339" w:bottom="0" w:gutter="0" w:footer="0" w:header="0"/>
          <w:type w:val="continuous"/>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identify forward-looking statements. For further discussion of certain of the matters described above and other risks and uncertainties, see Item 1A, “Risk Factors” in our Annual Report on Form 10-K for the year ended December 31, 2019, and Item 1A, “Risk Factors” in Part II of this Form 10-Q.</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Comparisons of results for current and any prior periods are not intended to express any future trends or indications of future performance, unless expressed as such, and should only be viewed as historical data. Given these risks and uncertainties, you are cautioned not to place undue reliance on these forward-looking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2019 to reflect new information or risks, future events or other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Notes thereto in Part I, Item 1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the Risk Factors in Part II, Item 1A of this Form 10-Q, and the Consolidated Financial Statements and Notes thereto and Risk Factors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2019.</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Batteries, Lithium Power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McDowell Research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 ACCUPRO™, ENTELLION™, SWE Southwest Electronic Energy Group™, SWE DRILL-DATA™, and SWE SEASAFE™ brands. We have sales, operations and product development facilities in North America, Europe and Asia.</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 in Item 1 of Part I of this Form 10-Q.</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COVID-19</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in addition to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For the 2020 year-to-date period, we have maintained normal operations at all our facilities with the exception of an approximately one-month closure of our China facility as was mandated by the Chinese government through early March 2020.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quarter ended March 31, 2020, our operating results were adversely affected by COVID-19, particularly as a result of the temporary shutdown of our China operation and supply chain disruptions. We estimated the effects of COVID-19 adversely impacted net income by approximately $500 for our first quarter. For the quarter ended June 30, 2020, we estimated that the net impact of COVID-19 to net income was immaterial. Demand for our medical batteries, especially those used in ventilators, respirators and infusion pumps, substantially increased during the second quarter; however, this increase was offset by delays in medical battery orders for devices used for elective surgeries and the overall disruptions in supply chains impacting both commercial and government/defense markets. For the quarter ended September 30, 2020, we estimate that the net impact of COVID-19 to net income was a loss of approximately $1,000. Demand for medical batteries, especially those used in ventilators, respirators and infusion pumps, substantially increased during the third quarter; however, this increase was more than offset by the revenue declines in oil &amp; gas and international industrial markets. Logistics disruptions also delayed certain shipments.</w:t>
      </w:r>
    </w:p>
    <w:p>
      <w:pPr>
        <w:sectPr>
          <w:pgSz w:w="11900" w:h="16838" w:orient="portrait"/>
          <w:cols w:equalWidth="0" w:num="1">
            <w:col w:w="11240"/>
          </w:cols>
          <w:pgMar w:left="320" w:top="121" w:right="339" w:bottom="0" w:gutter="0" w:footer="0" w:header="0"/>
        </w:sectPr>
      </w:pPr>
    </w:p>
    <w:bookmarkStart w:id="16" w:name="page17"/>
    <w:bookmarkEnd w:id="1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Part II of this Form 10-Q for risks and uncertainties related to COVID-19.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revenues of $24,362 for the three-month period ended September 30, 2020, decreased by $3,131 or 11.4%, from $27,493 for the three-month period ended September 29, 2019, as a significant increase in battery sales to our medical and government/defense customers was offset by lower oil &amp; gas market and Communications Systems sales. We have estimated that COVID-19 adversely impacted our third quarter 2020 sales by approximately $2,900.</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Gross profit was $6,511, or 26.7% of revenue, compared to $7,861, or 28.6% of revenue, for the same quarter a year ago. The 190-basis point decrease primarily resulted from costs associated with the transition of new products to higher volume production as well as the mix of products sold in our Communications Systems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to $5,804 during the three-month period ended September 30, 2020, from $6,555 during the three-month period ended September 29, 2019. The decrease of $751 or 11.5% was consistent with the overall percentage reduction in revenues, and included certain headcount reductions, lower travel expenses and strict control over all discretionary spending. Operating expenses as a percentage of revenues was 23.8% for both the 2020 and 2019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the three-month period ended September 30, 2020 was $707 or 2.9% of revenues compared to $1,306 or 4.8% of revenues for the year-earlier period. The 45.9% decrease in operating income primarily resulted from revenue declines in oil &amp; gas and international industrial markets and the overall disruptions in customer/third party logistics impacting both commercial and government/defense markets resulting from COVID-19.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attributable to Ultralife was $407, or $0.03 per share – basic and diluted, for the three-month period ended September 30, 2020, compared to $1,124, or $0.06 per share – basic and diluted, for the three-month period ended September 29, 2019. Adjusted EPS was $0.04 on a diluted basis for the third quarter of 2020, representing a 43.8% decrease from Adjusted EPS on a diluted basis of $0.07 for the 2019 period. Adjusted EPS excludes the provision for deferred taxes of $188 and $165 for the 2020 and 2019 periods, respectively, which primarily represents non-cash charges for U.S. taxes which will be fully offset by net operating loss carryforwards and other tax credits for the foreseeable future. See the section “Adjusted EPS” beginning on Page 27 for a reconciliation of EPS to Adjusted EPS. The net adverse impact of COVID-19 on Adjusted EPS for the 2020 third quarter was approximately $0.06.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before net interest expense, provision for income taxes, depreciation and amortization, and stock-based compensation expense, plus/minus expenses/income that we do not consider reflective of our ongoing operations, amounted to $1,656 or 6.8% of revenues in the third quarter of 2020 compared to $2,307 or 8.4% of revenues for the third quarter of 2019. See the section “Adjusted EBITDA” beginning on Page 26 for a reconciliation of Adjusted EBITDA to net income attributable to Ultralife.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Supported by a solid balance sheet and resilient business model, we are committed to completing our strategic growth projects and are well positioned to withstand current economic headwinds.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September 30, 2020 and September 29, 2019</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September 30, 2020 amounted to $24,362, a decrease of $3,131 or 11.4%,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$27,493 for the three-month period ended September 29, 2019. Overall, commercial sales decreased 10.8% while government/defense sales decreased 12.5% from the 2019 period. For the quarter ended September 30, 2020, we estimate that the net adverse impact of COVID-19 on revenues was approximately $2,900. Demand for medical batteries, especially those used in ventilators, respirators and infusion pumps, substantially increased during the third quarter; however, this increase was more than offset by the revenue declines in oil &amp; gas and international industrial markets, and the overall disruptions in customer and third-party logistics which delayed certain shipments.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Battery &amp; Energy Products revenues decreased $759, or 3.4%, from $22,578 for the three-month period ended September 29, 2019 to $21,819 for the three-month period ended September 30, 2020. Excluding oil &amp; gas sales, revenues increased 27.5% over the prior year reflecting a 102.1% increase in medical sales resulting from an increase in demand for our batteries used in ventilators, respirators, infusion pumps and other medical devices associated with COVID-19, and a 23.4% increase in government/defense sales due primarily to higher demand from a large global defense contractor and the shipment of our legacy 5390 batteries under a firm fixed price delivery order received in December 2019. This increase was more than offset by a 68.7% decrease in oil &amp; gas market battery sales representative of current market conditions for that sector.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Systems revenues decreased $2,372, or 48.3%, from $4,915 during the three-month period ended September 29, 2019 to $2,543 for the three-month period ended September 30, 2020. This decrease is primarily attributable to higher 2019 shipments of mounted power amplifiers to support the U.S. Army’s Network Modernization and other initiatives under the delivery orders announced in October 2018. The October 2018 delivery orders to the U.S. Army were completed in the second quarter of 2020.</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$17,851 for the quarter ended September 30, 2020, a decrease of $1,781, or 9.1%,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$19,632 reported for the same three-month period a year ago. Consolidated cost of products sold as a percentage of total revenue increased from 71.4% for the three-month period ended September 29, 2019 to 73.3% for the three-month period ended September 30, 2020. Correspondingly, consolidated gross margin decreased from 28.6% for the three-month period ended September 29, 2019, to 26.7% for the three-month period ended September 30, 2020, primarily reflecting sales mix and costs associated with the transition of new products to higher volume production.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third quarter of 2020 was $5,677, a decrease of $440 or 7.2% from gross profit of $6,117 for the third quarter of 2019. Battery &amp; Energy Products’ gross margin of 26.0% decreased by 110 basis points from the 27.1% gross margin for the year-</w:t>
      </w:r>
    </w:p>
    <w:p>
      <w:pPr>
        <w:sectPr>
          <w:pgSz w:w="11900" w:h="16900" w:orient="portrait"/>
          <w:cols w:equalWidth="0" w:num="1">
            <w:col w:w="11240"/>
          </w:cols>
          <w:pgMar w:left="320" w:top="121" w:right="3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earlier period, reflecting sales mix and incremental costs associated with the transition of new products to higher volume production.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third quarter of 2020 was $834 or 32.8% of revenues, a decrease of $910 or 52.2%, from gross profit of 1,744 or 35.5% of revenues, for the third quarter of 2019. The 270-basis point decrease in gross margin during the third quarter of 2020 was driven by sales mix and lower factory throughput as compared to the third quarter of 2019.</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September 30, 2020 were $5,804, a decrease of $751 or 11.5% from the $6,555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three-month period ended September 29, 2019. The 11.5% decrease in operating expenses, which is relatively consistent with the 11.4% decline in revenues, is attributable to certain headcount reductions, lower travel and strict control over all discretionary spending.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23.8% for both the quarter ended September 30, 2020 and the quarter ended September 29, 2019. Amortization expense associated with intangible assets related to our acquisitions was $149 for the third quarter of 2020 ($118 in selling, general and administrative expenses and $31 in research and development costs), including $61 for SWE ($61 in selling, general and administrative expenses), compared with $148 for the third quarter of 2019 ($116 in selling, general, and administrative expenses and $32 in research and development costs), including $60 for SWE ($60 in selling, general and administrative expenses). Research and development costs were $1,606 for the three-month period ended September 30, 2020, a decrease of $423 or 20.8%, from $2,029 for the three-months ended September 29, 2019. The decrease is largely attributable to the timing of new product testing in our Communications Systems business and a realignment of some of the SWE engineering and technical resources to support manufacturing including the short cycle turnaround for a medical battery pack supporting a respirator application to serve the COVID-19 response. Selling, general, and administrative expenses decreased $328 or 7.2%, to $4,198 for the third quarter of 2020 from $4,526 for the third quarter of 2019. The decrease is primarily attributable to close monitoring of all discretionary spending, headcount reductions and lower travel expenses in response to COVID-19.</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$53 for the three-month period ended September 30, 2020 compared to $160 for the three-month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29, 2019. Interest and financing expense, net of interest income, decreased $128, or 58.2%, from $220 for the third quarter of 2019 to $92 for the comparable period in 2020. The decrease is primarily due to the continued reduction of debt incurred in connection with the financing of the SWE acquisition. Miscellaneous income amounted to $39 for the third quarter of 2020 compared with $60 for the third quarter of 2019, primarily due to transactions impacted by foreign currency fluctuations in the U.S. dollar relative to the Pound Sterling and other currencies, and the translation of U.S.-denominated transactions and balances of Accutronics (U.K.). The decrease in foreign currency gains in the third quarter of 2020 was attributable to the weakening of the U.S. dollar to the Pound Sterling by approximately 4% from the beginning to the to the end of the 2020 third quarter compared to the strengthening of the U.S. dollar to the Pound Sterling by approximately 3% for the respective 2019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tax provision for the 2020 third quarter was $192 compared to $225 for the third quarter of 2019. Our effective tax rate increased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29.4% for the third quarter of 2020 as compared to 19.6% for the third quarter of 2019, primarily due to the geographic mix of earnings and discrete tax benefits realized on disqualifying dispositions of incentive stock options exercised by employees during the three-month periods. The income tax provision for the third quarter of 2020 is comprised of a $4 current provision for taxes expected to be paid on income from our foreign operations, representing a cash-based effective tax rate of 0.6%, and a $188 deferred tax provision which primarily represents non-cash charges for U.S. taxes which will be fully offset by net operating loss carryforwards and other tax credits for the foreseeable future. For the 2019 period, the income tax provision was comprised of a $60 current tax provision, representing a cash-based effective tax rate of 5.2%, and a $165 deferred tax provision. See Note 7 in the Notes to Consolidated Financial Statements in Item 1 of Part I of this Form 10-Q for additional information regarding our 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EPS excludes the provision for deferred taxes of $188 and $165 for the 2020 and 2019 periods, respectively, which primarily represents non-cash charges for U.S. taxes which will be fully offset by net operating loss carryforwards and other tax credits for the foreseeable future. See the section “Adjusted EPS” beginning on Page 27 for a reconciliation of EPS to Adjusted EPS.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$407, or $0.03 per share – basic and diluted, for the three-month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2020, compared to $898, or $0.06 per share – basic and diluted, for the three-month period ended September 29, 2019. Adjusted EPS was $0.04 on a diluted basis for the third quarter of 2020, representing a 45.5% decrease from Adjusted EPS on a diluted basis of $0.07 for the 2019 period. Adjusted EPS excludes the provision for deferred income taxes which represents non-cash charges (benefits) of $188 and $165 for the 2020 and 2019 periods, respectively, for income taxes which will be fully offset by deferred tax assets including past U.S. net operating losses and tax credit carryforwards. The net adverse impact of COVID-19 on Adjusted EPS for the 2020 third quarter was approximately $0.06. See the section “Adjusted EPS” beginning on Page 27 for a reconciliation of Adjusted EPS to EPS. Average weighted common shares outstanding used to compute diluted earnings per share decreased from 16,162,055 in the third quarter of 2019 to 16,089,170 in the third quarter of 2020. The decrease in 2020 is attributable to stock option exercises since the third quarter of 2019 and a decrease in the weighted average stock price used to compute diluted shares from $8.73 for the third quarter of 2019 to $6.56 for the second quarter of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Periods Ended September 30, 2020 and September 29, 2019</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nine-month period ended September 30, 2020 amounted to $78,736, an increase of $2,964 or 3.9%,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$75,772 reported for the nine-month period ended September 29, 2019. Overall, commercial sales increased 9.4% and government/defense sales decreased 3.2% from the nine-month 2019 period.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increased $7,740 or 13.1%, from $58,876 for the nine-month period ended September 29, 2019 to $66,616 for the nine-month period ended September 30, 2020. The growth was attributable to a $4,010 or 9.4% increase in commercial sales and a $3,730 or 23.1% increase in government/defense sales. The commercial growth reflects a $8,730 or 54.1% increase in battery sales to medical customers largely driven by an increase in demand for our batteries used in ventilators, respirators, infusion pumps and other medical devices attributable to COVID-19, partially offset by a $1,136 decrease in sales to oil and gas customers of our SWE operation due primarily to declining demand attributable to the effects of COVID-19 on the oil and gas market and a $3,583 sales decrease for 9-Volt and other commercial industrial products primarily due to COVID-19. The increase in government/defense sales is due primarily to higher demand from a large global defense contractor and the shipment of our legacy 5390 batteries under a firm fixed price delivery order received in December 2019.</w:t>
      </w:r>
    </w:p>
    <w:p>
      <w:pPr>
        <w:sectPr>
          <w:pgSz w:w="11900" w:h="16838" w:orient="portrait"/>
          <w:cols w:equalWidth="0" w:num="1">
            <w:col w:w="11240"/>
          </w:cols>
          <w:pgMar w:left="320" w:top="121" w:right="339" w:bottom="90" w:gutter="0" w:footer="0" w:header="0"/>
        </w:sectPr>
      </w:pPr>
    </w:p>
    <w:bookmarkStart w:id="18" w:name="page19"/>
    <w:bookmarkEnd w:id="18"/>
    <w:p>
      <w:pPr>
        <w:ind w:right="80"/>
        <w:spacing w:after="0" w:line="258" w:lineRule="auto"/>
        <w:rPr>
          <w:sz w:val="20"/>
          <w:szCs w:val="20"/>
          <w:color w:val="auto"/>
        </w:rPr>
      </w:pPr>
      <w:r>
        <w:rPr>
          <w:rFonts w:ascii="Times New Roman" w:cs="Times New Roman" w:eastAsia="Times New Roman" w:hAnsi="Times New Roman"/>
          <w:sz w:val="18"/>
          <w:szCs w:val="18"/>
          <w:color w:val="auto"/>
        </w:rPr>
        <w:t>Communications Systems revenues decreased $4,776, or 28.3%, from $16,896 during the nine-month period ended September 29, 2019 to $12,120 for the nine-month period ended September 30, 2020. This decrease is primarily attributable to higher 2019 shipments of mounted power amplifiers and vehicle amplifier-adaptor systems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$56,928 for the nine-month period ended September 30, 2020, an increase of $2,966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 from the $53,962 reported for the same nine-month period a year ago. Consolidated cost of products sold as a percentage of total revenue increased from 71.2% for the nine-month period ended September 29, 2019 to 72.3% for the nine-month period ended September 30, 2020. Correspondingly, consolidated gross margin was 27.7% for the nine-month period ended September 30, 2020, compared with 28.8% for the nine-month period ended September 29, 2019, due primarily to product mix. The decrease in gross margin for the 2020 period was unfavorably impacted due to incremental costs associated with COVID-19 including an approximately one-month shutdown of our China operation as mandated by the Chinese government and supply chain and logistics disruptions, partially offset by improved efficiencies and productivity in the production of vehicle amplifier-adaptor systems to fulfill U.S. Army orders for our Communications Systems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Battery &amp; Energy Products segment, the cost of products sold increased $6,903 or 16.2%, from $42,694 during the nine-month period ended September 29, 2019 to $49,597 during the nine-month period ended September 30, 2020. Battery &amp; Energy Products’ gross profit for the 2020 nine-month period was $17,019 or 25.5% of revenues, an increase of $837 or 5.2% from gross profit of $16,182, or 27.5% of revenues, for the 2019 nine-month period. Battery &amp; Energy Products’ gross margin decreased for the nine-month period ended September 30, 2020 by 200 basis points, primarily due to incremental costs associated with COVID-19 including an approximately one-month shutdown of our China operation as mandated by the Chinese government and supply chain disruptions.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Communications Systems segment, the cost of products sold decreased by $3,937 or 34.9% from $11,268 during the nine-month period ended September 29, 2019 to $7,331 during the nine-month period ended September 30, 2020. Communications Systems’ gross profit for the first nine months of 2020 was $4,789 or 39.5% of revenues, a decrease of $839 or 14.9% from gross profit of $5,628 or 33.3% of revenues, for the nine-month period ended September 29, 2019. The increase in gross margin was primarily due to improved efficiencies and productivity in the production of vehicle amplifier-adaptor systems to fulfill U.S. Army orders.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for the nine-month period ended September 30, 2020 totaled $17,322, an increase of $408 or 2.4%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$16,914 for the nine-month period ended September 29, 2019. The increase is primarily attributable to the inclusion of the expenses of SWE for the full nine months of 2020 as compared to five months of the comparable period in 2019 (SWE acquired May 1, 2019).</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22.0% for the nine-month period ended September 30, 2020 compared to 22.3% for the comparable 2019 period. Amortization expense associated with intangible assets related to our acquisitions was $444, including $182 for SWE, for the first nine months of 2020 ($352 in selling, general and administrative expenses and $92 in research and development costs), compared with $372, including $101 for SWE, for the first nine months of 2019 ($274 in selling, general, and administrative expenses and $98 in research and development costs). Research and development costs were $4,429 for the nine-month period ended September 30, 2020, a decrease of $223 or 4.8% from $4,652 for the nine-months ended September 29, 2019. The decrease reflects the timing of testing of new products and a realignment of some of the SWE engineering and technical resources to support manufacturing including the short cycle turnaround for a medical battery pack supporting a respirator application to serve the COVID-19 response. Selling, general, and administrative expenses increased $631 or 5.1%, from $12,262 during the first nine months of 2019 to $12,893 during the first nine months of 2020. The increase is fully attributable to the inclusion of SWE results for the full 2020 nine-month period as compared to five months for the comparable 2019 period.</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$262 for the nine-month period ended September 30, 2020 compared to $301 for the nine-month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29, 2019. Interest and financing expense, net of interest income, increased $33 to $372 for the 2020 period from $339 for the comparable period in 2019, as a result of the financing for the SWE acquisition. Miscellaneous income amounted to $110 for the first nine months of 2020 compared with $38 for the first nine months of 2019, primarily due to fluctuations in the U.S. dollar relative to the Pound Sterling.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We recognized a tax provision of $1,010 for the first three quarters of 2020 compared with a tax provision of $942 for the first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of 2019. Our effective tax rate increased to 23.9% for the first nine months of 2020 as compared to 20.5% for the first nine months of 2019, primarily due to the geographic mix of earnings and discrete tax benefits realized on disqualifying dispositions of incentive stock options exercised by employees during the nine-month periods. The income tax provision for the 2020 period is comprised of a $189 current provision for taxes expected to be paid on income from our foreign operations, representing a cash-based effective tax rate of 4.5%, and a $821 deferred tax provision which primarily represents non-cash charges for U.S. taxes which will be fully offset by net operating loss carryforwards and other tax credits for the foreseeable future. For the 2019 period, the income tax provision was comprised of an $141 current tax provision, representing a cash-based effective tax rate of 3.1%, and a non-cash $801 deferred provision for taxes. See Note 7 in the Notes to Consolidated Financial Statements of this Form 10-Q for additional information regarding our income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and net income attributable to Ultralife common shareholders per diluted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$3,124 and $0.19, respectively, for the nine months ended September 30, 2020, compared to $3,653 and $0.22 for the nine months ended September 29, 2019. Adjusted EPS was $0.24 on a diluted basis for the first nine months of 2020, representing an 9.7% decrease from Adjusted EPS on a diluted basis of $0.27 for the comparable 2019 period. Adjusted EPS excludes the provision for deferred income taxes which represents non-cash charges (benefits) of $821 and $801 for the 2020 and 2019 periods, respectively, for income taxes which will be fully offset by deferred tax assets including past U.S. net operating losses and tax credit carryforwards. The net adverse impact of COVID-19 on Adjusted EPS for the 2020 year-to-date period was approximately $0.10. See the section “Adjusted EPS” beginning on Page 27 for a reconciliation of Adjusted EPS to EPS. Average common shares outstanding used to compute diluted earnings per share decreased from 16,138,335 for the 2019 period to 16,102,879 for the 2020 period, mainly due to a decrease in the weighted average stock price used to compute diluted shares from $9.18 for the first nine months of 2019 to $6.89 for the first nine months of 2020.</w:t>
      </w:r>
    </w:p>
    <w:p>
      <w:pPr>
        <w:sectPr>
          <w:pgSz w:w="11900" w:h="16838" w:orient="portrait"/>
          <w:cols w:equalWidth="0" w:num="1">
            <w:col w:w="11240"/>
          </w:cols>
          <w:pgMar w:left="320" w:top="121" w:right="339" w:bottom="0" w:gutter="0" w:footer="0" w:header="0"/>
        </w:sectPr>
      </w:pPr>
    </w:p>
    <w:bookmarkStart w:id="19" w:name="page20"/>
    <w:bookmarkEnd w:id="19"/>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attributable to Ultralife before net interest expense, provision for income taxes, depreciation and amortization, and stock-based compensation expense, plus/minus expenses/income that we do not consider reflective of our ongoing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jc w:val="both"/>
        <w:ind w:left="1080" w:hanging="316"/>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79"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We reconcile Adjusted EBITDA to net income attributable to Ultralife Corporation, the most comparable financial measure under GAAP.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4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 and financing fees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our business, we consider and use Adjusted EPS, a non-GAAP financial measure, as a supplemental measure of our business performance.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GAAP. Neither current nor potential investors in our securities should</w:t>
      </w:r>
    </w:p>
    <w:p>
      <w:pPr>
        <w:sectPr>
          <w:pgSz w:w="11900" w:h="16905" w:orient="portrait"/>
          <w:cols w:equalWidth="0" w:num="1">
            <w:col w:w="11240"/>
          </w:cols>
          <w:pgMar w:left="320" w:top="337" w:right="339" w:bottom="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rely on Adjusted EPS as a substitute for any GAAP measures and we encourage investors to review the following reconciliation of Adjusted EPS to EPS and net income attributable to Ultralife.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29, 2019</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Adjusted net income attributable to</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Ultralife Corporation</w:t>
            </w:r>
          </w:p>
        </w:tc>
        <w:tc>
          <w:tcPr>
            <w:tcW w:w="16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16,162</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29, 2019</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Adjusted net income attributable to</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3,945</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4,380</w:t>
            </w: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Ultralife Corporation</w:t>
            </w:r>
          </w:p>
        </w:tc>
        <w:tc>
          <w:tcPr>
            <w:tcW w:w="16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16,138</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cash totaled $13,777, an increase of $6,372, or 86.0%, as compared to $7,405 of cash held as of December 31, 2019. The increase was attributable to cash generated from operations, including the collection of accounts receivable, partially offset by the paydown of our debt and strategic capital investments primarily for our Battery &amp; Energy Products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nine-month period ended September 30, 2020, operating activities provided cash of $21,491, consisting of net income of $3,214, a decrease in accounts receivable of $15,094 due primarily to a high level of collections, and non-cash expenses (depreciation, amortization and stock-based compensation) and deferred taxes totaling $3,800, partially offset by a net decrease in accounts payable and other working capital of $617 primarily due to the timing of payments for procured inventory and capital projects.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2020 was $1,782, which was largely attributable to capital expenditures of $1,902 primarily reflecting strategic investments for our Battery &amp; Energy Products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2020 was $13,258, primarily consisting of payments totaling $10,182 against our Revolving Credit Facility and $3,279 of principle payments on our Term Loan Facility, including an advance payment of $2,200, partially offset primarily by stock option exercise proceeds of $218.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has significant U.S. net operating loss carryforwards available to utilize as an offset to future taxable income. See Note 7 in the Notes to Consolidated Financial Statements in Item 1 of Part I of this Form 10-Q for additional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2020, we had made commitments to purchase approximately $783 of production machinery and equipment, which we expect to fund through operating cash flows or debt borrowings.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COVID-19 pandemic poses a high level of uncertainty, management expects that cash flow generated from future operations and the remaining availability under our Revolving Credit Facility will be sufficient under current economic conditions to meet our general funding requirements and capital investments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2019, in connection with financing the SWE acquisition (see Note 3 to the Notes to Consolidated Financial Statements in Item 1 of Part I of this Form 10-Q), the Company drew down $8,000 on its Term Loan Facility and $6,782 under its Revolving Credit Facility. As of September 30, 2020, the Company had $3,855 outstanding principal on the Term Loan Facility, of which $1,537 is included in current portion of long-term debt on the balance sheet, and no amounts outstanding on the Revolving Credit Facility. As of September 30, 2020, the Company is in full compliance with all covenants under the Credit Facilities.</w:t>
      </w:r>
    </w:p>
    <w:p>
      <w:pPr>
        <w:sectPr>
          <w:pgSz w:w="11900" w:h="16838" w:orient="portrait"/>
          <w:cols w:equalWidth="0" w:num="1">
            <w:col w:w="11240"/>
          </w:cols>
          <w:pgMar w:left="320" w:top="121" w:right="33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2019 Annual Report on Form 10-K should be reviewed for a greater understanding of how our financial performance is recorded and reported.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2020, there were no significant changes in the manner in which our significant accounting policies were applied or in which related assumptions and estimates were developed.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should carefully consider the risk factor set forth below in addition to the risk factors described in Part I, Item 1A “Risk Factors” of our Annual Report on Form 10-K for the year ended December 31, 2019, which could adversely affect our business, financial condition and results of operations. Additional risks and uncertainties not currently known to us or that are not currently believed by us to be material may also harm our business, financial condition and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operating results and financial condition may be adversely impacted by COVID-19.</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novel coronavirus disease of 2019 (COVID-19) has created significant economic disruption and uncertainty around the world. COVID-19 adversely impacted our operating results during the first nine months of 2020 with an estimated unfavorable impact to net income of approximately $1,500 primarily as a result of overall disruptions in supply chains impacting both commercial and government/defense markets, revenue declines in oil &amp; gas and international industrial markets, and an approximately one-month closure of our China facility during the first quarter as mandated by the China government, partially offset by increased demand for our medical batteries, especially those used in ventilators, respirators and infusion pumps. While the Chinese government has lifted the suspension of business operations in China and we have maintained normal business operations at all our other facilities throughout the pandemic, the extent to which COVID-19 may impact our business is uncertain and will depend on many evolving factors which we continue to monitor but cannot predict, including the duration and scope of the pandemic and actions taken by governments, businesses and individuals in response to the pandemic. Potential effects of COVID-19 which may adversely impact our business include limited availability and/or increased cost of raw materials and components used in our products, reduced demand and/or pricing for our products, inability of our customers to pay or remain solvent, reduced availability of our workforce, and increased cyber threats to our information technology infrastructure. Prolonged adverse effects of COVID-19 on our business could result in the impairment of long-lived assets including goodwill and other intangible assets. Further, we cannot predict all possible adverse effects the COVID-19 pandemic may cause as a result of which there may be adverse effects in addition to those described in this Risk Factor. While we continue to closely monitor the developments surrounding COVID-19 and take actions when possible to mitigate the business risks involved, the potential effects of COVID-19 on our business, alone or taken together, pose a material risk to our future operating results and financial condition.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9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r>
      <w:tr>
        <w:trPr>
          <w:trHeight w:val="78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14"/>
        </w:trPr>
        <w:tc>
          <w:tcPr>
            <w:tcW w:w="6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Exhibit Description</w:t>
            </w:r>
          </w:p>
        </w:tc>
        <w:tc>
          <w:tcPr>
            <w:tcW w:w="198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91"/>
        </w:trPr>
        <w:tc>
          <w:tcPr>
            <w:tcW w:w="620" w:type="dxa"/>
            <w:vAlign w:val="bottom"/>
          </w:tcPr>
          <w:p>
            <w:pPr>
              <w:spacing w:after="0"/>
              <w:rPr>
                <w:sz w:val="16"/>
                <w:szCs w:val="16"/>
                <w:color w:val="auto"/>
              </w:rPr>
            </w:pPr>
          </w:p>
        </w:tc>
        <w:tc>
          <w:tcPr>
            <w:tcW w:w="1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6"/>
                <w:szCs w:val="16"/>
                <w:color w:val="auto"/>
              </w:rPr>
            </w:pPr>
          </w:p>
        </w:tc>
        <w:tc>
          <w:tcPr>
            <w:tcW w:w="3380" w:type="dxa"/>
            <w:vAlign w:val="bottom"/>
            <w:tcBorders>
              <w:top w:val="single" w:sz="8" w:color="auto"/>
            </w:tcBorders>
          </w:tcPr>
          <w:p>
            <w:pPr>
              <w:spacing w:after="0" w:line="191" w:lineRule="exact"/>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Rule 13a-14(a) / 15d-14(a) CEO Certifications</w:t>
              </w:r>
            </w:hyperlink>
          </w:p>
        </w:tc>
        <w:tc>
          <w:tcPr>
            <w:tcW w:w="19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31.2</w:t>
            </w:r>
          </w:p>
        </w:tc>
        <w:tc>
          <w:tcPr>
            <w:tcW w:w="368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Rule 13a-14(a) / 15d-14(a) CFO Certifications</w:t>
              </w:r>
            </w:hyperlink>
          </w:p>
        </w:tc>
        <w:tc>
          <w:tcPr>
            <w:tcW w:w="1980" w:type="dxa"/>
            <w:vAlign w:val="bottom"/>
          </w:tcPr>
          <w:p>
            <w:pPr>
              <w:spacing w:after="0"/>
              <w:rPr>
                <w:sz w:val="18"/>
                <w:szCs w:val="18"/>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32</w:t>
            </w:r>
          </w:p>
        </w:tc>
        <w:tc>
          <w:tcPr>
            <w:tcW w:w="368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Section 1350 Certifications</w:t>
              </w:r>
            </w:hyperlink>
          </w:p>
        </w:tc>
        <w:tc>
          <w:tcPr>
            <w:tcW w:w="1980" w:type="dxa"/>
            <w:vAlign w:val="bottom"/>
          </w:tcPr>
          <w:p>
            <w:pPr>
              <w:spacing w:after="0"/>
              <w:rPr>
                <w:sz w:val="18"/>
                <w:szCs w:val="18"/>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98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-1473835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2" w:name="page23"/>
    <w:bookmarkEnd w:id="22"/>
    <w:tbl>
      <w:tblPr>
        <w:tblLayout w:type="fixed"/>
        <w:tblInd w:w="6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80" w:type="dxa"/>
            <w:vAlign w:val="bottom"/>
          </w:tcPr>
          <w:p>
            <w:pPr>
              <w:spacing w:after="0"/>
              <w:rPr>
                <w:sz w:val="20"/>
                <w:szCs w:val="20"/>
                <w:color w:val="auto"/>
              </w:rPr>
            </w:pP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1400" w:type="dxa"/>
            <w:vAlign w:val="bottom"/>
          </w:tcPr>
          <w:p>
            <w:pPr>
              <w:spacing w:after="0"/>
              <w:rPr>
                <w:sz w:val="20"/>
                <w:szCs w:val="20"/>
                <w:color w:val="auto"/>
              </w:rPr>
            </w:pPr>
          </w:p>
        </w:tc>
      </w:tr>
    </w:tbl>
    <w:p>
      <w:pPr>
        <w:spacing w:after="0" w:line="198"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September 30, 2020 and December 31, 2019, (ii) Consolidated Statements of Income and Comprehensive Income for the three and nine months ended September 30, 2020 and September 29, 2019, (iii) Consolidated Statements of Cash Flows for the nine months ended September 30, 2020 and September 29, 2019, (iv) Consolidated Statements of Changes in Shareholders’ Equity for the three and nine months ended September 30, 2020 and September 29, 2019, and (v)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237"/>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tcBorders>
              <w:top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(Registrant)</w:t>
            </w:r>
          </w:p>
        </w:tc>
        <w:tc>
          <w:tcPr>
            <w:tcW w:w="3140" w:type="dxa"/>
            <w:vAlign w:val="bottom"/>
          </w:tcPr>
          <w:p>
            <w:pPr>
              <w:spacing w:after="0"/>
              <w:rPr>
                <w:sz w:val="20"/>
                <w:szCs w:val="20"/>
                <w:color w:val="auto"/>
              </w:rPr>
            </w:pPr>
          </w:p>
        </w:tc>
      </w:tr>
      <w:tr>
        <w:trPr>
          <w:trHeight w:val="391"/>
        </w:trPr>
        <w:tc>
          <w:tcPr>
            <w:tcW w:w="33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Date: October 29, 2020</w:t>
            </w:r>
          </w:p>
        </w:tc>
        <w:tc>
          <w:tcPr>
            <w:tcW w:w="17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w:t>
            </w:r>
          </w:p>
        </w:tc>
        <w:tc>
          <w:tcPr>
            <w:tcW w:w="61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Michael D. Popielec</w:t>
            </w:r>
          </w:p>
        </w:tc>
      </w:tr>
      <w:tr>
        <w:trPr>
          <w:trHeight w:val="218"/>
        </w:trPr>
        <w:tc>
          <w:tcPr>
            <w:tcW w:w="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Michael D. Popielec</w:t>
            </w:r>
          </w:p>
        </w:tc>
        <w:tc>
          <w:tcPr>
            <w:tcW w:w="3760" w:type="dxa"/>
            <w:vAlign w:val="bottom"/>
            <w:gridSpan w:val="2"/>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1"/>
        </w:trPr>
        <w:tc>
          <w:tcPr>
            <w:tcW w:w="33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Date: October 29, 2020</w:t>
            </w:r>
          </w:p>
        </w:tc>
        <w:tc>
          <w:tcPr>
            <w:tcW w:w="17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w:t>
            </w:r>
          </w:p>
        </w:tc>
        <w:tc>
          <w:tcPr>
            <w:tcW w:w="61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Philip A. Fain</w:t>
            </w:r>
          </w:p>
        </w:tc>
      </w:tr>
      <w:tr>
        <w:trPr>
          <w:trHeight w:val="218"/>
        </w:trPr>
        <w:tc>
          <w:tcPr>
            <w:tcW w:w="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Philip A. Fain</w:t>
            </w:r>
          </w:p>
        </w:tc>
        <w:tc>
          <w:tcPr>
            <w:tcW w:w="3780" w:type="dxa"/>
            <w:vAlign w:val="bottom"/>
            <w:gridSpan w:val="3"/>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58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September 30, 2020 and December 31, 2019, (ii) Consolidated Statements of Income and Comprehensive Income for the three and nine months ended September 30, 2020 and September 29, 2019, (iii) Consolidated Statements of Cash Flows for the nine months ended September 30, 2020 and September 29, 2019, (iv) Consolidated Statements of Changes in Shareholders’ Equity for the three and nine months ended September 30, 2020 and September 29, 2019, and (v) Notes to Consolidated Financial Statements.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type w:val="continuous"/>
        </w:sectPr>
      </w:pPr>
    </w:p>
    <w:bookmarkStart w:id="23" w:name="page24"/>
    <w:bookmarkEnd w:id="2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45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8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Michael D. Popielec</w:t>
            </w: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4540" w:type="dxa"/>
            <w:vAlign w:val="bottom"/>
            <w:gridSpan w:val="3"/>
          </w:tcPr>
          <w:p>
            <w:pPr>
              <w:jc w:val="right"/>
              <w:ind w:right="168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40" w:type="dxa"/>
            <w:vAlign w:val="bottom"/>
            <w:tcBorders>
              <w:top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Philip A. Fain</w:t>
            </w:r>
          </w:p>
        </w:tc>
        <w:tc>
          <w:tcPr>
            <w:tcW w:w="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30, 2020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17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Michael D. Popielec</w:t>
            </w:r>
          </w:p>
        </w:tc>
      </w:tr>
      <w:tr>
        <w:trPr>
          <w:trHeight w:val="218"/>
        </w:trPr>
        <w:tc>
          <w:tcPr>
            <w:tcW w:w="4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Michael D. Popielec</w:t>
            </w:r>
          </w:p>
        </w:tc>
        <w:tc>
          <w:tcPr>
            <w:tcW w:w="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412"/>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17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Philip A. Fain</w:t>
            </w:r>
          </w:p>
        </w:tc>
      </w:tr>
      <w:tr>
        <w:trPr>
          <w:trHeight w:val="198"/>
        </w:trPr>
        <w:tc>
          <w:tcPr>
            <w:tcW w:w="4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Philip A. Fain</w:t>
            </w:r>
          </w:p>
        </w:tc>
        <w:tc>
          <w:tcPr>
            <w:tcW w:w="60" w:type="dxa"/>
            <w:vAlign w:val="bottom"/>
            <w:gridSpan w:val="2"/>
          </w:tcPr>
          <w:p>
            <w:pPr>
              <w:spacing w:after="0"/>
              <w:rPr>
                <w:sz w:val="17"/>
                <w:szCs w:val="17"/>
                <w:color w:val="auto"/>
              </w:rPr>
            </w:pPr>
          </w:p>
        </w:tc>
      </w:tr>
      <w:tr>
        <w:trPr>
          <w:trHeight w:val="234"/>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2020-10-29T06:14:30Z</dcterms:created>
  <dcterms:modified xsi:type="dcterms:W3CDTF">2020-10-29T06:14:30Z</dcterms:modified>
</cp:coreProperties>
</file>