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 10-Q</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3880" w:right="2400" w:hanging="3872"/>
        <w:spacing w:after="0" w:line="532" w:lineRule="auto"/>
        <w:tabs>
          <w:tab w:leader="none" w:pos="30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29, 2013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060" w:right="2460" w:hanging="3052"/>
        <w:spacing w:after="0" w:line="563" w:lineRule="auto"/>
        <w:tabs>
          <w:tab w:leader="none" w:pos="106"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________________ to ________________</w:t>
      </w:r>
    </w:p>
    <w:p>
      <w:pPr>
        <w:spacing w:after="0" w:line="1" w:lineRule="exact"/>
        <w:rPr>
          <w:rFonts w:ascii="Arial" w:cs="Arial" w:eastAsia="Arial" w:hAnsi="Arial"/>
          <w:sz w:val="17"/>
          <w:szCs w:val="17"/>
          <w:color w:val="auto"/>
        </w:rPr>
      </w:pPr>
    </w:p>
    <w:p>
      <w:pPr>
        <w:ind w:left="4360"/>
        <w:spacing w:after="0"/>
        <w:rPr>
          <w:rFonts w:ascii="Arial" w:cs="Arial" w:eastAsia="Arial" w:hAnsi="Arial"/>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000-20852</w:t>
      </w:r>
    </w:p>
    <w:p>
      <w:pPr>
        <w:spacing w:after="0" w:line="235" w:lineRule="exact"/>
        <w:rPr>
          <w:sz w:val="24"/>
          <w:szCs w:val="24"/>
          <w:color w:val="auto"/>
        </w:rPr>
      </w:pPr>
    </w:p>
    <w:tbl>
      <w:tblPr>
        <w:tblLayout w:type="fixed"/>
        <w:tblInd w:w="1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00" w:type="dxa"/>
            <w:vAlign w:val="bottom"/>
            <w:gridSpan w:val="4"/>
          </w:tcPr>
          <w:p>
            <w:pPr>
              <w:jc w:val="center"/>
              <w:ind w:right="3040"/>
              <w:spacing w:after="0"/>
              <w:rPr>
                <w:sz w:val="20"/>
                <w:szCs w:val="20"/>
                <w:color w:val="auto"/>
              </w:rPr>
            </w:pPr>
            <w:r>
              <w:rPr>
                <w:rFonts w:ascii="Arial" w:cs="Arial" w:eastAsia="Arial" w:hAnsi="Arial"/>
                <w:sz w:val="18"/>
                <w:szCs w:val="18"/>
                <w:color w:val="auto"/>
                <w:w w:val="95"/>
              </w:rPr>
              <w:t>ULTRALIFE CORPORATION</w:t>
            </w: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40" w:type="dxa"/>
            <w:vAlign w:val="bottom"/>
            <w:gridSpan w:val="5"/>
          </w:tcPr>
          <w:p>
            <w:pPr>
              <w:jc w:val="center"/>
              <w:ind w:right="228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9"/>
        </w:trPr>
        <w:tc>
          <w:tcPr>
            <w:tcW w:w="600" w:type="dxa"/>
            <w:vAlign w:val="bottom"/>
          </w:tcPr>
          <w:p>
            <w:pPr>
              <w:spacing w:after="0"/>
              <w:rPr>
                <w:sz w:val="24"/>
                <w:szCs w:val="2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Delaware</w:t>
            </w:r>
          </w:p>
        </w:tc>
        <w:tc>
          <w:tcPr>
            <w:tcW w:w="6040" w:type="dxa"/>
            <w:vAlign w:val="bottom"/>
            <w:gridSpan w:val="5"/>
          </w:tcPr>
          <w:p>
            <w:pPr>
              <w:jc w:val="right"/>
              <w:ind w:right="880"/>
              <w:spacing w:after="0"/>
              <w:rPr>
                <w:sz w:val="20"/>
                <w:szCs w:val="20"/>
                <w:color w:val="auto"/>
              </w:rPr>
            </w:pPr>
            <w:r>
              <w:rPr>
                <w:rFonts w:ascii="Arial" w:cs="Arial" w:eastAsia="Arial" w:hAnsi="Arial"/>
                <w:sz w:val="18"/>
                <w:szCs w:val="18"/>
                <w:color w:val="auto"/>
              </w:rPr>
              <w:t>16-1387013</w:t>
            </w:r>
          </w:p>
        </w:tc>
      </w:tr>
      <w:tr>
        <w:trPr>
          <w:trHeight w:val="20"/>
        </w:trPr>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9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(State or other jurisdiction</w:t>
            </w:r>
          </w:p>
        </w:tc>
        <w:tc>
          <w:tcPr>
            <w:tcW w:w="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04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(I.R.S. Employer Identification No.)</w:t>
            </w:r>
          </w:p>
        </w:tc>
      </w:tr>
    </w:tbl>
    <w:p>
      <w:pPr>
        <w:ind w:left="1720"/>
        <w:spacing w:after="0"/>
        <w:rPr>
          <w:sz w:val="20"/>
          <w:szCs w:val="20"/>
          <w:color w:val="auto"/>
        </w:rPr>
      </w:pPr>
      <w:r>
        <w:rPr>
          <w:rFonts w:ascii="Arial" w:cs="Arial" w:eastAsia="Arial" w:hAnsi="Arial"/>
          <w:sz w:val="18"/>
          <w:szCs w:val="18"/>
          <w:color w:val="auto"/>
        </w:rPr>
        <w:t>of incorporation or organization)</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2000 Technology Parkway, Newark, New York 14513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(Zip Code)</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(315) 332-7100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right="440"/>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28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Yes..X… No…..</w:t>
      </w:r>
    </w:p>
    <w:p>
      <w:pPr>
        <w:spacing w:after="0" w:line="238"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tabs>
          <w:tab w:leader="none" w:pos="2360" w:val="left"/>
        </w:tabs>
        <w:rPr>
          <w:sz w:val="20"/>
          <w:szCs w:val="20"/>
          <w:color w:val="auto"/>
        </w:rPr>
      </w:pPr>
      <w:r>
        <w:rPr>
          <w:rFonts w:ascii="Arial" w:cs="Arial" w:eastAsia="Arial" w:hAnsi="Arial"/>
          <w:sz w:val="18"/>
          <w:szCs w:val="18"/>
          <w:color w:val="auto"/>
        </w:rPr>
        <w:t>submit and post such files).</w:t>
      </w:r>
      <w:r>
        <w:rPr>
          <w:sz w:val="20"/>
          <w:szCs w:val="20"/>
          <w:color w:val="auto"/>
        </w:rPr>
        <w:tab/>
      </w:r>
      <w:r>
        <w:rPr>
          <w:rFonts w:ascii="Arial" w:cs="Arial" w:eastAsia="Arial" w:hAnsi="Arial"/>
          <w:sz w:val="16"/>
          <w:szCs w:val="16"/>
          <w:color w:val="auto"/>
        </w:rPr>
        <w:t>Yes..X… No…..</w:t>
      </w:r>
    </w:p>
    <w:p>
      <w:pPr>
        <w:spacing w:after="0" w:line="238" w:lineRule="exact"/>
        <w:rPr>
          <w:sz w:val="24"/>
          <w:szCs w:val="24"/>
          <w:color w:val="auto"/>
        </w:rPr>
      </w:pPr>
    </w:p>
    <w:p>
      <w:pPr>
        <w:ind w:right="4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1720"/>
        <w:spacing w:after="0"/>
        <w:rPr>
          <w:sz w:val="20"/>
          <w:szCs w:val="20"/>
          <w:color w:val="auto"/>
        </w:rPr>
      </w:pPr>
      <w:r>
        <w:rPr>
          <w:rFonts w:ascii="Arial" w:cs="Arial" w:eastAsia="Arial" w:hAnsi="Arial"/>
          <w:sz w:val="18"/>
          <w:szCs w:val="18"/>
          <w:color w:val="auto"/>
        </w:rPr>
        <w:t>Large accelerated filer …..  Accelerated filer …....  Non-accelerated filer .....  Smaller reporting company..X..</w:t>
      </w:r>
    </w:p>
    <w:p>
      <w:pPr>
        <w:spacing w:after="0" w:line="238" w:lineRule="exact"/>
        <w:rPr>
          <w:sz w:val="24"/>
          <w:szCs w:val="24"/>
          <w:color w:val="auto"/>
        </w:rPr>
      </w:pPr>
    </w:p>
    <w:p>
      <w:pPr>
        <w:spacing w:after="0"/>
        <w:tabs>
          <w:tab w:leader="none" w:pos="8420" w:val="left"/>
        </w:tabs>
        <w:rPr>
          <w:sz w:val="20"/>
          <w:szCs w:val="20"/>
          <w:color w:val="auto"/>
        </w:rPr>
      </w:pPr>
      <w:r>
        <w:rPr>
          <w:rFonts w:ascii="Arial" w:cs="Arial" w:eastAsia="Arial" w:hAnsi="Arial"/>
          <w:sz w:val="18"/>
          <w:szCs w:val="18"/>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Yes…. No..X...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Common stock, $.10 par value – 17,474,249 shares of common stock outstanding, net of 1,372,757 treasury shares, as of November 1, 2013.</w:t>
      </w:r>
    </w:p>
    <w:p>
      <w:pPr>
        <w:spacing w:after="0" w:line="37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9860" w:type="dxa"/>
            <w:vAlign w:val="bottom"/>
            <w:gridSpan w:val="19"/>
            <w:shd w:val="clear" w:color="auto" w:fill="CCEEFF"/>
          </w:tcPr>
          <w:p>
            <w:pPr>
              <w:ind w:left="60"/>
              <w:spacing w:after="0"/>
              <w:rPr>
                <w:sz w:val="20"/>
                <w:szCs w:val="20"/>
                <w:color w:val="auto"/>
              </w:rPr>
            </w:pPr>
            <w:r>
              <w:rPr>
                <w:rFonts w:ascii="Arial" w:cs="Arial" w:eastAsia="Arial" w:hAnsi="Arial"/>
                <w:sz w:val="18"/>
                <w:szCs w:val="18"/>
                <w:color w:val="auto"/>
              </w:rPr>
              <w:t>FINANCIAL INFORMATION</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29, 2013 (Unaudited) and December 31, 2012</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8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(Unaudited) - Three month and nine month periods</w:t>
              </w:r>
            </w:hyperlink>
          </w:p>
        </w:tc>
        <w:tc>
          <w:tcPr>
            <w:tcW w:w="5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80" w:type="dxa"/>
            <w:vAlign w:val="bottom"/>
            <w:gridSpan w:val="16"/>
            <w:shd w:val="clear" w:color="auto" w:fill="CCEEFF"/>
          </w:tcPr>
          <w:p>
            <w:pPr>
              <w:ind w:left="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September 29, 2013 and September 30, 2012</w:t>
              </w:r>
            </w:hyperlink>
          </w:p>
        </w:tc>
        <w:tc>
          <w:tcPr>
            <w:tcW w:w="900" w:type="dxa"/>
            <w:vAlign w:val="bottom"/>
            <w:gridSpan w:val="4"/>
            <w:shd w:val="clear" w:color="auto" w:fill="CCEEFF"/>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Nine month periods ended September 29, 2013 and</w:t>
              </w:r>
            </w:hyperlink>
          </w:p>
        </w:tc>
        <w:tc>
          <w:tcPr>
            <w:tcW w:w="880" w:type="dxa"/>
            <w:vAlign w:val="bottom"/>
            <w:tcBorders>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80" w:type="dxa"/>
            <w:vAlign w:val="bottom"/>
            <w:gridSpan w:val="16"/>
            <w:shd w:val="clear" w:color="auto" w:fill="CCEEFF"/>
          </w:tcPr>
          <w:p>
            <w:pPr>
              <w:ind w:left="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2012</w:t>
              </w:r>
            </w:hyperlink>
          </w:p>
        </w:tc>
        <w:tc>
          <w:tcPr>
            <w:tcW w:w="900" w:type="dxa"/>
            <w:vAlign w:val="bottom"/>
            <w:gridSpan w:val="4"/>
            <w:shd w:val="clear" w:color="auto" w:fill="CCEEFF"/>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9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8"/>
              </w:rPr>
              <w:t>PART II</w:t>
            </w:r>
          </w:p>
        </w:tc>
        <w:tc>
          <w:tcPr>
            <w:tcW w:w="100" w:type="dxa"/>
            <w:vAlign w:val="bottom"/>
          </w:tcPr>
          <w:p>
            <w:pPr>
              <w:spacing w:after="0"/>
              <w:rPr>
                <w:sz w:val="18"/>
                <w:szCs w:val="18"/>
                <w:color w:val="auto"/>
              </w:rPr>
            </w:pPr>
          </w:p>
        </w:tc>
        <w:tc>
          <w:tcPr>
            <w:tcW w:w="9760" w:type="dxa"/>
            <w:vAlign w:val="bottom"/>
            <w:gridSpan w:val="18"/>
          </w:tcPr>
          <w:p>
            <w:pPr>
              <w:ind w:left="20"/>
              <w:spacing w:after="0"/>
              <w:rPr>
                <w:sz w:val="20"/>
                <w:szCs w:val="20"/>
                <w:color w:val="auto"/>
              </w:rPr>
            </w:pPr>
            <w:r>
              <w:rPr>
                <w:rFonts w:ascii="Arial" w:cs="Arial" w:eastAsia="Arial" w:hAnsi="Arial"/>
                <w:sz w:val="18"/>
                <w:szCs w:val="18"/>
                <w:color w:val="auto"/>
              </w:rPr>
              <w:t>OTHER INFORMATION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60" w:type="dxa"/>
            <w:vAlign w:val="bottom"/>
            <w:gridSpan w:val="17"/>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900" w:type="dxa"/>
            <w:vAlign w:val="bottom"/>
            <w:gridSpan w:val="4"/>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360" w:type="dxa"/>
            <w:vAlign w:val="bottom"/>
            <w:gridSpan w:val="17"/>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900" w:type="dxa"/>
            <w:vAlign w:val="bottom"/>
            <w:gridSpan w:val="4"/>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21"/>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900" w:type="dxa"/>
            <w:vAlign w:val="bottom"/>
            <w:gridSpan w:val="4"/>
          </w:tcPr>
          <w:p>
            <w:pPr>
              <w:jc w:val="right"/>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00" w:type="dxa"/>
            <w:vAlign w:val="bottom"/>
            <w:gridSpan w:val="2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Index to Exhibits</w:t>
              </w:r>
            </w:hyperlink>
          </w:p>
        </w:tc>
        <w:tc>
          <w:tcPr>
            <w:tcW w:w="900" w:type="dxa"/>
            <w:vAlign w:val="bottom"/>
            <w:gridSpan w:val="4"/>
          </w:tcPr>
          <w:p>
            <w:pPr>
              <w:jc w:val="right"/>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6380" w:type="dxa"/>
            <w:vAlign w:val="bottom"/>
            <w:gridSpan w:val="12"/>
          </w:tcPr>
          <w:p>
            <w:pPr>
              <w:jc w:val="right"/>
              <w:ind w:right="186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-4066540</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8320" w:type="dxa"/>
            <w:vAlign w:val="bottom"/>
          </w:tcPr>
          <w:p>
            <w:pPr>
              <w:ind w:left="20"/>
              <w:spacing w:after="0"/>
              <w:rPr>
                <w:sz w:val="20"/>
                <w:szCs w:val="20"/>
                <w:color w:val="auto"/>
              </w:rPr>
            </w:pPr>
            <w:r>
              <w:rPr>
                <w:rFonts w:ascii="Arial" w:cs="Arial" w:eastAsia="Arial" w:hAnsi="Arial"/>
                <w:sz w:val="18"/>
                <w:szCs w:val="18"/>
                <w:color w:val="auto"/>
              </w:rPr>
              <w:t>FINANCIAL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2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320" w:type="dxa"/>
            <w:vAlign w:val="bottom"/>
          </w:tcPr>
          <w:p>
            <w:pPr>
              <w:jc w:val="center"/>
              <w:ind w:left="1490"/>
              <w:spacing w:after="0"/>
              <w:rPr>
                <w:sz w:val="20"/>
                <w:szCs w:val="20"/>
                <w:color w:val="auto"/>
              </w:rPr>
            </w:pPr>
            <w:r>
              <w:rPr>
                <w:rFonts w:ascii="Arial" w:cs="Arial" w:eastAsia="Arial" w:hAnsi="Arial"/>
                <w:sz w:val="18"/>
                <w:szCs w:val="18"/>
                <w:color w:val="auto"/>
                <w:w w:val="95"/>
              </w:rPr>
              <w:t>ULTRALIFE CORPORATION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20" w:type="dxa"/>
            <w:vAlign w:val="bottom"/>
          </w:tcPr>
          <w:p>
            <w:pPr>
              <w:jc w:val="center"/>
              <w:ind w:left="1530"/>
              <w:spacing w:after="0"/>
              <w:rPr>
                <w:sz w:val="20"/>
                <w:szCs w:val="20"/>
                <w:color w:val="auto"/>
              </w:rPr>
            </w:pPr>
            <w:r>
              <w:rPr>
                <w:rFonts w:ascii="Arial" w:cs="Arial" w:eastAsia="Arial" w:hAnsi="Arial"/>
                <w:sz w:val="18"/>
                <w:szCs w:val="18"/>
                <w:color w:val="auto"/>
                <w:w w:val="95"/>
              </w:rPr>
              <w:t>CONDENSED CONSOLIDATED BALANCE SHEETS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tcPr>
          <w:p>
            <w:pPr>
              <w:jc w:val="center"/>
              <w:ind w:left="1490"/>
              <w:spacing w:after="0"/>
              <w:rPr>
                <w:sz w:val="20"/>
                <w:szCs w:val="20"/>
                <w:color w:val="auto"/>
              </w:rPr>
            </w:pPr>
            <w:r>
              <w:rPr>
                <w:rFonts w:ascii="Arial" w:cs="Arial" w:eastAsia="Arial" w:hAnsi="Arial"/>
                <w:sz w:val="18"/>
                <w:szCs w:val="18"/>
                <w:color w:val="auto"/>
                <w:w w:val="90"/>
              </w:rPr>
              <w:t>(Dollars in Thousands, Except Per Share Amounts)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(Unaudited)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20" w:type="dxa"/>
            <w:vAlign w:val="bottom"/>
            <w:vMerge w:val="restart"/>
          </w:tcPr>
          <w:p>
            <w:pPr>
              <w:jc w:val="center"/>
              <w:ind w:right="790"/>
              <w:spacing w:after="0"/>
              <w:rPr>
                <w:sz w:val="20"/>
                <w:szCs w:val="20"/>
                <w:color w:val="auto"/>
              </w:rPr>
            </w:pPr>
            <w:r>
              <w:rPr>
                <w:rFonts w:ascii="Arial" w:cs="Arial" w:eastAsia="Arial" w:hAnsi="Arial"/>
                <w:sz w:val="18"/>
                <w:szCs w:val="18"/>
                <w:b w:val="1"/>
                <w:bCs w:val="1"/>
                <w:color w:val="auto"/>
                <w:w w:val="94"/>
              </w:rPr>
              <w:t>ASSETS</w:t>
            </w:r>
          </w:p>
        </w:tc>
        <w:tc>
          <w:tcPr>
            <w:tcW w:w="1120" w:type="dxa"/>
            <w:vAlign w:val="bottom"/>
            <w:gridSpan w:val="2"/>
          </w:tcPr>
          <w:p>
            <w:pPr>
              <w:spacing w:after="0"/>
              <w:rPr>
                <w:sz w:val="20"/>
                <w:szCs w:val="20"/>
                <w:color w:val="auto"/>
              </w:rPr>
            </w:pPr>
            <w:r>
              <w:rPr>
                <w:rFonts w:ascii="Arial" w:cs="Arial" w:eastAsia="Arial" w:hAnsi="Arial"/>
                <w:sz w:val="18"/>
                <w:szCs w:val="18"/>
                <w:color w:val="auto"/>
                <w:w w:val="93"/>
              </w:rPr>
              <w:t>September 29,</w:t>
            </w: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32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26"/>
        </w:trPr>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10,365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Trade accounts receivable (less allowance for doubtful accountsof $295 at September 29, 2013 and $322 at December 31,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2012)</w:t>
            </w:r>
          </w:p>
        </w:tc>
        <w:tc>
          <w:tcPr>
            <w:tcW w:w="8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15,571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27,829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Due from insurance company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60"/>
              <w:spacing w:after="0"/>
              <w:rPr>
                <w:sz w:val="20"/>
                <w:szCs w:val="20"/>
                <w:color w:val="auto"/>
              </w:rPr>
            </w:pPr>
            <w:r>
              <w:rPr>
                <w:rFonts w:ascii="Arial" w:cs="Arial" w:eastAsia="Arial" w:hAnsi="Arial"/>
                <w:sz w:val="18"/>
                <w:szCs w:val="18"/>
                <w:color w:val="auto"/>
              </w:rPr>
              <w:t>Deferred tax asset - current</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56,140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10,836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Security deposits and 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21,699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88,675</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320" w:type="dxa"/>
            <w:vAlign w:val="bottom"/>
            <w:shd w:val="clear" w:color="auto" w:fill="CCEEFF"/>
          </w:tcPr>
          <w:p>
            <w:pPr>
              <w:jc w:val="center"/>
              <w:ind w:right="77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60"/>
              <w:spacing w:after="0"/>
              <w:rPr>
                <w:sz w:val="20"/>
                <w:szCs w:val="20"/>
                <w:color w:val="auto"/>
              </w:rPr>
            </w:pPr>
            <w:r>
              <w:rPr>
                <w:rFonts w:ascii="Arial" w:cs="Arial" w:eastAsia="Arial" w:hAnsi="Arial"/>
                <w:sz w:val="18"/>
                <w:szCs w:val="18"/>
                <w:color w:val="auto"/>
              </w:rPr>
              <w:t>Current portion of debt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 liability - current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11,083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160"/>
              <w:spacing w:after="0"/>
              <w:rPr>
                <w:sz w:val="20"/>
                <w:szCs w:val="20"/>
                <w:color w:val="auto"/>
              </w:rPr>
            </w:pPr>
            <w:r>
              <w:rPr>
                <w:rFonts w:ascii="Arial" w:cs="Arial" w:eastAsia="Arial" w:hAnsi="Arial"/>
                <w:sz w:val="18"/>
                <w:szCs w:val="18"/>
                <w:color w:val="auto"/>
              </w:rPr>
              <w:t>Deferred tax liability - long-term</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gridSpan w:val="2"/>
          </w:tcPr>
          <w:p>
            <w:pPr>
              <w:ind w:left="3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Ultralife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20"/>
              <w:spacing w:after="0"/>
              <w:rPr>
                <w:sz w:val="20"/>
                <w:szCs w:val="20"/>
                <w:color w:val="auto"/>
              </w:rPr>
            </w:pPr>
            <w:r>
              <w:rPr>
                <w:rFonts w:ascii="Arial" w:cs="Arial" w:eastAsia="Arial" w:hAnsi="Arial"/>
                <w:sz w:val="18"/>
                <w:szCs w:val="18"/>
                <w:color w:val="auto"/>
              </w:rPr>
              <w:t>Preferred stock, par value $0.10 per share, authorized 1,000,000 shares; none issued or outstanding</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Common stock, par value $0.10 per share, authorized 40,000,000 shares; issued - 18,847,006 at September 29, 2013</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and 18,828,734 at December 31, 2012</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2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174,541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(94,873)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80,989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320"/>
              <w:spacing w:after="0"/>
              <w:rPr>
                <w:sz w:val="20"/>
                <w:szCs w:val="20"/>
                <w:color w:val="auto"/>
              </w:rPr>
            </w:pPr>
            <w:r>
              <w:rPr>
                <w:rFonts w:ascii="Arial" w:cs="Arial" w:eastAsia="Arial" w:hAnsi="Arial"/>
                <w:sz w:val="18"/>
                <w:szCs w:val="18"/>
                <w:color w:val="auto"/>
                <w:w w:val="92"/>
              </w:rPr>
              <w:t>Less --Treasury stock, at cost -- 1,372,757 shares at September 29, 2013 and 1,372,757 shares at December 31, 2012</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Ultralife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gridSpan w:val="2"/>
          </w:tcPr>
          <w:p>
            <w:pPr>
              <w:ind w:left="4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73,235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88,675</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210"/>
                    </a:xfrm>
                    <a:prstGeom prst="rect">
                      <a:avLst/>
                    </a:prstGeom>
                    <a:noFill/>
                  </pic:spPr>
                </pic:pic>
              </a:graphicData>
            </a:graphic>
          </wp:anchor>
        </w:drawing>
      </w:r>
    </w:p>
    <w:p>
      <w:pPr>
        <w:sectPr>
          <w:pgSz w:w="11900" w:h="16838" w:orient="portrait"/>
          <w:cols w:equalWidth="0" w:num="1">
            <w:col w:w="11420"/>
          </w:cols>
          <w:pgMar w:left="240" w:top="490" w:right="239" w:bottom="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right"/>
              <w:ind w:right="150"/>
              <w:spacing w:after="0"/>
              <w:rPr>
                <w:sz w:val="20"/>
                <w:szCs w:val="20"/>
                <w:color w:val="auto"/>
              </w:rPr>
            </w:pPr>
            <w:r>
              <w:rPr>
                <w:rFonts w:ascii="Arial" w:cs="Arial" w:eastAsia="Arial" w:hAnsi="Arial"/>
                <w:sz w:val="18"/>
                <w:szCs w:val="18"/>
                <w:color w:val="auto"/>
                <w:w w:val="89"/>
              </w:rPr>
              <w:t>Three Month Periods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right"/>
              <w:ind w:right="170"/>
              <w:spacing w:after="0"/>
              <w:rPr>
                <w:sz w:val="20"/>
                <w:szCs w:val="20"/>
                <w:color w:val="auto"/>
              </w:rPr>
            </w:pPr>
            <w:r>
              <w:rPr>
                <w:rFonts w:ascii="Arial" w:cs="Arial" w:eastAsia="Arial" w:hAnsi="Arial"/>
                <w:sz w:val="18"/>
                <w:szCs w:val="18"/>
                <w:color w:val="auto"/>
                <w:w w:val="92"/>
              </w:rPr>
              <w:t>Nine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880" w:type="dxa"/>
            <w:vAlign w:val="bottom"/>
            <w:gridSpan w:val="3"/>
          </w:tcPr>
          <w:p>
            <w:pPr>
              <w:ind w:left="1740"/>
              <w:spacing w:after="0"/>
              <w:rPr>
                <w:sz w:val="20"/>
                <w:szCs w:val="20"/>
                <w:color w:val="auto"/>
              </w:rPr>
            </w:pPr>
            <w:r>
              <w:rPr>
                <w:rFonts w:ascii="Arial" w:cs="Arial" w:eastAsia="Arial" w:hAnsi="Arial"/>
                <w:sz w:val="18"/>
                <w:szCs w:val="18"/>
                <w:color w:val="auto"/>
                <w:w w:val="94"/>
              </w:rPr>
              <w:t>September 29,</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September 30,</w:t>
            </w:r>
          </w:p>
        </w:tc>
        <w:tc>
          <w:tcPr>
            <w:tcW w:w="1240" w:type="dxa"/>
            <w:vAlign w:val="bottom"/>
            <w:gridSpan w:val="3"/>
          </w:tcPr>
          <w:p>
            <w:pPr>
              <w:ind w:left="100"/>
              <w:spacing w:after="0"/>
              <w:rPr>
                <w:sz w:val="20"/>
                <w:szCs w:val="20"/>
                <w:color w:val="auto"/>
              </w:rPr>
            </w:pPr>
            <w:r>
              <w:rPr>
                <w:rFonts w:ascii="Arial" w:cs="Arial" w:eastAsia="Arial" w:hAnsi="Arial"/>
                <w:sz w:val="18"/>
                <w:szCs w:val="18"/>
                <w:color w:val="auto"/>
                <w:w w:val="94"/>
              </w:rPr>
              <w:t>September 29,</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4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20,361</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26,181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58,659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14,234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41,631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8,219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17,028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w w:val="90"/>
              </w:rPr>
              <w:t>Research and development (including $56, $65, $167 and $195,</w:t>
            </w:r>
          </w:p>
        </w:tc>
        <w:tc>
          <w:tcPr>
            <w:tcW w:w="18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respectively, of</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20"/>
              <w:spacing w:after="0"/>
              <w:rPr>
                <w:sz w:val="20"/>
                <w:szCs w:val="20"/>
                <w:color w:val="auto"/>
              </w:rPr>
            </w:pPr>
            <w:r>
              <w:rPr>
                <w:rFonts w:ascii="Arial" w:cs="Arial" w:eastAsia="Arial" w:hAnsi="Arial"/>
                <w:sz w:val="18"/>
                <w:szCs w:val="18"/>
                <w:color w:val="auto"/>
              </w:rPr>
              <w:t>amortization of intangible assets)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Selling, general, and administrative (including $46, $57, $134 and $177, respectively,</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 amortization of intangible assets)</w:t>
            </w: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5,475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17,875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Miscellaneous</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w w:val="89"/>
              </w:rPr>
              <w:t>Income (loss) from continuing operations before income taxes</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provision (benefit)-current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provision-deferred</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Total income tax provision (benefit)</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 net of tax</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w w:val="96"/>
              </w:rPr>
              <w:t>Comprehensive income (loss) loss attributable to Ultralife</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1,475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basic</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Total</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diluted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840" w:type="dxa"/>
            <w:vAlign w:val="bottom"/>
            <w:gridSpan w:val="2"/>
          </w:tcPr>
          <w:p>
            <w:pPr>
              <w:ind w:left="174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17,467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17,418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17,461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90" w:right="239" w:bottom="73"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right"/>
              <w:ind w:right="170"/>
              <w:spacing w:after="0"/>
              <w:rPr>
                <w:sz w:val="20"/>
                <w:szCs w:val="20"/>
                <w:color w:val="auto"/>
              </w:rPr>
            </w:pPr>
            <w:r>
              <w:rPr>
                <w:rFonts w:ascii="Arial" w:cs="Arial" w:eastAsia="Arial" w:hAnsi="Arial"/>
                <w:sz w:val="18"/>
                <w:szCs w:val="18"/>
                <w:color w:val="auto"/>
                <w:w w:val="92"/>
              </w:rPr>
              <w:t>Nine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September 29,</w:t>
            </w: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continuing operations to net cash provided from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Depreciation and amortization of financing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Loss on long-lived asset impairment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Loss on long-lived asset disposal and write-offs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Changes in deferred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Due from insurance company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 from continuing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cash used in operating activities from discontinued operations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investing activities from discontinued operations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cash provided from financing activities from continuing operations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 from discontinued operations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cash provided from financing activities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10,365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142875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jc w:val="both"/>
        <w:ind w:left="240"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Ultralife Corporation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twelve month period ended December 31, 2012.</w:t>
      </w:r>
    </w:p>
    <w:p>
      <w:pPr>
        <w:spacing w:after="0" w:line="216" w:lineRule="exact"/>
        <w:rPr>
          <w:sz w:val="20"/>
          <w:szCs w:val="20"/>
          <w:color w:val="auto"/>
        </w:rPr>
      </w:pPr>
    </w:p>
    <w:p>
      <w:pPr>
        <w:jc w:val="both"/>
        <w:ind w:left="240" w:firstLine="324"/>
        <w:spacing w:after="0" w:line="277"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52" w:lineRule="exact"/>
        <w:rPr>
          <w:sz w:val="20"/>
          <w:szCs w:val="20"/>
          <w:color w:val="auto"/>
        </w:rPr>
      </w:pPr>
    </w:p>
    <w:p>
      <w:pPr>
        <w:jc w:val="both"/>
        <w:ind w:left="240" w:firstLine="324"/>
        <w:spacing w:after="0" w:line="264"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 DISPOSITIONS AND EXIT ACTIVITIES</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Ultralife Batteries UK, Ltd.</w:t>
      </w:r>
    </w:p>
    <w:p>
      <w:pPr>
        <w:spacing w:after="0" w:line="256" w:lineRule="exact"/>
        <w:rPr>
          <w:sz w:val="20"/>
          <w:szCs w:val="20"/>
          <w:color w:val="auto"/>
        </w:rPr>
      </w:pPr>
    </w:p>
    <w:p>
      <w:pPr>
        <w:jc w:val="both"/>
        <w:ind w:left="240" w:firstLine="324"/>
        <w:spacing w:after="0" w:line="264" w:lineRule="auto"/>
        <w:rPr>
          <w:sz w:val="20"/>
          <w:szCs w:val="20"/>
          <w:color w:val="auto"/>
        </w:rPr>
      </w:pPr>
      <w:r>
        <w:rPr>
          <w:rFonts w:ascii="Arial" w:cs="Arial" w:eastAsia="Arial" w:hAnsi="Arial"/>
          <w:sz w:val="18"/>
          <w:szCs w:val="18"/>
          <w:color w:val="auto"/>
        </w:rPr>
        <w:t>During the fourth quarter of 2012, we elected not to renew the lease for our U.K. manufacturing facility which expired on March 24, 2013 (the “U.K. Facility Lease”), and instead relocated our sales and services operations to a smaller facility. As a result of this decision, we were required to restore the facility back to its original condition pursuant to the terms of the U.K. Facility Lease.</w:t>
      </w:r>
    </w:p>
    <w:p>
      <w:pPr>
        <w:spacing w:after="0" w:line="208" w:lineRule="exact"/>
        <w:rPr>
          <w:sz w:val="20"/>
          <w:szCs w:val="20"/>
          <w:color w:val="auto"/>
        </w:rPr>
      </w:pPr>
    </w:p>
    <w:p>
      <w:pPr>
        <w:jc w:val="both"/>
        <w:ind w:left="240" w:firstLine="324"/>
        <w:spacing w:after="0" w:line="276" w:lineRule="auto"/>
        <w:rPr>
          <w:sz w:val="20"/>
          <w:szCs w:val="20"/>
          <w:color w:val="auto"/>
        </w:rPr>
      </w:pPr>
      <w:r>
        <w:rPr>
          <w:rFonts w:ascii="Arial" w:cs="Arial" w:eastAsia="Arial" w:hAnsi="Arial"/>
          <w:sz w:val="17"/>
          <w:szCs w:val="17"/>
          <w:color w:val="auto"/>
        </w:rPr>
        <w:t>The costs associated with the lease exit were not determinable until late in the fourth quarter of 2012. Accordingly, we recorded a liability as of the end of 2012 for our estimate of the costs to return the facility to its original condition as well as other related expenses. A total of $228 was charged to selling, general, and administrative costs related to operations transferred to our facilities in Newark, NY, and an additional $815 was recorded as discontinued operations for those operations that were not transferred to our facilities in Newark, NY. The termination of the U.K. Facility Lease did not result in any employee reductions or other termination costs, with the exception of the aforementioned restoration costs.</w:t>
      </w:r>
    </w:p>
    <w:p>
      <w:pPr>
        <w:spacing w:after="0" w:line="200" w:lineRule="exact"/>
        <w:rPr>
          <w:sz w:val="20"/>
          <w:szCs w:val="20"/>
          <w:color w:val="auto"/>
        </w:rPr>
      </w:pPr>
    </w:p>
    <w:p>
      <w:pPr>
        <w:jc w:val="both"/>
        <w:ind w:left="240" w:firstLine="324"/>
        <w:spacing w:after="0" w:line="264" w:lineRule="auto"/>
        <w:rPr>
          <w:sz w:val="20"/>
          <w:szCs w:val="20"/>
          <w:color w:val="auto"/>
        </w:rPr>
      </w:pPr>
      <w:r>
        <w:rPr>
          <w:rFonts w:ascii="Arial" w:cs="Arial" w:eastAsia="Arial" w:hAnsi="Arial"/>
          <w:sz w:val="18"/>
          <w:szCs w:val="18"/>
          <w:color w:val="auto"/>
        </w:rPr>
        <w:t>As a result, the results of presentation herein exclude the discontinued Ultralife Batteries UK, Ltd. operations from the results of continuing operations. The following amounts have been reported as discontinued operations for the three and nine month periods ending September 29, 2013 and September 30, 2012:</w:t>
      </w: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340" w:top="36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w w:val="89"/>
              </w:rPr>
              <w:t>Three Month Periods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w w:val="92"/>
              </w:rPr>
              <w:t>Nine Month Periods Ended</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September 29,</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4"/>
              </w:rPr>
              <w:t>September 30,</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4"/>
              </w:rPr>
              <w:t>September 29,</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w w:val="94"/>
              </w:rPr>
              <w:t>September 30,</w:t>
            </w: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Gain from discontinued operations</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0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Gain from discontinued operations, net of tax</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cost of returning our former UK facility back to its original condition was less than our estimate of the cost made during the fourth quarter of 2012. As a result, we recognized the difference as a gain from discontinued operations during the first quarter of 2013.</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RedBlack Communications, Inc.</w:t>
      </w:r>
    </w:p>
    <w:p>
      <w:pPr>
        <w:spacing w:after="0" w:line="256" w:lineRule="exact"/>
        <w:rPr>
          <w:sz w:val="20"/>
          <w:szCs w:val="20"/>
          <w:color w:val="auto"/>
        </w:rPr>
      </w:pPr>
    </w:p>
    <w:p>
      <w:pPr>
        <w:jc w:val="both"/>
        <w:ind w:left="340" w:firstLine="648"/>
        <w:spacing w:after="0" w:line="312" w:lineRule="auto"/>
        <w:rPr>
          <w:sz w:val="20"/>
          <w:szCs w:val="20"/>
          <w:color w:val="auto"/>
        </w:rPr>
      </w:pPr>
      <w:r>
        <w:rPr>
          <w:rFonts w:ascii="Arial" w:cs="Arial" w:eastAsia="Arial" w:hAnsi="Arial"/>
          <w:sz w:val="16"/>
          <w:szCs w:val="16"/>
          <w:color w:val="auto"/>
        </w:rPr>
        <w:t>On February 16, 2012, we announced our intention to divest our RedBlack Communications, Inc. (“RedBlack”) business in 2012. RedBlack was a wholly-owned subsidiary of ours based in Hollywood, Maryland, that designed, integrated and fielded mobile, modular and fixed site communication and electronic systems. We determined that RedBlack offered limited opportunities to achieve the operating criteria thresholds of our business model.</w:t>
      </w:r>
    </w:p>
    <w:p>
      <w:pPr>
        <w:spacing w:after="0" w:line="174"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On September 28, 2012 (the “Closing Date”), we entered into and closed a Stock Purchase Agreement (the “Agreement”) to sell 100% of our capital stock in RedBlack to BCF Solutions, Inc. In exchange for the sale of RedBlack, we received $2,533 as a purchase price, comprised of cash at closing in the amount of $2,133, funds held in escrow for up to one year in the amount of $250, as well as $150 to be available for RedBlack employee retention programs. In addition, there was a customary post-closing working capital adjustment to the purchase price of $125, partially offset by other adjustments, that resulted in a loss of $118 that was recorded in the second quarter of 2013.</w:t>
      </w:r>
    </w:p>
    <w:p>
      <w:pPr>
        <w:spacing w:after="0" w:line="20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Agreement contains customary representations and warranties that will survive the Closing Date for a period of two or three years. The Agreement also contains customary indemnification for breaches of the representations and warranties contained in the Agreement.</w:t>
      </w:r>
    </w:p>
    <w:p>
      <w:pPr>
        <w:spacing w:after="0" w:line="19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Agreement contains restrictive covenants that continue for two years from the Closing Date, under which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w:t>
      </w:r>
    </w:p>
    <w:p>
      <w:pPr>
        <w:spacing w:after="0" w:line="214"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Commencing with the first quarter of 2012, the results of the RedBlack operations and related divestiture costs have been reported as a discontinued operation.</w:t>
      </w:r>
    </w:p>
    <w:p>
      <w:pPr>
        <w:spacing w:after="0" w:line="197" w:lineRule="exact"/>
        <w:rPr>
          <w:sz w:val="20"/>
          <w:szCs w:val="20"/>
          <w:color w:val="auto"/>
        </w:rPr>
      </w:pPr>
    </w:p>
    <w:p>
      <w:pPr>
        <w:jc w:val="both"/>
        <w:ind w:left="340" w:firstLine="324"/>
        <w:spacing w:after="0" w:line="342" w:lineRule="auto"/>
        <w:rPr>
          <w:sz w:val="20"/>
          <w:szCs w:val="20"/>
          <w:color w:val="auto"/>
        </w:rPr>
      </w:pPr>
      <w:r>
        <w:rPr>
          <w:rFonts w:ascii="Arial" w:cs="Arial" w:eastAsia="Arial" w:hAnsi="Arial"/>
          <w:sz w:val="16"/>
          <w:szCs w:val="16"/>
          <w:color w:val="auto"/>
        </w:rPr>
        <w:t>As a result, the presentation of results herein excludes the RedBlack operations from the results of continuing operations. The following amounts have been reported as discontinued operations for the three and nine month periods ended September 29, 2013 and September 30, 2012:</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3"/>
          </w:tcPr>
          <w:p>
            <w:pPr>
              <w:jc w:val="right"/>
              <w:ind w:right="170"/>
              <w:spacing w:after="0"/>
              <w:rPr>
                <w:sz w:val="20"/>
                <w:szCs w:val="20"/>
                <w:color w:val="auto"/>
              </w:rPr>
            </w:pPr>
            <w:r>
              <w:rPr>
                <w:rFonts w:ascii="Arial" w:cs="Arial" w:eastAsia="Arial" w:hAnsi="Arial"/>
                <w:sz w:val="18"/>
                <w:szCs w:val="18"/>
                <w:color w:val="auto"/>
                <w:w w:val="89"/>
              </w:rPr>
              <w:t>Three Month Periods Ended</w:t>
            </w:r>
          </w:p>
        </w:tc>
        <w:tc>
          <w:tcPr>
            <w:tcW w:w="200" w:type="dxa"/>
            <w:vAlign w:val="bottom"/>
          </w:tcPr>
          <w:p>
            <w:pPr>
              <w:spacing w:after="0"/>
              <w:rPr>
                <w:sz w:val="18"/>
                <w:szCs w:val="18"/>
                <w:color w:val="auto"/>
              </w:rPr>
            </w:pPr>
          </w:p>
        </w:tc>
        <w:tc>
          <w:tcPr>
            <w:tcW w:w="2260" w:type="dxa"/>
            <w:vAlign w:val="bottom"/>
            <w:gridSpan w:val="3"/>
          </w:tcPr>
          <w:p>
            <w:pPr>
              <w:jc w:val="right"/>
              <w:ind w:right="170"/>
              <w:spacing w:after="0"/>
              <w:rPr>
                <w:sz w:val="20"/>
                <w:szCs w:val="20"/>
                <w:color w:val="auto"/>
              </w:rPr>
            </w:pPr>
            <w:r>
              <w:rPr>
                <w:rFonts w:ascii="Arial" w:cs="Arial" w:eastAsia="Arial" w:hAnsi="Arial"/>
                <w:sz w:val="18"/>
                <w:szCs w:val="18"/>
                <w:color w:val="auto"/>
                <w:w w:val="92"/>
              </w:rPr>
              <w:t>Nine Month Periods Ended</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4"/>
              </w:rPr>
              <w:t>September 29,</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6"/>
              </w:rPr>
              <w:t>September 30,</w:t>
            </w:r>
          </w:p>
        </w:tc>
        <w:tc>
          <w:tcPr>
            <w:tcW w:w="1240" w:type="dxa"/>
            <w:vAlign w:val="bottom"/>
            <w:gridSpan w:val="2"/>
          </w:tcPr>
          <w:p>
            <w:pPr>
              <w:ind w:left="80"/>
              <w:spacing w:after="0"/>
              <w:rPr>
                <w:sz w:val="20"/>
                <w:szCs w:val="20"/>
                <w:color w:val="auto"/>
              </w:rPr>
            </w:pPr>
            <w:r>
              <w:rPr>
                <w:rFonts w:ascii="Arial" w:cs="Arial" w:eastAsia="Arial" w:hAnsi="Arial"/>
                <w:sz w:val="18"/>
                <w:szCs w:val="18"/>
                <w:color w:val="auto"/>
                <w:w w:val="96"/>
              </w:rPr>
              <w:t>September 29,</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w w:val="94"/>
              </w:rPr>
              <w:t>September 30,</w:t>
            </w: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1,267</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3,404</w:t>
            </w: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Gain (loss) from discontinued operations</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Gain (loss) from discontinued operations, net of tax</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 INVENTORIES</w:t>
      </w:r>
    </w:p>
    <w:p>
      <w:pPr>
        <w:spacing w:after="0" w:line="252" w:lineRule="exact"/>
        <w:rPr>
          <w:sz w:val="20"/>
          <w:szCs w:val="20"/>
          <w:color w:val="auto"/>
        </w:rPr>
      </w:pPr>
    </w:p>
    <w:p>
      <w:pPr>
        <w:ind w:left="340" w:right="100" w:firstLine="324"/>
        <w:spacing w:after="0" w:line="277" w:lineRule="auto"/>
        <w:rPr>
          <w:sz w:val="20"/>
          <w:szCs w:val="20"/>
          <w:color w:val="auto"/>
        </w:rPr>
      </w:pPr>
      <w:r>
        <w:rPr>
          <w:rFonts w:ascii="Arial" w:cs="Arial" w:eastAsia="Arial" w:hAnsi="Arial"/>
          <w:sz w:val="18"/>
          <w:szCs w:val="18"/>
          <w:color w:val="auto"/>
        </w:rPr>
        <w:t>Inventories are stated at the lower of cost or market with cost determined under the first-in, first-out (FIFO) method. The composition of inventories was: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September 29, 2013</w:t>
            </w: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December 31, 2012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16,458</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15,023</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Work in process</w:t>
            </w: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3,353</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8,018</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10,484</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27,829</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1"/>
        </w:trPr>
        <w:tc>
          <w:tcPr>
            <w:tcW w:w="8260" w:type="dxa"/>
            <w:vAlign w:val="bottom"/>
            <w:vMerge w:val="restart"/>
          </w:tcPr>
          <w:p>
            <w:pPr>
              <w:ind w:left="100"/>
              <w:spacing w:after="0"/>
              <w:rPr>
                <w:sz w:val="20"/>
                <w:szCs w:val="20"/>
                <w:color w:val="auto"/>
              </w:rPr>
            </w:pPr>
            <w:r>
              <w:rPr>
                <w:rFonts w:ascii="Arial" w:cs="Arial" w:eastAsia="Arial" w:hAnsi="Arial"/>
                <w:sz w:val="18"/>
                <w:szCs w:val="18"/>
                <w:color w:val="auto"/>
              </w:rPr>
              <w:t>4. PROPERTY, PLANT AND EQUIPMENT</w:t>
            </w: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ind w:left="660"/>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September 29, 2013</w:t>
            </w: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December 31, 2012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7,407</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47,018</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46,606</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1,947</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4,209</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1,389</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62,093</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61,298</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51,257</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48,883</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10,836</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Depreciation expense for property, plant and equipment was $720 and $2,279 for the three and nine month periods ended September 29, 2013, respectively, and $800 and $2,460 for the three and nine month periods ended September 30, 2012, respectively.</w:t>
      </w:r>
    </w:p>
    <w:p>
      <w:pPr>
        <w:spacing w:after="0" w:line="19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In the second quarter of 2013, we received a termination notice from the New York State Energy Research and Development Authority (“NYSERDA”) regarding our collaborative agreement to develop and demonstrate a large hybrid grid-connected energy storage system. Pursuant to the terms of the agreement, NYSERDA will reimburse us for certain construction and project research and development costs incurred through the date of termination. Construction costs are reflected in the property, plant and equipment, net line on our Condensed Consolidated Balance Sheets as of September 29, 2013 and December 31, 2012. Project research and development costs are reflected in the research and development line on our Condensed Consolidated Statements of Comprehensive Income (Loss) the three and nine month periods ended September 29, 2013 and September 30, 2012.</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ind w:left="340" w:firstLine="324"/>
        <w:spacing w:after="0" w:line="276" w:lineRule="auto"/>
        <w:rPr>
          <w:sz w:val="20"/>
          <w:szCs w:val="20"/>
          <w:color w:val="auto"/>
        </w:rPr>
      </w:pPr>
      <w:r>
        <w:rPr>
          <w:rFonts w:ascii="Arial" w:cs="Arial" w:eastAsia="Arial" w:hAnsi="Arial"/>
          <w:sz w:val="17"/>
          <w:szCs w:val="17"/>
          <w:color w:val="auto"/>
        </w:rPr>
        <w:t>We plan to continue this project internally with smaller form batteries which provide greater opportunity and applicability in the markets we serve. However, due to the termination of the NYSERDA agreement and the resulting change in scope of the project, we performed a review of the details of costs capitalized in connection with this project to determine their future use. Those costs without an identifiable future use were written off in the second quarter of 2013 and totaled $56. The remaining capitalized costs were subjected to an impairment test based upon forecasted future cash flows, in accordance with current accounting guidance. No impairment was taken on the remaining capitalized costs.</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 GOODWILL, INTANGIBLE ASSETS AND LONG TERM ASSETS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goodwill activity by segment for the three month periods ended September 29, 2013 and September 30,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Battery &amp;</w:t>
            </w:r>
          </w:p>
        </w:tc>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Communications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Discontinued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Energy Products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Operations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4,838</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Sale of RedBlack Communications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Effect of foreign currency Translations</w:t>
            </w:r>
          </w:p>
        </w:tc>
        <w:tc>
          <w:tcPr>
            <w:tcW w:w="1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at September 30, 2012</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4,844</w:t>
            </w:r>
          </w:p>
        </w:tc>
        <w:tc>
          <w:tcPr>
            <w:tcW w:w="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Effect of foreign currency Translations</w:t>
            </w:r>
          </w:p>
        </w:tc>
        <w:tc>
          <w:tcPr>
            <w:tcW w:w="1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4,851</w:t>
            </w:r>
          </w:p>
        </w:tc>
        <w:tc>
          <w:tcPr>
            <w:tcW w:w="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Effect of foreign currency translations</w:t>
            </w:r>
          </w:p>
        </w:tc>
        <w:tc>
          <w:tcPr>
            <w:tcW w:w="1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at September 29, 2013</w:t>
            </w:r>
          </w:p>
        </w:tc>
        <w:tc>
          <w:tcPr>
            <w:tcW w:w="212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4,912</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16,405</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b. Intangible Assets</w:t>
            </w:r>
          </w:p>
        </w:tc>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540" w:type="dxa"/>
            <w:vAlign w:val="bottom"/>
            <w:gridSpan w:val="2"/>
          </w:tcPr>
          <w:p>
            <w:pPr>
              <w:spacing w:after="0"/>
              <w:rPr>
                <w:sz w:val="20"/>
                <w:szCs w:val="20"/>
                <w:color w:val="auto"/>
              </w:rPr>
            </w:pPr>
            <w:r>
              <w:rPr>
                <w:rFonts w:ascii="Arial" w:cs="Arial" w:eastAsia="Arial" w:hAnsi="Arial"/>
                <w:sz w:val="18"/>
                <w:szCs w:val="18"/>
                <w:color w:val="auto"/>
              </w:rPr>
              <w:t>The composition of intangible assets was:</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color w:val="auto"/>
                <w:w w:val="96"/>
              </w:rPr>
              <w:t>September 29, 2013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Accumulated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460" w:type="dxa"/>
            <w:vAlign w:val="bottom"/>
            <w:gridSpan w:val="3"/>
          </w:tcPr>
          <w:p>
            <w:pPr>
              <w:ind w:left="2540"/>
              <w:spacing w:after="0"/>
              <w:rPr>
                <w:sz w:val="20"/>
                <w:szCs w:val="20"/>
                <w:color w:val="auto"/>
              </w:rPr>
            </w:pPr>
            <w:r>
              <w:rPr>
                <w:rFonts w:ascii="Arial" w:cs="Arial" w:eastAsia="Arial" w:hAnsi="Arial"/>
                <w:sz w:val="18"/>
                <w:szCs w:val="18"/>
                <w:color w:val="auto"/>
                <w:w w:val="84"/>
              </w:rPr>
              <w:t>Gross Assets</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80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Patents and technology</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4,508</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3,882</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80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552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December 31, 2012</w:t>
            </w: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Accumulated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460" w:type="dxa"/>
            <w:vAlign w:val="bottom"/>
            <w:gridSpan w:val="3"/>
          </w:tcPr>
          <w:p>
            <w:pPr>
              <w:ind w:left="2540"/>
              <w:spacing w:after="0"/>
              <w:rPr>
                <w:sz w:val="20"/>
                <w:szCs w:val="20"/>
                <w:color w:val="auto"/>
              </w:rPr>
            </w:pPr>
            <w:r>
              <w:rPr>
                <w:rFonts w:ascii="Arial" w:cs="Arial" w:eastAsia="Arial" w:hAnsi="Arial"/>
                <w:sz w:val="18"/>
                <w:szCs w:val="18"/>
                <w:color w:val="auto"/>
                <w:w w:val="84"/>
              </w:rPr>
              <w:t>Gross Assets</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80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Patents and technology</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4,495</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3,702</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5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8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80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Amortization expense for intangible assets was $102 and $301 for the three and nine month periods ended September 29, 2013, respectively, and $122 and $372 for the three and nine month periods ended September 30, 2012, respectively.</w:t>
      </w:r>
    </w:p>
    <w:p>
      <w:pPr>
        <w:spacing w:after="0" w:line="17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change in the cost value of total intangible assets from December 31, 2012 to September 29, 2013 is a result of the effect of foreign currency translations.</w:t>
      </w:r>
    </w:p>
    <w:p>
      <w:pPr>
        <w:spacing w:after="0" w:line="19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In accordance with the Financial Accounting Standards Board’s (“FASB”) guidance for intangible assets other than goodwill, we do not amortize intangible assets with indefinite lives, but instead measure these assets for impairment at least annually, or when events indicate that impairment may exist. We amortize intangible assets that have definite lives so that the economic benefits of the intangible assets are being utilized over their weighted-average estimated useful life.</w:t>
      </w:r>
    </w:p>
    <w:p>
      <w:pPr>
        <w:spacing w:after="0" w:line="187"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The impairment analysis of an indefinite-lived intangible asset consists first of a review of various qualitative factors of the identified indefinite-lived intangible asset to determine whether it is more likely than not that its fair value exceeds its carrying amount. This review includes, but is not limited to, an evaluation of the macroeconomic, industry or market, and cost factors relevant to the intangible asset as well as financial performance and entity or reporting unit events that may affect the value of the intangible asset. If this review leads to the determination that it is more likely than not that the fair value of the indefinite-lived intangible asset is greater than its carrying amount, further impairment testing is not required. However, if this review cannot support a conclusion that it is more likely than not that the fair value of the indefinite-lived intangible asset is greater than its carrying amount, or at our discretion, quantitative impairment steps are performed.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jc w:val="both"/>
        <w:ind w:left="340" w:firstLine="324"/>
        <w:spacing w:after="0" w:line="312" w:lineRule="auto"/>
        <w:rPr>
          <w:sz w:val="20"/>
          <w:szCs w:val="20"/>
          <w:color w:val="auto"/>
        </w:rPr>
      </w:pPr>
      <w:r>
        <w:rPr>
          <w:rFonts w:ascii="Arial" w:cs="Arial" w:eastAsia="Arial" w:hAnsi="Arial"/>
          <w:sz w:val="16"/>
          <w:szCs w:val="16"/>
          <w:color w:val="auto"/>
        </w:rPr>
        <w:t>The impairment test for intangible assets with indefinite lives consists of a comparison of the fair value of the intangible assets with their carrying amounts. If the carrying value of the intangible assets exceeds the fair value, an impairment loss shall be recognized in an amount equal to that excess. We determine the fair value of our intangibles assets with indefinite lives (trademarks) through a royalty relief income valuation approach.</w:t>
      </w:r>
    </w:p>
    <w:p>
      <w:pPr>
        <w:spacing w:after="0" w:line="174"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Due to the general slowdown in the timing of order processing resulting from the U.S. Government furloughs, shutdown and budget uncertainties, we accelerated our impairment test for our McDowell Communications Systems trademark from October 1, 2013 to September 29, 2013. Based upon the results of that review, we have determined that there is no impairment of the McDowell Communications Systems trademark. We will continue to monitor this trademark closely and will update our testing during the fourth quarter.</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 Long-Term Assets</w:t>
      </w:r>
    </w:p>
    <w:p>
      <w:pPr>
        <w:spacing w:after="0" w:line="225"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 the first quarter of this year, we had a sale to a customer of our Communications Systems segment of which $2,031, net of interest, had a payment term of greater than one year. This sale was in order to facilitate this customer’s ability to support a soldier modernization initiative. We expect this receivable to be fully collected within two years. Currently $267 is classified as long-term.</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 DEBT</w:t>
      </w:r>
    </w:p>
    <w:p>
      <w:pPr>
        <w:spacing w:after="0" w:line="252"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On May 24, 2013, we entered into a Revolving Credit, Guaranty and Security Agreement (the “Credit Agreement”) and related security agreements with PNC Bank, National Association (“PNC”) to establish a $20 million secured asset-based revolving credit facility that includes a $1 million letter of credit subfacility (the “Credit Facility”). The Credit Agreement provides that the Credit Facility may be increased with the PNC’s concurrence to $35 million prior to the last six months of the term and expires on May 24, 2017. The Credit Facility replaces the prior credit facility with RBS Business Capital, a division of RBS Asset Finance, Inc., which expired in accordance with its terms on May 15, 2013, with no debt outstanding.</w:t>
      </w:r>
    </w:p>
    <w:p>
      <w:pPr>
        <w:spacing w:after="0" w:line="185"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214"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the Company and listed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280" w:type="dxa"/>
            <w:vAlign w:val="bottom"/>
          </w:tcPr>
          <w:p>
            <w:pPr>
              <w:jc w:val="center"/>
              <w:ind w:left="1130"/>
              <w:spacing w:after="0"/>
              <w:rPr>
                <w:sz w:val="20"/>
                <w:szCs w:val="20"/>
                <w:color w:val="auto"/>
              </w:rPr>
            </w:pPr>
            <w:r>
              <w:rPr>
                <w:rFonts w:ascii="Arial" w:cs="Arial" w:eastAsia="Arial" w:hAnsi="Arial"/>
                <w:sz w:val="18"/>
                <w:szCs w:val="18"/>
                <w:color w:val="auto"/>
                <w:w w:val="95"/>
              </w:rPr>
              <w:t>Applicable Margin for</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jc w:val="center"/>
              <w:ind w:left="1230"/>
              <w:spacing w:after="0"/>
              <w:rPr>
                <w:sz w:val="20"/>
                <w:szCs w:val="20"/>
                <w:color w:val="auto"/>
              </w:rPr>
            </w:pPr>
            <w:r>
              <w:rPr>
                <w:rFonts w:ascii="Arial" w:cs="Arial" w:eastAsia="Arial" w:hAnsi="Arial"/>
                <w:sz w:val="18"/>
                <w:szCs w:val="18"/>
                <w:color w:val="auto"/>
                <w:w w:val="91"/>
              </w:rPr>
              <w:t>Quarterly Average Undrawn</w:t>
            </w:r>
          </w:p>
        </w:tc>
        <w:tc>
          <w:tcPr>
            <w:tcW w:w="3280" w:type="dxa"/>
            <w:vAlign w:val="bottom"/>
          </w:tcPr>
          <w:p>
            <w:pPr>
              <w:jc w:val="center"/>
              <w:ind w:left="1150"/>
              <w:spacing w:after="0"/>
              <w:rPr>
                <w:sz w:val="20"/>
                <w:szCs w:val="20"/>
                <w:color w:val="auto"/>
              </w:rPr>
            </w:pPr>
            <w:r>
              <w:rPr>
                <w:rFonts w:ascii="Arial" w:cs="Arial" w:eastAsia="Arial" w:hAnsi="Arial"/>
                <w:sz w:val="18"/>
                <w:szCs w:val="18"/>
                <w:color w:val="auto"/>
                <w:w w:val="89"/>
              </w:rPr>
              <w:t>Alternate Base Rate</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w w:val="98"/>
              </w:rPr>
              <w:t>Applicable Margin for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Borders>
              <w:bottom w:val="single" w:sz="8" w:color="auto"/>
            </w:tcBorders>
          </w:tcPr>
          <w:p>
            <w:pPr>
              <w:jc w:val="center"/>
              <w:ind w:left="1230"/>
              <w:spacing w:after="0"/>
              <w:rPr>
                <w:sz w:val="20"/>
                <w:szCs w:val="20"/>
                <w:color w:val="auto"/>
              </w:rPr>
            </w:pPr>
            <w:r>
              <w:rPr>
                <w:rFonts w:ascii="Arial" w:cs="Arial" w:eastAsia="Arial" w:hAnsi="Arial"/>
                <w:sz w:val="18"/>
                <w:szCs w:val="18"/>
                <w:color w:val="auto"/>
                <w:w w:val="98"/>
              </w:rPr>
              <w:t>Borrowing Availability</w:t>
            </w:r>
          </w:p>
        </w:tc>
        <w:tc>
          <w:tcPr>
            <w:tcW w:w="328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89"/>
              </w:rPr>
              <w:t>Loans</w:t>
            </w: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LIBOR Rate Loans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Greater than $8,000,000</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$5,000,000 up to $8,000,000</w:t>
            </w:r>
          </w:p>
        </w:tc>
        <w:tc>
          <w:tcPr>
            <w:tcW w:w="3280" w:type="dxa"/>
            <w:vAlign w:val="bottom"/>
          </w:tcPr>
          <w:p>
            <w:pPr>
              <w:jc w:val="right"/>
              <w:spacing w:after="0"/>
              <w:rPr>
                <w:sz w:val="20"/>
                <w:szCs w:val="20"/>
                <w:color w:val="auto"/>
              </w:rPr>
            </w:pPr>
            <w:r>
              <w:rPr>
                <w:rFonts w:ascii="Arial" w:cs="Arial" w:eastAsia="Arial" w:hAnsi="Arial"/>
                <w:sz w:val="18"/>
                <w:szCs w:val="18"/>
                <w:color w:val="auto"/>
              </w:rPr>
              <w:t>1.25%</w:t>
            </w:r>
          </w:p>
        </w:tc>
        <w:tc>
          <w:tcPr>
            <w:tcW w:w="18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than $5,000,000</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We must pay a fee on its unused availability of 0.375% per annum and customary letter of credit fees in addition to various collateral monitoring and related fees and expenses.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jc w:val="both"/>
        <w:ind w:left="240" w:firstLine="324"/>
        <w:spacing w:after="0" w:line="264" w:lineRule="auto"/>
        <w:rPr>
          <w:sz w:val="20"/>
          <w:szCs w:val="20"/>
          <w:color w:val="auto"/>
        </w:rPr>
      </w:pPr>
      <w:r>
        <w:rPr>
          <w:rFonts w:ascii="Arial" w:cs="Arial" w:eastAsia="Arial" w:hAnsi="Arial"/>
          <w:sz w:val="18"/>
          <w:szCs w:val="18"/>
          <w:color w:val="auto"/>
        </w:rPr>
        <w:t>In addition to customary affirmative and negative covenants, we must maintain a fixed charge coverage ratio as defined in the Credit Agreement of 1:15 to 1:00 tested quarterly for the four-quarters then ended. As of September 29, 2013 we were in compliance with all covenants. The Credit Facility is secured by substantially all our assets.</w:t>
      </w:r>
    </w:p>
    <w:p>
      <w:pPr>
        <w:spacing w:after="0" w:line="208" w:lineRule="exact"/>
        <w:rPr>
          <w:sz w:val="20"/>
          <w:szCs w:val="20"/>
          <w:color w:val="auto"/>
        </w:rPr>
      </w:pPr>
    </w:p>
    <w:p>
      <w:pPr>
        <w:jc w:val="both"/>
        <w:ind w:left="240" w:firstLine="324"/>
        <w:spacing w:after="0" w:line="312" w:lineRule="auto"/>
        <w:rPr>
          <w:sz w:val="20"/>
          <w:szCs w:val="20"/>
          <w:color w:val="auto"/>
        </w:rPr>
      </w:pPr>
      <w:r>
        <w:rPr>
          <w:rFonts w:ascii="Arial" w:cs="Arial" w:eastAsia="Arial" w:hAnsi="Arial"/>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74" w:lineRule="exact"/>
        <w:rPr>
          <w:sz w:val="20"/>
          <w:szCs w:val="20"/>
          <w:color w:val="auto"/>
        </w:rPr>
      </w:pPr>
    </w:p>
    <w:p>
      <w:pPr>
        <w:jc w:val="both"/>
        <w:ind w:left="240" w:firstLine="324"/>
        <w:spacing w:after="0" w:line="308" w:lineRule="auto"/>
        <w:rPr>
          <w:sz w:val="20"/>
          <w:szCs w:val="20"/>
          <w:color w:val="auto"/>
        </w:rPr>
      </w:pPr>
      <w:r>
        <w:rPr>
          <w:rFonts w:ascii="Arial" w:cs="Arial" w:eastAsia="Arial" w:hAnsi="Arial"/>
          <w:sz w:val="17"/>
          <w:szCs w:val="17"/>
          <w:color w:val="auto"/>
        </w:rPr>
        <w:t>As of September 29, 2013, we had $-0- outstanding under the Credit Facility, an applicable interest rate of 2.18%, approximately $12,781 of borrowing capacity in addition to our unrestricted cash on hand of $10,365, and no outstanding letters of credit related to the Credit Facility.</w:t>
      </w:r>
    </w:p>
    <w:p>
      <w:pPr>
        <w:spacing w:after="0" w:line="174" w:lineRule="exact"/>
        <w:rPr>
          <w:sz w:val="20"/>
          <w:szCs w:val="20"/>
          <w:color w:val="auto"/>
        </w:rPr>
      </w:pPr>
    </w:p>
    <w:p>
      <w:pPr>
        <w:ind w:left="240" w:hanging="233"/>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EQUITY</w:t>
      </w:r>
    </w:p>
    <w:p>
      <w:pPr>
        <w:spacing w:after="0" w:line="252" w:lineRule="exact"/>
        <w:rPr>
          <w:rFonts w:ascii="Arial" w:cs="Arial" w:eastAsia="Arial" w:hAnsi="Arial"/>
          <w:sz w:val="18"/>
          <w:szCs w:val="18"/>
          <w:color w:val="auto"/>
        </w:rPr>
      </w:pPr>
    </w:p>
    <w:p>
      <w:pPr>
        <w:ind w:left="560" w:hanging="219"/>
        <w:spacing w:after="0"/>
        <w:tabs>
          <w:tab w:leader="none" w:pos="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52"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 August 2013, we issued 15,272 shares of common stock to our non-employee directors, valued at $57.</w:t>
      </w:r>
    </w:p>
    <w:p>
      <w:pPr>
        <w:spacing w:after="0" w:line="252" w:lineRule="exact"/>
        <w:rPr>
          <w:sz w:val="20"/>
          <w:szCs w:val="20"/>
          <w:color w:val="auto"/>
        </w:rPr>
      </w:pPr>
    </w:p>
    <w:p>
      <w:pPr>
        <w:jc w:val="both"/>
        <w:ind w:left="240" w:firstLine="324"/>
        <w:spacing w:after="0" w:line="277" w:lineRule="auto"/>
        <w:rPr>
          <w:sz w:val="20"/>
          <w:szCs w:val="20"/>
          <w:color w:val="auto"/>
        </w:rPr>
      </w:pPr>
      <w:r>
        <w:rPr>
          <w:rFonts w:ascii="Arial" w:cs="Arial" w:eastAsia="Arial" w:hAnsi="Arial"/>
          <w:sz w:val="18"/>
          <w:szCs w:val="18"/>
          <w:color w:val="auto"/>
        </w:rPr>
        <w:t>In 2012, we issued to our non-employee directors 16,271 shares of common stock valued at $76, 17,473 shares of common stock valued at $77, and 24,311 shares of common stock valued at $77, in February, May, and August,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Treasury Stock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September 29, 2013 and December 31, 2012, we had 1,372,757 shares of treasury stock valued at $7,658.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Stock Options</w:t>
      </w:r>
    </w:p>
    <w:p>
      <w:pPr>
        <w:spacing w:after="0" w:line="252" w:lineRule="exact"/>
        <w:rPr>
          <w:sz w:val="20"/>
          <w:szCs w:val="20"/>
          <w:color w:val="auto"/>
        </w:rPr>
      </w:pPr>
    </w:p>
    <w:p>
      <w:pPr>
        <w:jc w:val="both"/>
        <w:ind w:left="240" w:firstLine="324"/>
        <w:spacing w:after="0" w:line="259" w:lineRule="auto"/>
        <w:rPr>
          <w:sz w:val="20"/>
          <w:szCs w:val="20"/>
          <w:color w:val="auto"/>
        </w:rPr>
      </w:pPr>
      <w:r>
        <w:rPr>
          <w:rFonts w:ascii="Arial" w:cs="Arial" w:eastAsia="Arial" w:hAnsi="Arial"/>
          <w:sz w:val="18"/>
          <w:szCs w:val="18"/>
          <w:color w:val="auto"/>
        </w:rPr>
        <w:t>We have various stock-based employee compensation plans, for which we follow the provisions of the Financial Accounting Standards Board’s (“FASB”)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w:t>
      </w:r>
    </w:p>
    <w:p>
      <w:pPr>
        <w:spacing w:after="0" w:line="214" w:lineRule="exact"/>
        <w:rPr>
          <w:sz w:val="20"/>
          <w:szCs w:val="20"/>
          <w:color w:val="auto"/>
        </w:rPr>
      </w:pPr>
    </w:p>
    <w:p>
      <w:pPr>
        <w:jc w:val="both"/>
        <w:ind w:left="240" w:firstLine="324"/>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certain grants of stock options outside of these plans.</w:t>
      </w:r>
    </w:p>
    <w:p>
      <w:pPr>
        <w:spacing w:after="0" w:line="197" w:lineRule="exact"/>
        <w:rPr>
          <w:sz w:val="20"/>
          <w:szCs w:val="20"/>
          <w:color w:val="auto"/>
        </w:rPr>
      </w:pPr>
    </w:p>
    <w:p>
      <w:pPr>
        <w:jc w:val="both"/>
        <w:ind w:left="240" w:firstLine="324"/>
        <w:spacing w:after="0" w:line="312" w:lineRule="auto"/>
        <w:rPr>
          <w:sz w:val="20"/>
          <w:szCs w:val="20"/>
          <w:color w:val="auto"/>
        </w:rPr>
      </w:pPr>
      <w:r>
        <w:rPr>
          <w:rFonts w:ascii="Arial" w:cs="Arial" w:eastAsia="Arial" w:hAnsi="Arial"/>
          <w:sz w:val="16"/>
          <w:szCs w:val="16"/>
          <w:color w:val="auto"/>
        </w:rPr>
        <w:t>In June 2004, shareholders adopted the 2004 Long-Term Incentive Plan (“LTIP”) pursuant to which we were authorized to issue up to 750,000 shares of common stock and grant stock options, restricted stock awards, stock appreciation rights and other stock-based awards. Through shareholder approved amendments to the LTIP in 2006, 2008 and 2011, the total number of authorized shares under the LTIP increased to 2,900,000.</w:t>
      </w:r>
    </w:p>
    <w:p>
      <w:pPr>
        <w:spacing w:after="0" w:line="174" w:lineRule="exact"/>
        <w:rPr>
          <w:sz w:val="20"/>
          <w:szCs w:val="20"/>
          <w:color w:val="auto"/>
        </w:rPr>
      </w:pPr>
    </w:p>
    <w:p>
      <w:pPr>
        <w:jc w:val="both"/>
        <w:ind w:left="240" w:firstLine="324"/>
        <w:spacing w:after="0" w:line="255" w:lineRule="auto"/>
        <w:rPr>
          <w:sz w:val="20"/>
          <w:szCs w:val="20"/>
          <w:color w:val="auto"/>
        </w:rPr>
      </w:pPr>
      <w:r>
        <w:rPr>
          <w:rFonts w:ascii="Arial" w:cs="Arial" w:eastAsia="Arial" w:hAnsi="Arial"/>
          <w:sz w:val="18"/>
          <w:szCs w:val="18"/>
          <w:color w:val="auto"/>
        </w:rPr>
        <w:t>Stock options granted under the LTIP are either Incentive Stock Options (“ISOs”) or Non-Qualified Stock Options (“NQSOs”). Key employees are eligible to receive ISOs and NQSOs; however, directors and consultants are eligible to receive only NQSOs. Most ISOs vest over a three- or five-year period and expire on the sixth or seventh anniversary of the grant date. All NQSOs issued to non-employee directors vest immediately and expire on either the sixth or seventh anniversary of the grant date. Some NQSOs issued to non-employees vest immediately and expire within three years; others have the same vesting characteristics as options issued to employees. As of September 29, 2013, there were 2,096,422 stock options outstanding under the LTIP.</w:t>
      </w: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340" w:top="274" w:right="239" w:bottom="1440" w:gutter="0" w:footer="0" w:header="0"/>
        </w:sectPr>
      </w:pPr>
    </w:p>
    <w:bookmarkStart w:id="12" w:name="page13"/>
    <w:bookmarkEnd w:id="12"/>
    <w:p>
      <w:pPr>
        <w:jc w:val="both"/>
        <w:ind w:firstLine="324"/>
        <w:spacing w:after="0" w:line="264" w:lineRule="auto"/>
        <w:rPr>
          <w:sz w:val="20"/>
          <w:szCs w:val="20"/>
          <w:color w:val="auto"/>
        </w:rPr>
      </w:pPr>
      <w:r>
        <w:rPr>
          <w:rFonts w:ascii="Arial" w:cs="Arial" w:eastAsia="Arial" w:hAnsi="Arial"/>
          <w:sz w:val="18"/>
          <w:szCs w:val="18"/>
          <w:color w:val="auto"/>
        </w:rPr>
        <w:t>On December 19, 2005, we granted our former President and Chief Executive Officer, John D. Kavazanjian, an option to purchase 48,000 shares of common stock at $12.96 per share outside of any of our equity-based compensation plans, subject to shareholder approval. Shareholder approval was obtained on June 8, 2006. The stock option is fully vested and expired on June 8, 2013.</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7, 2008, in connection with his becoming employed by us, we granted our Chief Financial Officer and Treasurer, Philip A. Fain, an option to purchase 50,000 shares of common stock at $12.74 per share outside of any of our equity-based compensation plans. The stock option is fully vested and expires on March 7, 2015.</w:t>
      </w:r>
    </w:p>
    <w:p>
      <w:pPr>
        <w:spacing w:after="0" w:line="20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December 30, 2010, pursuant to the terms of his employment agreement, we granted our President and Chief Executive Officer, Michael D. Popielec, options to purchase shares of common stock under the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or five years after the initial vesting commences, but in no event later than December 30, 2020. The options set forth in items (ii), (iii) and (iv) were subject to shareholder approval of an amendment to the LTIP, which approval was obtained on June 7, 2011.</w:t>
      </w:r>
    </w:p>
    <w:p>
      <w:pPr>
        <w:spacing w:after="0" w:line="19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LTIP. The option vests in annual increments of 12,500 shares over a four-year period commencing December 30, 2011. The option expires on December 30, 2017.</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conjunction with FASB’s guidance for share-based payments, we recorded compensation cost related to stock options of $131 and $521 for the three and nine month periods ended September 29, 2013 and $254 and $770 for the three and nine month periods ended September 30, 2012, respectively. As of September 29, 2013, there was $833 of total unrecognized compensation cost related to outstanding stock options, which is expected to be recognized over a weighted average period of 1.50 years.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the Black-Scholes option-pricing model to estimate the fair value of non-market performance stock-based awards. The following weighted average assumptions were used to value non-market performance stock options granted during the nine month periods ended September 29, 2013 and September 30, 2012.</w:t>
      </w:r>
    </w:p>
    <w:p>
      <w:pPr>
        <w:spacing w:after="0" w:line="35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6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8"/>
              </w:rPr>
              <w:t>Nine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September 29,</w:t>
            </w:r>
          </w:p>
        </w:tc>
        <w:tc>
          <w:tcPr>
            <w:tcW w:w="10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3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Volatility factor</w:t>
            </w:r>
          </w:p>
        </w:tc>
        <w:tc>
          <w:tcPr>
            <w:tcW w:w="1260" w:type="dxa"/>
            <w:vAlign w:val="bottom"/>
          </w:tcPr>
          <w:p>
            <w:pPr>
              <w:jc w:val="right"/>
              <w:spacing w:after="0"/>
              <w:rPr>
                <w:sz w:val="20"/>
                <w:szCs w:val="20"/>
                <w:color w:val="auto"/>
              </w:rPr>
            </w:pPr>
            <w:r>
              <w:rPr>
                <w:rFonts w:ascii="Arial" w:cs="Arial" w:eastAsia="Arial" w:hAnsi="Arial"/>
                <w:sz w:val="18"/>
                <w:szCs w:val="18"/>
                <w:color w:val="auto"/>
              </w:rPr>
              <w:t>61.94%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4.06</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We use a Monte Carlo simulation option-pricing model to estimate the fair value of market performance stock-based awards. There were no market performance stock options granted during the nine months ended September 29, 2013 and September 29, 2012.</w:t>
      </w:r>
    </w:p>
    <w:p>
      <w:pPr>
        <w:spacing w:after="0" w:line="19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260" w:type="dxa"/>
            <w:vAlign w:val="bottom"/>
          </w:tcPr>
          <w:p>
            <w:pPr>
              <w:ind w:left="640"/>
              <w:spacing w:after="0"/>
              <w:rPr>
                <w:sz w:val="20"/>
                <w:szCs w:val="20"/>
                <w:color w:val="auto"/>
              </w:rPr>
            </w:pPr>
            <w:r>
              <w:rPr>
                <w:rFonts w:ascii="Arial" w:cs="Arial" w:eastAsia="Arial" w:hAnsi="Arial"/>
                <w:sz w:val="18"/>
                <w:szCs w:val="18"/>
                <w:color w:val="auto"/>
                <w:w w:val="98"/>
              </w:rPr>
              <w:t>Stock option activity for the first nine months of 2013 is summarized as:</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Exercise 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Per Share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8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at January 1, 2013</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2,211,488</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228,000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Options 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(114,348)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(175,718)</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Shares under option at September 29, 2013</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2,146,422</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 and expected to vest as of September 29, 2013</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1,944,424</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29, 2013</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991,953</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total intrinsic value of stock options (which is the amount by which the stock price exceeded the exercise price of the options on the date of exercise) exercised during the nine month period ended September 29, 2013 was $1.</w:t>
      </w:r>
    </w:p>
    <w:p>
      <w:pPr>
        <w:spacing w:after="0" w:line="19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nine months of 2013 and 2012. Cash received from stock option exercises under our stock-based compensation plans for the nine month periods ended September 29, 2013 and September 30, 2012 was $12 and $115, respectively.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t>d. Restricted Stock Units</w:t>
      </w:r>
    </w:p>
    <w:p>
      <w:pPr>
        <w:spacing w:after="0" w:line="252"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On January 29, 2013, we granted 120,000 contingent restricted stock units to our President and Chief Executive Officer, Michael D. Popielec, subject to shareholder approval, which was obtained on June 4, 2013, which vest as follows: (i) 30,000 shares of our common stock will vest on the later of January 1, 2014 or the date when our common stock first reaches a closing price of $4.00 per share for 15 trading days in a 30 trading day period; (ii) 30,000 shares of our common stock will vest on the later of January 1, 2014 or the date when our common stock first reaches a closing price of $5.00 per share for 15 trading days in a 30 trading day period; (iii) 30,000 shares of our common stock will vest on the later of January 1, 2015 or the date when our common stock first reaches a closing price of $4.00 per share for 15 trading days in a 30 trading day period; and (iv) 30,000 shares of our common stock will vest on the later of January 1, 2015 or the date when our common stock first reaches a closing price of $5.00 per share for 15 trading days in a 30 trading day period.</w:t>
      </w:r>
    </w:p>
    <w:p>
      <w:pPr>
        <w:spacing w:after="0" w:line="192"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restricted stock units described in (i) and (iii) had achieved their closing price condition prior to shareholder approval and were valued at the closing price on the date of grant. The restricted stock units described in (ii) and (iv) had not yet achieved their closing price conditions and were valued utilizing a Monte Carlo simulation to determine fair value and the derived service period. The weighted average inputs utilized were:</w:t>
      </w:r>
    </w:p>
    <w:p>
      <w:pPr>
        <w:spacing w:after="0" w:line="162" w:lineRule="exact"/>
        <w:rPr>
          <w:sz w:val="20"/>
          <w:szCs w:val="20"/>
          <w:color w:val="auto"/>
        </w:rPr>
      </w:pPr>
    </w:p>
    <w:p>
      <w:pPr>
        <w:jc w:val="center"/>
        <w:ind w:left="10000"/>
        <w:spacing w:after="0"/>
        <w:rPr>
          <w:sz w:val="20"/>
          <w:szCs w:val="20"/>
          <w:color w:val="auto"/>
        </w:rPr>
      </w:pPr>
      <w:r>
        <w:rPr>
          <w:rFonts w:ascii="Arial" w:cs="Arial" w:eastAsia="Arial" w:hAnsi="Arial"/>
          <w:sz w:val="18"/>
          <w:szCs w:val="18"/>
          <w:b w:val="1"/>
          <w:bCs w:val="1"/>
          <w:color w:val="auto"/>
        </w:rPr>
        <w:t>Nine Month</w:t>
      </w:r>
    </w:p>
    <w:p>
      <w:pPr>
        <w:spacing w:after="0" w:line="27" w:lineRule="exact"/>
        <w:rPr>
          <w:sz w:val="20"/>
          <w:szCs w:val="20"/>
          <w:color w:val="auto"/>
        </w:rPr>
      </w:pPr>
    </w:p>
    <w:p>
      <w:pPr>
        <w:jc w:val="center"/>
        <w:ind w:left="10000"/>
        <w:spacing w:after="0"/>
        <w:rPr>
          <w:sz w:val="20"/>
          <w:szCs w:val="20"/>
          <w:color w:val="auto"/>
        </w:rPr>
      </w:pPr>
      <w:r>
        <w:rPr>
          <w:rFonts w:ascii="Arial" w:cs="Arial" w:eastAsia="Arial" w:hAnsi="Arial"/>
          <w:sz w:val="18"/>
          <w:szCs w:val="18"/>
          <w:b w:val="1"/>
          <w:bCs w:val="1"/>
          <w:color w:val="auto"/>
        </w:rPr>
        <w:t>Period Ended</w:t>
      </w:r>
    </w:p>
    <w:p>
      <w:pPr>
        <w:spacing w:after="0" w:line="9" w:lineRule="exact"/>
        <w:rPr>
          <w:sz w:val="20"/>
          <w:szCs w:val="20"/>
          <w:color w:val="auto"/>
        </w:rPr>
      </w:pPr>
    </w:p>
    <w:p>
      <w:pPr>
        <w:jc w:val="center"/>
        <w:ind w:left="10000"/>
        <w:spacing w:after="0"/>
        <w:rPr>
          <w:sz w:val="20"/>
          <w:szCs w:val="20"/>
          <w:color w:val="auto"/>
        </w:rPr>
      </w:pPr>
      <w:r>
        <w:rPr>
          <w:rFonts w:ascii="Arial" w:cs="Arial" w:eastAsia="Arial" w:hAnsi="Arial"/>
          <w:sz w:val="18"/>
          <w:szCs w:val="18"/>
          <w:b w:val="1"/>
          <w:bCs w:val="1"/>
          <w:color w:val="auto"/>
        </w:rPr>
        <w:t>September 29,</w:t>
      </w:r>
    </w:p>
    <w:p>
      <w:pPr>
        <w:spacing w:after="0" w:line="9" w:lineRule="exact"/>
        <w:rPr>
          <w:sz w:val="20"/>
          <w:szCs w:val="20"/>
          <w:color w:val="auto"/>
        </w:rPr>
      </w:pPr>
    </w:p>
    <w:p>
      <w:pPr>
        <w:jc w:val="center"/>
        <w:ind w:left="10000"/>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5715</wp:posOffset>
            </wp:positionV>
            <wp:extent cx="797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Volatility factor</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The restricted stock units had the following values:</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9"/>
              </w:rPr>
              <w:t>Nine Month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Period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5"/>
              </w:rPr>
              <w:t>September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award</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Weighted average fair value per share</w:t>
            </w:r>
          </w:p>
        </w:tc>
        <w:tc>
          <w:tcPr>
            <w:tcW w:w="1020" w:type="dxa"/>
            <w:vAlign w:val="bottom"/>
          </w:tcPr>
          <w:p>
            <w:pPr>
              <w:spacing w:after="0"/>
              <w:rPr>
                <w:sz w:val="18"/>
                <w:szCs w:val="18"/>
                <w:color w:val="auto"/>
              </w:rPr>
            </w:pP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Aggregate total value</w:t>
            </w:r>
          </w:p>
        </w:tc>
        <w:tc>
          <w:tcPr>
            <w:tcW w:w="10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The activity of restricted stock units for the first nine months of 2013 is summarized below:</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Number of</w:t>
            </w:r>
          </w:p>
        </w:tc>
        <w:tc>
          <w:tcPr>
            <w:tcW w:w="19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Grant Date 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Unvested at January 1, 2013</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120,000</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Unvested at September 29, 2013</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120,000</w:t>
            </w:r>
          </w:p>
        </w:tc>
        <w:tc>
          <w:tcPr>
            <w:tcW w:w="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restricted stock was awarded during the nine month period ended September 30, 2012.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jc w:val="both"/>
        <w:ind w:left="340" w:firstLine="324"/>
        <w:spacing w:after="0" w:line="286" w:lineRule="auto"/>
        <w:rPr>
          <w:sz w:val="20"/>
          <w:szCs w:val="20"/>
          <w:color w:val="auto"/>
        </w:rPr>
      </w:pPr>
      <w:r>
        <w:rPr>
          <w:rFonts w:ascii="Arial" w:cs="Arial" w:eastAsia="Arial" w:hAnsi="Arial"/>
          <w:sz w:val="17"/>
          <w:szCs w:val="17"/>
          <w:color w:val="auto"/>
        </w:rPr>
        <w:t>Compensation cost recorded in our financial statements related to our restricted stock units and restricted stock awards was $122 and $162 during the three and nine month periods ended September 29, 2013, respectively, and $0 and $1 during the three and nine month periods ended September 30, 2012, respectively. There is $278 of unrecognized compensation cost related to restricted stock units as of September 29, 2013.</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 INCOME TAXES</w:t>
      </w:r>
    </w:p>
    <w:p>
      <w:pPr>
        <w:spacing w:after="0" w:line="252"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asset and liability method, prescribed by FASB’s guidance on the accounting for income taxes,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93"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For the three and nine month periods ended September 29, 2013, we recorded a benefit of $16 and an expense of $135, respectively. For the three and nine month periods ended September 30, 2012, we recorded a benefit of $21 and an expense of $264, respectively, including the amounts attributable to our discontinued operations. The expense is primarily due to the recognition of deferred tax liabilities generated from goodwill and certain intangible assets that cannot be predicted to reverse for book purposes during our loss carryforward periods. The remaining expense in 2013 was primarily due to the income reported for our China operations during the period.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consolidated tax rates for the three and nine month periods ended September 29, 2013 and September 30, 2012 were: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0"/>
              </w:rPr>
              <w:t>Three Month Periods Ended</w:t>
            </w: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92"/>
              </w:rPr>
              <w:t>Nine Month Periods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240" w:type="dxa"/>
            <w:vAlign w:val="bottom"/>
            <w:gridSpan w:val="2"/>
          </w:tcPr>
          <w:p>
            <w:pPr>
              <w:spacing w:after="0" w:line="195" w:lineRule="exact"/>
              <w:rPr>
                <w:sz w:val="20"/>
                <w:szCs w:val="20"/>
                <w:color w:val="auto"/>
              </w:rPr>
            </w:pPr>
            <w:r>
              <w:rPr>
                <w:rFonts w:ascii="Arial" w:cs="Arial" w:eastAsia="Arial" w:hAnsi="Arial"/>
                <w:sz w:val="18"/>
                <w:szCs w:val="18"/>
                <w:color w:val="auto"/>
              </w:rPr>
              <w:t>September 29,</w:t>
            </w:r>
          </w:p>
        </w:tc>
        <w:tc>
          <w:tcPr>
            <w:tcW w:w="130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September 30,</w:t>
            </w:r>
          </w:p>
        </w:tc>
        <w:tc>
          <w:tcPr>
            <w:tcW w:w="130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September 29,</w:t>
            </w:r>
          </w:p>
        </w:tc>
        <w:tc>
          <w:tcPr>
            <w:tcW w:w="1240" w:type="dxa"/>
            <w:vAlign w:val="bottom"/>
            <w:gridSpan w:val="2"/>
          </w:tcPr>
          <w:p>
            <w:pPr>
              <w:ind w:left="60"/>
              <w:spacing w:after="0" w:line="195" w:lineRule="exact"/>
              <w:rPr>
                <w:sz w:val="20"/>
                <w:szCs w:val="20"/>
                <w:color w:val="auto"/>
              </w:rPr>
            </w:pPr>
            <w:r>
              <w:rPr>
                <w:rFonts w:ascii="Arial" w:cs="Arial" w:eastAsia="Arial" w:hAnsi="Arial"/>
                <w:sz w:val="18"/>
                <w:szCs w:val="18"/>
                <w:color w:val="auto"/>
                <w:w w:val="9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Incomes Taxes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1,643</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(Benefit) (b)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firstLine="324"/>
        <w:spacing w:after="0" w:line="289" w:lineRule="auto"/>
        <w:rPr>
          <w:sz w:val="20"/>
          <w:szCs w:val="20"/>
          <w:color w:val="auto"/>
        </w:rPr>
      </w:pPr>
      <w:r>
        <w:rPr>
          <w:rFonts w:ascii="Arial" w:cs="Arial" w:eastAsia="Arial" w:hAnsi="Arial"/>
          <w:sz w:val="16"/>
          <w:szCs w:val="16"/>
          <w:color w:val="auto"/>
        </w:rPr>
        <w:t>The overall effective tax rate is the result of the combination of income and losses in each of our tax jurisdictions, which is particularly influenced by the fact that we have not recognized a deferred tax asset pertaining to cumulative historical losses for our U.S. operations and our U.K. subsidiary, as management does not believe, at this time, it is more likely than not that we will realize the benefit of these losses. We have substantial net operating loss carryforwards which offset taxable income in the United States. However, we remain subject to the alternative minimum tax in the United States. The alternative minimum tax limits the amount of net operating loss available to offset taxable income to 90% of the current year income. We incurred $0 and $12 in alternative minimum tax for the three and nine months ended September 29, 2013, respectively. The alternative minimum tax did not have an impact on income taxes determined for the three and nine month periods ended September 30, 2012. The payment of the alternative minimum tax normally results in the establishment of a deferred tax asset; however, we have established a valuation allowance for our net U.S. deferred tax asset. Therefore, the expected payment of the alternative minimum tax does not result in a net deferred tax asset.</w:t>
      </w:r>
    </w:p>
    <w:p>
      <w:pPr>
        <w:spacing w:after="0" w:line="19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As of December 31, 2012, we had foreign and domestic net operating loss carryforwards totaling approximately $60,494 available to reduce future taxable income. Foreign loss carryforwards of approximately $12,390 can be carried forward indefinitely. The domestic net operating loss carryforwards of $48,104 expire from 2019 through 2032. The domestic net operating loss carryforwards include approximately $2,949 for which a benefit will be recorded in capital in excess of par value when realized.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jc w:val="both"/>
        <w:ind w:left="340" w:right="20" w:firstLine="324"/>
        <w:spacing w:after="0" w:line="277" w:lineRule="auto"/>
        <w:rPr>
          <w:sz w:val="20"/>
          <w:szCs w:val="20"/>
          <w:color w:val="auto"/>
        </w:rPr>
      </w:pPr>
      <w:r>
        <w:rPr>
          <w:rFonts w:ascii="Arial" w:cs="Arial" w:eastAsia="Arial" w:hAnsi="Arial"/>
          <w:sz w:val="18"/>
          <w:szCs w:val="18"/>
          <w:color w:val="auto"/>
        </w:rPr>
        <w:t>Our unrecognized tax benefits related to uncertain tax positions at September 29, 2013 relate to Federal and various state jurisdictions. The following table summarizes the activity related to our unrecognized tax benefits: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2"/>
              </w:rPr>
              <w:t>Nine Month Periods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w w:val="94"/>
              </w:rPr>
              <w:t>September 29,</w:t>
            </w:r>
          </w:p>
        </w:tc>
        <w:tc>
          <w:tcPr>
            <w:tcW w:w="1240" w:type="dxa"/>
            <w:vAlign w:val="bottom"/>
            <w:gridSpan w:val="2"/>
          </w:tcPr>
          <w:p>
            <w:pPr>
              <w:ind w:left="100"/>
              <w:spacing w:after="0" w:line="195" w:lineRule="exact"/>
              <w:rPr>
                <w:sz w:val="20"/>
                <w:szCs w:val="20"/>
                <w:color w:val="auto"/>
              </w:rPr>
            </w:pPr>
            <w:r>
              <w:rPr>
                <w:rFonts w:ascii="Arial" w:cs="Arial" w:eastAsia="Arial" w:hAnsi="Arial"/>
                <w:sz w:val="18"/>
                <w:szCs w:val="18"/>
                <w:color w:val="auto"/>
                <w:w w:val="94"/>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5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7,508</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prior year tax positions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Decreases related to prior year tax positions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 of limitations for assessment of taxes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Settlements</w:t>
            </w:r>
          </w:p>
        </w:tc>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7,508</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total unrecognized tax benefit balance at September 29, 2013 is comprised of tax benefits that, if recognized, would result in a deferred tax asset and a corresponding increase in our valuation allowance. As a result, because the benefit would be offset by an increase in the valuation allowance, there would be no effect on the effective tax rate.</w:t>
      </w:r>
    </w:p>
    <w:p>
      <w:pPr>
        <w:spacing w:after="0" w:line="208"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We are not required to accrue interest and penalties as the unrecognized tax benefits have been recorded as a decrease in our net operating loss carryforward. Interest and penalties would begin to accrue in the period in which the net operating loss carryforwards related to the uncertain tax positions are utilized. We do not expect our unrecognized tax benefits to change significantly over the next twelve months.</w:t>
      </w:r>
    </w:p>
    <w:p>
      <w:pPr>
        <w:spacing w:after="0" w:line="193"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2012 remain subject to examination by the Internal Revenue Service (“IRS”) due to our net operating loss carryforwards. Our U.S. tax matters for the years 2000 through 2012 remain subject to examination by various state and local tax jurisdictions due to our net operating loss carryforwards. Our tax matters for the years 2007 through 2012 remain subject to examination by the respective foreign tax jurisdiction authorities. The IRS has completed the examination of our 2009 U.S. federal income tax return, with no resulting material effect to our financial position or results of operations.</w:t>
      </w:r>
    </w:p>
    <w:p>
      <w:pPr>
        <w:spacing w:after="0" w:line="192"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The use of our U.K. net operating loss carryforwards may be limited due to the change in our U.K. operation during 2008 from a manufacturing and assembly center to primarily a distribution and service center.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ind w:left="100"/>
        <w:spacing w:after="0"/>
        <w:rPr>
          <w:sz w:val="20"/>
          <w:szCs w:val="20"/>
          <w:color w:val="auto"/>
        </w:rPr>
      </w:pPr>
      <w:r>
        <w:rPr>
          <w:rFonts w:ascii="Arial" w:cs="Arial" w:eastAsia="Arial" w:hAnsi="Arial"/>
          <w:sz w:val="18"/>
          <w:szCs w:val="18"/>
          <w:color w:val="auto"/>
        </w:rPr>
        <w:t>9. EARNINGS PER SHARE</w:t>
      </w:r>
    </w:p>
    <w:p>
      <w:pPr>
        <w:spacing w:after="0" w:line="252"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We have adopted the provisions of FASB’s guidance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restricted stock awards are participating securities, we are required to apply the two-class method of computing basic and diluted earnings per share (the “Two-Class Method”).</w:t>
      </w:r>
    </w:p>
    <w:p>
      <w:pPr>
        <w:spacing w:after="0" w:line="181"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Basic earnings per share (“EPS”) is determined using the Two-Class Method and is computed by dividing earnings attributable to Ultralife common shareholders by the weighted-average shares outstanding during the period. The Two-Class Method is an earnings allocation formula that determines earnings per share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For the three and nine month periods ended September 29, 2013 and September 30, 2012, both the Two-Class Method and the treasury stock method calculations for diluted EPS yielded the same result.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computation of basic and diluted earnings per share is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1"/>
              </w:rPr>
              <w:t>Three Month Period Ended</w:t>
            </w: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w w:val="93"/>
              </w:rPr>
              <w:t>Nine Month Period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w w:val="94"/>
              </w:rPr>
              <w:t>September 29,</w:t>
            </w:r>
          </w:p>
        </w:tc>
        <w:tc>
          <w:tcPr>
            <w:tcW w:w="1240" w:type="dxa"/>
            <w:vAlign w:val="bottom"/>
            <w:gridSpan w:val="2"/>
          </w:tcPr>
          <w:p>
            <w:pPr>
              <w:ind w:left="100"/>
              <w:spacing w:after="0" w:line="195" w:lineRule="exact"/>
              <w:rPr>
                <w:sz w:val="20"/>
                <w:szCs w:val="20"/>
                <w:color w:val="auto"/>
              </w:rPr>
            </w:pPr>
            <w:r>
              <w:rPr>
                <w:rFonts w:ascii="Arial" w:cs="Arial" w:eastAsia="Arial" w:hAnsi="Arial"/>
                <w:sz w:val="18"/>
                <w:szCs w:val="18"/>
                <w:color w:val="auto"/>
                <w:w w:val="94"/>
              </w:rPr>
              <w:t>September 30,</w:t>
            </w:r>
          </w:p>
        </w:tc>
        <w:tc>
          <w:tcPr>
            <w:tcW w:w="1260" w:type="dxa"/>
            <w:vAlign w:val="bottom"/>
            <w:gridSpan w:val="2"/>
          </w:tcPr>
          <w:p>
            <w:pPr>
              <w:ind w:left="100"/>
              <w:spacing w:after="0" w:line="195" w:lineRule="exact"/>
              <w:rPr>
                <w:sz w:val="20"/>
                <w:szCs w:val="20"/>
                <w:color w:val="auto"/>
              </w:rPr>
            </w:pPr>
            <w:r>
              <w:rPr>
                <w:rFonts w:ascii="Arial" w:cs="Arial" w:eastAsia="Arial" w:hAnsi="Arial"/>
                <w:sz w:val="18"/>
                <w:szCs w:val="18"/>
                <w:color w:val="auto"/>
                <w:w w:val="96"/>
              </w:rPr>
              <w:t>September 29,</w:t>
            </w:r>
          </w:p>
        </w:tc>
        <w:tc>
          <w:tcPr>
            <w:tcW w:w="1220" w:type="dxa"/>
            <w:vAlign w:val="bottom"/>
            <w:gridSpan w:val="2"/>
          </w:tcPr>
          <w:p>
            <w:pPr>
              <w:ind w:left="80"/>
              <w:spacing w:after="0" w:line="195" w:lineRule="exact"/>
              <w:rPr>
                <w:sz w:val="20"/>
                <w:szCs w:val="20"/>
                <w:color w:val="auto"/>
              </w:rPr>
            </w:pPr>
            <w:r>
              <w:rPr>
                <w:rFonts w:ascii="Arial" w:cs="Arial" w:eastAsia="Arial" w:hAnsi="Arial"/>
                <w:sz w:val="18"/>
                <w:szCs w:val="18"/>
                <w:color w:val="auto"/>
                <w:w w:val="94"/>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from continuing operations attributable to Ultralife common</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(a)</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(Loss) from continuing operations attributable to Ultralife common</w:t>
            </w: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1,479</w:t>
            </w:r>
          </w:p>
        </w:tc>
        <w:tc>
          <w:tcPr>
            <w:tcW w:w="2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 Adjusted (b)</w:t>
            </w:r>
          </w:p>
        </w:tc>
        <w:tc>
          <w:tcPr>
            <w:tcW w:w="180" w:type="dxa"/>
            <w:vAlign w:val="bottom"/>
            <w:gridSpan w:val="2"/>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260" w:type="dxa"/>
            <w:vAlign w:val="bottom"/>
            <w:vMerge w:val="continue"/>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from discontinued operations attributable to Ultralife common shareholders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Net Income from discontinued operations attributable to Ultralife common shareholders -</w:t>
            </w:r>
          </w:p>
        </w:tc>
        <w:tc>
          <w:tcPr>
            <w:tcW w:w="18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2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Adjusted (d)</w:t>
            </w:r>
          </w:p>
        </w:tc>
        <w:tc>
          <w:tcPr>
            <w:tcW w:w="180" w:type="dxa"/>
            <w:vAlign w:val="bottom"/>
            <w:gridSpan w:val="2"/>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260" w:type="dxa"/>
            <w:vAlign w:val="bottom"/>
            <w:vMerge w:val="continue"/>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Average Common Shares Outstanding – Basic (e)</w:t>
            </w: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17,467,000</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17,418,000</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5"/>
              </w:rPr>
              <w:t>17,461,000</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17,390,000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Stock Options / Warrants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65,000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Common Shares Outstanding – Diluted (f)</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17,532,000</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17,418,000</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5"/>
              </w:rPr>
              <w:t>17,461,000</w:t>
            </w: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17,390,000</w:t>
            </w:r>
          </w:p>
        </w:tc>
        <w:tc>
          <w:tcPr>
            <w:tcW w:w="0" w:type="dxa"/>
            <w:vAlign w:val="bottom"/>
          </w:tcPr>
          <w:p>
            <w:pPr>
              <w:spacing w:after="0"/>
              <w:rPr>
                <w:sz w:val="1"/>
                <w:szCs w:val="1"/>
                <w:color w:val="auto"/>
              </w:rPr>
            </w:pPr>
          </w:p>
        </w:tc>
      </w:tr>
      <w:tr>
        <w:trPr>
          <w:trHeight w:val="601"/>
        </w:trPr>
        <w:tc>
          <w:tcPr>
            <w:tcW w:w="6500" w:type="dxa"/>
            <w:vAlign w:val="bottom"/>
            <w:gridSpan w:val="2"/>
          </w:tcPr>
          <w:p>
            <w:pPr>
              <w:jc w:val="right"/>
              <w:ind w:right="61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4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EPS – Basic (a/e) - continuing operations</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EPS – Basic (c/e) - discontinued operations</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EPS – Diluted (b/f) - continuing operations</w:t>
            </w:r>
          </w:p>
        </w:tc>
        <w:tc>
          <w:tcPr>
            <w:tcW w:w="1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EPS – Diluted (d/f) - discontinued operations</w:t>
            </w:r>
          </w:p>
        </w:tc>
        <w:tc>
          <w:tcPr>
            <w:tcW w:w="18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0.01</w:t>
            </w:r>
          </w:p>
        </w:tc>
      </w:tr>
    </w:tbl>
    <w:p>
      <w:pPr>
        <w:spacing w:after="0" w:line="214"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There were 2,020,588 and 2,342,722 outstanding stock options and awards at September 29, 2013 and September 30, 2012, respectively, that were not included in the three month EPS calculation as the effect would be anti-dilutive. The dilutive effect of 245,834 and -0- outstanding stock options and awards were included in the computation for the three month periods September 29, 2013 and September 30, 2012, respectively.</w:t>
      </w:r>
    </w:p>
    <w:p>
      <w:pPr>
        <w:spacing w:after="0" w:line="193"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There were 2,266,422 and 2,342,722 outstanding stock options and awards at September 29, 2013 and September 30, 2012, respectively, that were not included in the nine month EPS calculation as the effect would be anti-dilutive.</w:t>
      </w:r>
    </w:p>
    <w:p>
      <w:pPr>
        <w:spacing w:after="0" w:line="197" w:lineRule="exact"/>
        <w:rPr>
          <w:sz w:val="20"/>
          <w:szCs w:val="20"/>
          <w:color w:val="auto"/>
        </w:rPr>
      </w:pPr>
    </w:p>
    <w:p>
      <w:pPr>
        <w:ind w:left="340" w:right="7820" w:hanging="323"/>
        <w:spacing w:after="0" w:line="563"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COMMITMENTS AND CONTINGENCIES a. Purchase Commitments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29, 2013, we have made commitments to purchase approximately $453 of production machinery and equipment.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Product Warranties</w:t>
      </w:r>
    </w:p>
    <w:p>
      <w:pPr>
        <w:spacing w:after="0" w:line="252"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three months of 2013 were as follows:</w:t>
      </w:r>
    </w:p>
    <w:p>
      <w:pPr>
        <w:sectPr>
          <w:pgSz w:w="11900" w:h="16838" w:orient="portrait"/>
          <w:cols w:equalWidth="0" w:num="1">
            <w:col w:w="11420"/>
          </w:cols>
          <w:pgMar w:left="240" w:top="288" w:right="239" w:bottom="1440" w:gutter="0" w:footer="0" w:header="0"/>
        </w:sect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Balance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Accruals for warranties issued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jc w:val="right"/>
        <w:ind w:right="6787"/>
        <w:spacing w:after="0"/>
        <w:rPr>
          <w:sz w:val="20"/>
          <w:szCs w:val="20"/>
          <w:color w:val="auto"/>
        </w:rPr>
      </w:pPr>
      <w:r>
        <w:rPr>
          <w:rFonts w:ascii="Arial" w:cs="Arial" w:eastAsia="Arial" w:hAnsi="Arial"/>
          <w:sz w:val="18"/>
          <w:szCs w:val="18"/>
          <w:color w:val="auto"/>
        </w:rPr>
        <w:t>Balance at September 29, 2013</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 Contingencies and Legal Matters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633" w:hanging="633"/>
        <w:spacing w:after="0"/>
        <w:tabs>
          <w:tab w:leader="none" w:pos="633" w:val="left"/>
        </w:tabs>
        <w:numPr>
          <w:ilvl w:val="0"/>
          <w:numId w:val="5"/>
        </w:numPr>
        <w:rPr>
          <w:rFonts w:ascii="Arial" w:cs="Arial" w:eastAsia="Arial" w:hAnsi="Arial"/>
          <w:sz w:val="18"/>
          <w:szCs w:val="18"/>
          <w:color w:val="auto"/>
        </w:rPr>
      </w:pPr>
      <w:r>
        <w:rPr>
          <w:rFonts w:ascii="Arial" w:cs="Arial" w:eastAsia="Arial" w:hAnsi="Arial"/>
          <w:sz w:val="18"/>
          <w:szCs w:val="18"/>
          <w:color w:val="auto"/>
        </w:rPr>
        <w:t>607</w:t>
      </w:r>
    </w:p>
    <w:p>
      <w:pPr>
        <w:spacing w:after="0" w:line="23" w:lineRule="exact"/>
        <w:rPr>
          <w:rFonts w:ascii="Arial" w:cs="Arial" w:eastAsia="Arial" w:hAnsi="Arial"/>
          <w:sz w:val="18"/>
          <w:szCs w:val="18"/>
          <w:color w:val="auto"/>
        </w:rPr>
      </w:pPr>
    </w:p>
    <w:p>
      <w:pPr>
        <w:ind w:left="633"/>
        <w:spacing w:after="0"/>
        <w:rPr>
          <w:rFonts w:ascii="Arial" w:cs="Arial" w:eastAsia="Arial" w:hAnsi="Arial"/>
          <w:sz w:val="18"/>
          <w:szCs w:val="18"/>
          <w:color w:val="auto"/>
        </w:rPr>
      </w:pPr>
      <w:r>
        <w:rPr>
          <w:rFonts w:ascii="Arial" w:cs="Arial" w:eastAsia="Arial" w:hAnsi="Arial"/>
          <w:sz w:val="18"/>
          <w:szCs w:val="18"/>
          <w:color w:val="auto"/>
        </w:rPr>
        <w:t>174</w:t>
      </w:r>
    </w:p>
    <w:p>
      <w:pPr>
        <w:spacing w:after="0" w:line="9" w:lineRule="exact"/>
        <w:rPr>
          <w:rFonts w:ascii="Arial" w:cs="Arial" w:eastAsia="Arial" w:hAnsi="Arial"/>
          <w:sz w:val="18"/>
          <w:szCs w:val="18"/>
          <w:color w:val="auto"/>
        </w:rPr>
      </w:pPr>
    </w:p>
    <w:p>
      <w:pPr>
        <w:ind w:left="673"/>
        <w:spacing w:after="0"/>
        <w:rPr>
          <w:rFonts w:ascii="Arial" w:cs="Arial" w:eastAsia="Arial" w:hAnsi="Arial"/>
          <w:sz w:val="18"/>
          <w:szCs w:val="18"/>
          <w:color w:val="auto"/>
        </w:rPr>
      </w:pPr>
      <w:r>
        <w:rPr>
          <w:rFonts w:ascii="Arial" w:cs="Arial" w:eastAsia="Arial" w:hAnsi="Arial"/>
          <w:sz w:val="16"/>
          <w:szCs w:val="16"/>
          <w:color w:val="auto"/>
        </w:rPr>
        <w:t>(68)</w:t>
      </w:r>
    </w:p>
    <w:p>
      <w:pPr>
        <w:spacing w:after="0" w:line="32" w:lineRule="exact"/>
        <w:rPr>
          <w:sz w:val="20"/>
          <w:szCs w:val="20"/>
          <w:color w:val="auto"/>
        </w:rPr>
      </w:pPr>
    </w:p>
    <w:p>
      <w:pPr>
        <w:ind w:left="633" w:hanging="633"/>
        <w:spacing w:after="0"/>
        <w:tabs>
          <w:tab w:leader="none" w:pos="633" w:val="left"/>
        </w:tabs>
        <w:numPr>
          <w:ilvl w:val="0"/>
          <w:numId w:val="6"/>
        </w:numPr>
        <w:rPr>
          <w:rFonts w:ascii="Arial" w:cs="Arial" w:eastAsia="Arial" w:hAnsi="Arial"/>
          <w:sz w:val="18"/>
          <w:szCs w:val="18"/>
          <w:color w:val="auto"/>
        </w:rPr>
      </w:pPr>
      <w:r>
        <w:rPr>
          <w:rFonts w:ascii="Arial" w:cs="Arial" w:eastAsia="Arial" w:hAnsi="Arial"/>
          <w:sz w:val="18"/>
          <w:szCs w:val="18"/>
          <w:color w:val="auto"/>
        </w:rPr>
        <w:t>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3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643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9687" w:space="720"/>
            <w:col w:w="1013"/>
          </w:cols>
          <w:pgMar w:left="240" w:top="288" w:right="239" w:bottom="1440" w:gutter="0" w:footer="0" w:header="0"/>
          <w:type w:val="continuous"/>
        </w:sectPr>
      </w:pPr>
    </w:p>
    <w:p>
      <w:pPr>
        <w:spacing w:after="0" w:line="75" w:lineRule="exact"/>
        <w:rPr>
          <w:sz w:val="20"/>
          <w:szCs w:val="20"/>
          <w:color w:val="auto"/>
        </w:rPr>
      </w:pPr>
    </w:p>
    <w:p>
      <w:pPr>
        <w:jc w:val="both"/>
        <w:ind w:left="340" w:firstLine="324"/>
        <w:spacing w:after="0" w:line="342"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Grants/Loans</w:t>
      </w:r>
    </w:p>
    <w:p>
      <w:pPr>
        <w:spacing w:after="0" w:line="252"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In conjunction with the City of West Point, Mississippi, we applied for a Community Development Block Grant (“CDBG”) from the State of Mississippi for infrastructure improvements to our leased facility that is owned by the City of West Point, Mississippi. The CDBG was awarded and as of December 31, 2011, approximately $480 has been distributed under the grant. Under an agreement with the City of West Point, we agreed to employ at least 30 full-time employees at the facility, of which 51% of the jobs had to be filled or made available to low or moderate income families, within three years of completion of the CDBG improvement activities.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CDBG.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type w:val="continuous"/>
        </w:sectPr>
      </w:pPr>
    </w:p>
    <w:bookmarkStart w:id="19" w:name="page20"/>
    <w:bookmarkEnd w:id="19"/>
    <w:p>
      <w:pPr>
        <w:jc w:val="both"/>
        <w:ind w:firstLine="324"/>
        <w:spacing w:after="0" w:line="253" w:lineRule="auto"/>
        <w:rPr>
          <w:sz w:val="20"/>
          <w:szCs w:val="20"/>
          <w:color w:val="auto"/>
        </w:rPr>
      </w:pPr>
      <w:r>
        <w:rPr>
          <w:rFonts w:ascii="Arial" w:cs="Arial" w:eastAsia="Arial" w:hAnsi="Arial"/>
          <w:sz w:val="18"/>
          <w:szCs w:val="18"/>
          <w:color w:val="auto"/>
        </w:rPr>
        <w:t>In conjunction with Clay County, Mississippi, we applied for a Mississippi Rural Impact Fund Grant (“RIFG”) from the State of Mississippi for infrastructure improvements to our leased facility that is owned by the City of West Point, Mississippi. The RIFG was awarded and as of December 31, 2011, approximately $150 has been distributed under the grant. Under an agreement with Clay County, we agreed to employ at least 30 full-time employees at the facility, of which 51% of the jobs had to be filled or made available to low or moderate income families, within two years of completion of the RIFG improvement activities. In September 2010, we received an extension for this commitment to March 31, 2011.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RIFG.</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Post Audits of Government Contracts</w:t>
      </w:r>
    </w:p>
    <w:p>
      <w:pPr>
        <w:spacing w:after="0" w:line="252" w:lineRule="exact"/>
        <w:rPr>
          <w:sz w:val="20"/>
          <w:szCs w:val="20"/>
          <w:color w:val="auto"/>
        </w:rPr>
      </w:pPr>
    </w:p>
    <w:p>
      <w:pPr>
        <w:jc w:val="both"/>
        <w:ind w:firstLine="824"/>
        <w:spacing w:after="0" w:line="285" w:lineRule="auto"/>
        <w:rPr>
          <w:sz w:val="20"/>
          <w:szCs w:val="20"/>
          <w:color w:val="auto"/>
        </w:rPr>
      </w:pPr>
      <w:r>
        <w:rPr>
          <w:rFonts w:ascii="Arial" w:cs="Arial" w:eastAsia="Arial" w:hAnsi="Arial"/>
          <w:sz w:val="16"/>
          <w:szCs w:val="16"/>
          <w:color w:val="auto"/>
        </w:rPr>
        <w:t>We had certain “exigent”, non-bid contracts with the U.S. government, which were subject to audit and final price adjustment, which resulted in decreased margins compared with the original terms of the contracts. As of December 31, 2012, there were no outstanding exigent contracts with the U.S. government. As part of its due diligence, the U.S. government has conducted post-audits of the completed exigent contracts to ensure that information used in supporting the pricing of exigent contracts did not differ materially from actual results. In September 2005, the Defense Contracting Audit Agency (“DCAA”) presented its findings related to the audits of three of the exigent contracts, suggesting a potential pricing adjustment of approximately $1,400 related to reductions in the cost of materials that occurred prior to the final negotiation of these contracts. In addition, in June 2007, we received a request from the Office of Inspector General of the Department of Defense (“DoD IG”) seeking certain information and documents relating to our business with the Department of Defense. We cooperated with the DCAA audit and DoD IG inquiry by making available to government auditors and investigators our personnel and furnishing the requested information and documents. The DCAA Audit and DoD IG inquiry were consolidated and the US Attorney’s Office represented the government in connection with these matters. Under applicable federal law, we may have been subject up to treble damages and penalties associated with the potential pricing adjustment. In light of the uncertainty, we decided to enter into discussions with the U.S. Attorney’s Office in April 2011 to negotiate a settlement that would be in the best interests of our customers, employees and shareholders. On April 21, 2011, we were advised by the government that there was a $2,730 settlement-in-principle to resolve all claims related to the contracts, subject to final approval by the Department of Justice. As a result, we recorded a $2,730 charge as a reduction in revenues for the first quarter of 2011. On June 1, 2011, we entered into a Settlement Agreement with the United States of America, acting through the United States Department of Justice and on behalf of the Department of Defense that required us to pay a total of $2,700 plus accrued interest thereon at the rate of 2.625% per annum. Under the Settlement Agreement, we were required to make principal payments of $1,000, $567, $567 and $566 being due on June 8, 2011, December 1, 2011, June 1, 2012 and December 1, 2012, respectively. Each principal payment was accompanied by a payment of accrued interest. As of December 31, 2012, we have made all required payments.</w:t>
      </w:r>
    </w:p>
    <w:p>
      <w:pPr>
        <w:spacing w:after="0" w:line="200" w:lineRule="exact"/>
        <w:rPr>
          <w:sz w:val="20"/>
          <w:szCs w:val="20"/>
          <w:color w:val="auto"/>
        </w:rPr>
      </w:pPr>
    </w:p>
    <w:p>
      <w:pPr>
        <w:spacing w:after="0" w:line="36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20" w:name="page21"/>
    <w:bookmarkEnd w:id="20"/>
    <w:p>
      <w:pPr>
        <w:ind w:left="320"/>
        <w:spacing w:after="0"/>
        <w:rPr>
          <w:sz w:val="20"/>
          <w:szCs w:val="20"/>
          <w:color w:val="auto"/>
        </w:rPr>
      </w:pPr>
      <w:r>
        <w:rPr>
          <w:rFonts w:ascii="Arial" w:cs="Arial" w:eastAsia="Arial" w:hAnsi="Arial"/>
          <w:sz w:val="18"/>
          <w:szCs w:val="18"/>
          <w:i w:val="1"/>
          <w:iCs w:val="1"/>
          <w:color w:val="auto"/>
        </w:rPr>
        <w:t>9-Volt Battery Litigation</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July 2010, we were served with a summons and complaint filed in Japan by one of our 9-volt battery customers. The complaint alleged damages associated with claims of breach of warranty in an amount of approximately $1,100. A trial was held on May 25, 2012, in Japan before a panel of three judges, after which the parties agreed to settle the matter for approximately $125, which has been reflected in our cost of products sold in the second quarter of 2012. The terms of the settlement agreement include no legal liability on our part and the plaintiff abandoning all other claims against us.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Arista Power Litigation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23, 2011, we initiated an action against Arista Power, Inc. (“Arista”) and our former senior sales and engineering employee, David Modeen (“Modeen”) in the State of New York Supreme Court, County of Wayne (Index No. 73379). In our Complaint,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have answered the allegations set forth in the Complaint, without asserting any counterclaims.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w:t>
      </w:r>
    </w:p>
    <w:p>
      <w:pPr>
        <w:spacing w:after="0" w:line="2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to dismiss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 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 On April 19, 2012, an Answer was filed on behalf of us, our officers, directors and employee. On September 10, 2013, Arista filed a Second Amended Complaint deleting all individual defendants except our named employee, to which an Answer was filed on our behalf on September 30, 2013. Discovery has commenced with respect to the Arista litigation and is ongoing.</w:t>
      </w:r>
    </w:p>
    <w:p>
      <w:pPr>
        <w:spacing w:after="0" w:line="34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21" w:name="page22"/>
    <w:bookmarkEnd w:id="21"/>
    <w:p>
      <w:pPr>
        <w:jc w:val="both"/>
        <w:ind w:left="320" w:firstLine="324"/>
        <w:spacing w:after="0" w:line="259" w:lineRule="auto"/>
        <w:rPr>
          <w:sz w:val="20"/>
          <w:szCs w:val="20"/>
          <w:color w:val="auto"/>
        </w:rPr>
      </w:pPr>
      <w:r>
        <w:rPr>
          <w:rFonts w:ascii="Arial" w:cs="Arial" w:eastAsia="Arial" w:hAnsi="Arial"/>
          <w:sz w:val="18"/>
          <w:szCs w:val="18"/>
          <w:color w:val="auto"/>
        </w:rPr>
        <w:t>We initiated the September 23,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214" w:lineRule="exact"/>
        <w:rPr>
          <w:sz w:val="20"/>
          <w:szCs w:val="20"/>
          <w:color w:val="auto"/>
        </w:rPr>
      </w:pPr>
    </w:p>
    <w:p>
      <w:pPr>
        <w:jc w:val="both"/>
        <w:ind w:left="320" w:firstLine="324"/>
        <w:spacing w:after="0" w:line="276" w:lineRule="auto"/>
        <w:rPr>
          <w:sz w:val="20"/>
          <w:szCs w:val="20"/>
          <w:color w:val="auto"/>
        </w:rPr>
      </w:pPr>
      <w:r>
        <w:rPr>
          <w:rFonts w:ascii="Arial" w:cs="Arial" w:eastAsia="Arial" w:hAnsi="Arial"/>
          <w:sz w:val="17"/>
          <w:szCs w:val="17"/>
          <w:color w:val="auto"/>
        </w:rPr>
        <w:t>We believe the November 29, 2011 Arista Complaint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on account of us, and claims for recovery of this or any other amount are legally and factually baseless.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Accordingly, we will vigorously pursue our complaint against Arista and defend what we believe to be a meritless action on the part of Arista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11. BUSINESS SEGMENT INFORMATION</w:t>
      </w:r>
    </w:p>
    <w:p>
      <w:pPr>
        <w:spacing w:after="0" w:line="252" w:lineRule="exact"/>
        <w:rPr>
          <w:sz w:val="20"/>
          <w:szCs w:val="20"/>
          <w:color w:val="auto"/>
        </w:rPr>
      </w:pPr>
    </w:p>
    <w:p>
      <w:pPr>
        <w:jc w:val="both"/>
        <w:ind w:left="320" w:right="20" w:firstLine="324"/>
        <w:spacing w:after="0" w:line="264" w:lineRule="auto"/>
        <w:rPr>
          <w:sz w:val="20"/>
          <w:szCs w:val="20"/>
          <w:color w:val="auto"/>
        </w:rPr>
      </w:pPr>
      <w:r>
        <w:rPr>
          <w:rFonts w:ascii="Arial" w:cs="Arial" w:eastAsia="Arial" w:hAnsi="Arial"/>
          <w:sz w:val="18"/>
          <w:szCs w:val="18"/>
          <w:color w:val="auto"/>
        </w:rPr>
        <w:t>On February 16, 2012, our senior management, as authorized by our Board of Directors, decided to divest our RedBlack Communications business, which previously was reported in the Communications Systems segment. See Note 2 in these Notes to Condensed Consolidated Financial Statements for additional information.</w:t>
      </w:r>
    </w:p>
    <w:p>
      <w:pPr>
        <w:spacing w:after="0" w:line="208" w:lineRule="exact"/>
        <w:rPr>
          <w:sz w:val="20"/>
          <w:szCs w:val="20"/>
          <w:color w:val="auto"/>
        </w:rPr>
      </w:pPr>
    </w:p>
    <w:p>
      <w:pPr>
        <w:jc w:val="both"/>
        <w:ind w:left="320" w:firstLine="486"/>
        <w:spacing w:after="0" w:line="257" w:lineRule="auto"/>
        <w:rPr>
          <w:sz w:val="20"/>
          <w:szCs w:val="20"/>
          <w:color w:val="auto"/>
        </w:rPr>
      </w:pPr>
      <w:r>
        <w:rPr>
          <w:rFonts w:ascii="Arial" w:cs="Arial" w:eastAsia="Arial" w:hAnsi="Arial"/>
          <w:sz w:val="18"/>
          <w:szCs w:val="18"/>
          <w:color w:val="auto"/>
        </w:rPr>
        <w:t>During the fourth quarter of 2012, we elected not to renew the lease for our U.K. manufacturing facility which expired on March 24, 2013, and to relocate our sales and services operations to a smaller facility. As a result of this decision, we were required to restore the facility back to its original condition per a previous contractual commitment. This facility previously served our Battery and Energy Segments business. A portion of these costs were classified as a discontinued operation in the fourth quarter of 2012. See Note 2 in these Notes to Condensed Consolidated Financial Statements for additional information.</w:t>
      </w:r>
    </w:p>
    <w:p>
      <w:pPr>
        <w:spacing w:after="0" w:line="215" w:lineRule="exact"/>
        <w:rPr>
          <w:sz w:val="20"/>
          <w:szCs w:val="20"/>
          <w:color w:val="auto"/>
        </w:rPr>
      </w:pPr>
    </w:p>
    <w:p>
      <w:pPr>
        <w:jc w:val="both"/>
        <w:ind w:left="320" w:firstLine="324"/>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60" w:top="27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Three Month Period Ended September 29, 2013</w:t>
            </w:r>
          </w:p>
        </w:tc>
        <w:tc>
          <w:tcPr>
            <w:tcW w:w="1620" w:type="dxa"/>
            <w:vAlign w:val="bottom"/>
            <w:gridSpan w:val="2"/>
            <w:vMerge w:val="restart"/>
          </w:tcPr>
          <w:p>
            <w:pPr>
              <w:jc w:val="center"/>
              <w:ind w:left="43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Communications</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Discontinued</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13,507</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6,854</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20,361</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Segment contribution</w:t>
            </w:r>
          </w:p>
        </w:tc>
        <w:tc>
          <w:tcPr>
            <w:tcW w:w="7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3,601</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2,526</w:t>
            </w:r>
          </w:p>
        </w:tc>
        <w:tc>
          <w:tcPr>
            <w:tcW w:w="5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(5,475)</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Income taxes-deferred</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42,679</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32,268</w:t>
            </w:r>
          </w:p>
        </w:tc>
        <w:tc>
          <w:tcPr>
            <w:tcW w:w="52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13,728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88,675</w:t>
            </w:r>
          </w:p>
        </w:tc>
        <w:tc>
          <w:tcPr>
            <w:tcW w:w="0" w:type="dxa"/>
            <w:vAlign w:val="bottom"/>
          </w:tcPr>
          <w:p>
            <w:pPr>
              <w:spacing w:after="0"/>
              <w:rPr>
                <w:sz w:val="1"/>
                <w:szCs w:val="1"/>
                <w:color w:val="auto"/>
              </w:rPr>
            </w:pPr>
          </w:p>
        </w:tc>
      </w:tr>
      <w:tr>
        <w:trPr>
          <w:trHeight w:val="404"/>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Three Month Period Ended September 30, 2012</w:t>
            </w:r>
          </w:p>
        </w:tc>
        <w:tc>
          <w:tcPr>
            <w:tcW w:w="1620" w:type="dxa"/>
            <w:vAlign w:val="bottom"/>
            <w:gridSpan w:val="2"/>
            <w:vMerge w:val="restart"/>
          </w:tcPr>
          <w:p>
            <w:pPr>
              <w:jc w:val="center"/>
              <w:ind w:left="43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Communications</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Discontinued</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16,633</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9,548</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26,181</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Segment contribution</w:t>
            </w:r>
          </w:p>
        </w:tc>
        <w:tc>
          <w:tcPr>
            <w:tcW w:w="7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4,770</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3,449</w:t>
            </w:r>
          </w:p>
        </w:tc>
        <w:tc>
          <w:tcPr>
            <w:tcW w:w="5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(6,465)</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Income taxes-deferred</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54,031</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32,290</w:t>
            </w:r>
          </w:p>
        </w:tc>
        <w:tc>
          <w:tcPr>
            <w:tcW w:w="52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8,997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95,329</w:t>
            </w:r>
          </w:p>
        </w:tc>
        <w:tc>
          <w:tcPr>
            <w:tcW w:w="0" w:type="dxa"/>
            <w:vAlign w:val="bottom"/>
          </w:tcPr>
          <w:p>
            <w:pPr>
              <w:spacing w:after="0"/>
              <w:rPr>
                <w:sz w:val="1"/>
                <w:szCs w:val="1"/>
                <w:color w:val="auto"/>
              </w:rPr>
            </w:pPr>
          </w:p>
        </w:tc>
      </w:tr>
      <w:tr>
        <w:trPr>
          <w:trHeight w:val="404"/>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Nine Month Period Ended September 29, 2013</w:t>
            </w:r>
          </w:p>
        </w:tc>
        <w:tc>
          <w:tcPr>
            <w:tcW w:w="1620" w:type="dxa"/>
            <w:vAlign w:val="bottom"/>
            <w:gridSpan w:val="2"/>
            <w:vMerge w:val="restart"/>
          </w:tcPr>
          <w:p>
            <w:pPr>
              <w:jc w:val="center"/>
              <w:ind w:left="43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Communications</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Discontinued</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41,216</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17,443</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58,659</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Segment contribution</w:t>
            </w:r>
          </w:p>
        </w:tc>
        <w:tc>
          <w:tcPr>
            <w:tcW w:w="7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10,191</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6,837</w:t>
            </w:r>
          </w:p>
        </w:tc>
        <w:tc>
          <w:tcPr>
            <w:tcW w:w="5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(17,875)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Income taxes-deferred</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42,679</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32,268</w:t>
            </w:r>
          </w:p>
        </w:tc>
        <w:tc>
          <w:tcPr>
            <w:tcW w:w="52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13,728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88,675</w:t>
            </w:r>
          </w:p>
        </w:tc>
        <w:tc>
          <w:tcPr>
            <w:tcW w:w="0" w:type="dxa"/>
            <w:vAlign w:val="bottom"/>
          </w:tcPr>
          <w:p>
            <w:pPr>
              <w:spacing w:after="0"/>
              <w:rPr>
                <w:sz w:val="1"/>
                <w:szCs w:val="1"/>
                <w:color w:val="auto"/>
              </w:rPr>
            </w:pPr>
          </w:p>
        </w:tc>
      </w:tr>
      <w:tr>
        <w:trPr>
          <w:trHeight w:val="593"/>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jc w:val="right"/>
              <w:ind w:right="57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Nine Month Period Ended September 30, 2012</w:t>
            </w:r>
          </w:p>
        </w:tc>
        <w:tc>
          <w:tcPr>
            <w:tcW w:w="1940" w:type="dxa"/>
            <w:vAlign w:val="bottom"/>
            <w:gridSpan w:val="2"/>
            <w:vMerge w:val="restart"/>
          </w:tcPr>
          <w:p>
            <w:pPr>
              <w:jc w:val="center"/>
              <w:ind w:left="75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Communications</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Discontinued</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52,238</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20,150</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72,388</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Segment contribution</w:t>
            </w:r>
          </w:p>
        </w:tc>
        <w:tc>
          <w:tcPr>
            <w:tcW w:w="10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12,476</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6,803</w:t>
            </w:r>
          </w:p>
        </w:tc>
        <w:tc>
          <w:tcPr>
            <w:tcW w:w="5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(21,747)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Income taxes-deferred</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54,031</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32,290</w:t>
            </w:r>
          </w:p>
        </w:tc>
        <w:tc>
          <w:tcPr>
            <w:tcW w:w="52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8,997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95,329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 FAIR VALUE OF FINANCIAL INSTRUMENTS</w:t>
      </w:r>
    </w:p>
    <w:p>
      <w:pPr>
        <w:spacing w:after="0" w:line="252"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September 29, 2013 and December 31, 2012. The fair value of cash, trade accounts receivable, trade accounts payable, accrued liabilities, and our revolving credit facility approximates carrying value due to the short-term nature of these instruments.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 FIRE AT MANUFACTURING FACILITY</w:t>
      </w:r>
    </w:p>
    <w:p>
      <w:pPr>
        <w:spacing w:after="0" w:line="25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fire occurred after business hours and was extinguished quickly with no injuries, and the plant was back in full operation shortly thereafter with no significant disruption in supply or service to customers.</w:t>
      </w:r>
    </w:p>
    <w:p>
      <w:pPr>
        <w:spacing w:after="0" w:line="208"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The total amount of the loss pertaining to assets and the related expenses was approximately $1,589. The majority of our insurance claim is related to the recovery of damaged inventory. In June 2012, we received approximately $1,017 as a partial payment on our insurance claim, which resulted in no gain or loss being recognized. In April 2013, we have received $269 as a further payment on this claim, with no gain or loss recognized. As of September 29, 2013, we reflect a net receivable from the insurance company relating to this claim of $184, which is net of our deductible of approximately $132, and represents additional proceeds to be received. The deductible charge was expensed in the second quarter of 2011.</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 RECENT ACCOUNTING PRONOUNCEMENTS AND DEVELOPMENTS</w:t>
      </w:r>
    </w:p>
    <w:p>
      <w:pPr>
        <w:spacing w:after="0" w:line="252"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In March 2013, the FASB issued ASU 2013-05, “Parent’s Accounting for the Cumulative Translation Adjustment upon Derecognition of Certain Subsidiaries or Groups of Assets within a Foreign Entity or of an Investment in a Foreign Entity.” ASU 2013-05 provides that the cumulative translation adjustment is released into net income when a reporting entity ceases to have a controlling interest in a subsidiary that is controlled by a consolidated foreign entity. Further, this update states that the sale of an investment in a foreign entity includes both events that result in the loss of a controlling financial interest in a foreign entity, regardless of any retained investment, and events that result in an acquirer obtaining control through a step acquisition. ASU 2013-05 is effective prospectively for fiscal years beginning after December 15, 2013, with early adoption permitted. We do not believe that adoption of this standard will have a material impact on our consolidated results of operations and financial condition.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4" w:name="page25"/>
    <w:bookmarkEnd w:id="24"/>
    <w:p>
      <w:pPr>
        <w:jc w:val="both"/>
        <w:ind w:firstLine="324"/>
        <w:spacing w:after="0" w:line="291" w:lineRule="auto"/>
        <w:rPr>
          <w:sz w:val="20"/>
          <w:szCs w:val="20"/>
          <w:color w:val="auto"/>
        </w:rPr>
      </w:pPr>
      <w:r>
        <w:rPr>
          <w:rFonts w:ascii="Arial" w:cs="Arial" w:eastAsia="Arial" w:hAnsi="Arial"/>
          <w:sz w:val="16"/>
          <w:szCs w:val="16"/>
          <w:color w:val="auto"/>
        </w:rPr>
        <w:t>In February 2013, the FASB issued ASU 2013-02, “Reporting of Amounts Reclassified out of Accumulated Other Comprehensive Income.” ASU 2013-02 requires an entity to provide information about the amounts reclassified out of accumulated other comprehensive income by component as well as presentation, either on the face of the financial statement or in the notes, of significant amounts reclassified out of accumulated other comprehensive income by the respective line items of net income but only if the amount reclassified is required under U.S. GAAP to be reclassified to net income in its entirety in the same reporting period. For amounts that are not required to be reclassified in their entirety to net income, an entity is required to cross-reference to other disclosures that provide additional detail about those amounts. ASU 2013-02 is effective for fiscal years beginning after December 15, 2012. Adoption of this standard did not have a material impact on our consolidated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reduced U.S. defense spending, including the uncertainty with government budget approvals, timing delays in receiving orders relating to funded government projects, general domestic and global economic conditions, future demand for our products and services, the successful commercialization of our products, our resources being overwhelmed by our growth prospects, residual effects of negative news related to our industries and industry products, government and environmental regulations, business disruptions, including those caused by fires, product liability risks, the impairment of our intangible assets, the unique risks associated with our Chinese operations, loss of top management, the process of U.S. defense procurement, finalization of non-bid government contracts, raw material supplies, competition and customer strategies, technological innovations in the non-rechargeable and rechargeable battery industries, changes in our business strategy or development plans, capital deployment,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2012.</w:t>
      </w:r>
    </w:p>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factors or to publicly announce the results of any revisions to any of the forward-looking statements contained in this Quarterly Report on Form 10-Q to reflect new information, future events or other developments.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Condensed Consolidated Financial Statements and Notes thereto appearing elsewhere in this Form 10-Q and our Consolidated Financial Statements and Notes thereto contained in our Form 10-K for the year ended December 31, 2012.</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radio frequency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February 16, 2012, we announced our intention to divest our RedBlack Communications, Inc. (“RedBlack”) business in 2012. As a result of management’s ongoing review of our business portfolio, management had determined that RedBlack offered limited opportunities to achieve the operating criteria thresholds of our new business model. On September 28, 2012, we entered into and closed a Stock Purchase Agreement to sell 100% of our capital stock in RedBlack to BCF Solutions, Inc (the “Agreement”). In exchange for the sale of RedBlack, we received $2,533 as a purchase price, comprised of cash at closing in the amount of $2,133, funds held in escrow for up to one year in the amount of $250, as well as $150 to be available for RedBlack employee retention programs. In addition, in the second quarter of 2013 we recorded $125 for a customary post-closing working capital adjustment, which is reflected as a loss from discontinued operations. The Agreement contains customary representations and warranties that will survive for a period of two or three years. The Agreement also contains customary indemnification for breaches of the representations and warranties identified in the Agreement. Pursuant to the Agreement,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 Commencing with the first quarter of 2012, the results of the RedBlack operations and related divestiture costs have been reported as a discontinued operation.</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fourth quarter of 2012, we elected not to renew the lease for our U.K. manufacturing facility which expired on March 24, 2013, and relocated our sales and services operations to a smaller facility. As a result of this decision, we were required to restore the facility back to its original condition pursuant to the terms of the U.K. Facility Lease. In the fourth quarter of 2012, we recorded approximately $950 related to this requirement of which $200 was recorded as general &amp; administrative expenses and $750 was recorded as discontinued operations. This liability was settled in the first quarter of 2013 resulting in a gain from discontinued operations of $241. We expect to realize net savings of approximately $500 on an annualized basis beginning in the second quarter of 2013 due to this election.</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second quarter of 2013, we received a termination notice from the New York State Energy Research and Development Authority (“NYSERDA”) regarding our collaborative agreement to develop and demonstrate a large hybrid grid-connected energy storage system. Pursuant to the terms of the agreement, NYSERDA will reimburse us for certain construction and project research and development costs incurred through the date of termination. We plan to continue this project internally with smaller form batteries which provide greater opportunity and applicability in the markets we serve. However, due to the termination letter and the change in scope of the project, we performed a review of the details of costs capitalized in connection with this project to determine their future use. Those costs without an identifiable future use were written off in the second quarter of 2013 and totaled $56. The remaining capitalized costs were subjected to an impairment test based upon forecasted future cash flows, in accordance with current accounting guidance. No impairment was taken on the remaining capitalized costs.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Overview</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revenues of $20,361 for the three month period ended September 29, 2013, decreased by $5,820, or 22.2%, from $26,181 during the three month period ended September 30, 2012. This decrease is primarily attributable to the continued slowdown in the US government and defense order rate for rechargeable and non-rechargeable batteries and charger systems, as well as the effect of two large orders for our M-1 primary battery products and SATCOM systems units shipped in the third quarter of 2012</w:t>
      </w:r>
      <w:r>
        <w:rPr>
          <w:rFonts w:ascii="Arial" w:cs="Arial" w:eastAsia="Arial" w:hAnsi="Arial"/>
          <w:sz w:val="21"/>
          <w:szCs w:val="21"/>
          <w:color w:val="auto"/>
        </w:rPr>
        <w:t>.</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for the three month period ended September 29, 2013 was $6,127, or 30.1% of revenues, compared to $8,219, or 31.4% of revenues for the three month period ended September 30, 2012. The decrease in gross margin as a percentage of revenue is primarily due to lower overhead absorption as a consequence of strict inventory controls in the Battery &amp; Energy Products business segment, partially offset by favorable product mix in the Communications Systems business segment.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expenses decreased to $5,475 or 15.3% during the three month period ended September 29, 2013, from $6,465 during the three month period ended September 30, 2012, resulting primarily from continued actions to reduce general and administrative expenses and more focused spending in the development of new products.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profit was $652 for the three month period ended September 29, 2013, compared to $1,754 for the three month period ended September 30, 2012 reflecting lower gross profit resulting from the impact of the SATCOM system units’ shipment in the prior period, partially offset by reductions in operating expenses year over year.</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income from continuing operations was $607, or $0.04 per share, for the three month period ended September 29, 2013, compared to net income of $1,468, or $0.09 per share, for the three month period ended September 30, 2012. Net income from discontinued operations was $15, or $0.00 per share, for the three month period ended September 29, 2013 versus net income of $200, or $0.01 per share, for the three month period ended September 30, 2012. The income in the third quarter of 2012 reflects the operating results, sale, and related divestiture costs and tax benefits for RedBlack.</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Adjusted EBITDA from continuing operations, defined as net income (loss) attributable to Ultralife before net interest expense, provision (benefit) for income taxes, depreciation and amortization, plus/minus expenses/income that we do not consider reflective of our ongoing continuing operations, amounted to $1,798 in the third quarter of 2013 compared to $3,003 for the third quarter of 2012. See the section “Adjusted EBITDA from continuing operations” beginning on page 32 for a reconciliation of Adjusted EBITDA from continuing operations to net income (loss) attributable to Ultralife.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careful working capital management and cash generated from operations, our liquidity remains solid with no debt, and cash and cash equivalents, including restricted cash, of $10,785, a $5,414 improvement over the cash position of $5,371 as of the third quarter of 2012 and a $707 improvement over the cash position of $10,078 as of year-end. The increase in cash and cash equivalents is primarily attributable to our operating cost reductions and cash generated from our Lean initiatives, including reductions in inventory.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2013, although the Company's pending project pipelines are growing, the continuing U.S. Government budget challenges have muddled our predictability of converting Communication Systems’ sales opportunities in the timeframe originally forecasted. Primarily for this reason, management now expects that an overall year-over-year revenue decline could be approximately 20%, with Communications Systems revenues down in a comparable range for the year versus our prior expectations. Given the potential for reduced revenue, management now expects to report operating results in the range of breakeven to a modest operating loss for the year.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periods ended September 29, 2013 and September 30, 2012</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 month period ended September 29, 2013 amounted to $20,361, a decrease of $5,850, or 22.2%,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$26,181 reported for the three month period ended September 30, 2012.</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Battery &amp; Energy Products revenues decreased $3,126, or 18.8%, from $16,633 for the three month period ended September 30, 2012 to $13,507 for the three month period ended September 29, 2013. This decrease is primarily attributable to a large order for our M-1 primary battery products shipped in the third quarter of 2012 to service an allied country’s department of defense. The decrease also reflects the continued slowdown in the US government and defense order rate for rechargeable and non-rechargeable batteries and charger systems.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Communications Systems revenues decreased $2,694, or 28.2%, from $9,548 during the three month period ended September 30, 2012 to $6,854 for the three month period ended September 29, 2013. The decrease is attributable to shipments of SATCOM units in the amount of approximately $3,400 to a large prime contractor which services the US Department of Defense during the third quarter of 2012.</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Cost of Products Sold. </w:t>
      </w:r>
      <w:r>
        <w:rPr>
          <w:rFonts w:ascii="Arial" w:cs="Arial" w:eastAsia="Arial" w:hAnsi="Arial"/>
          <w:sz w:val="17"/>
          <w:szCs w:val="17"/>
          <w:color w:val="auto"/>
        </w:rPr>
        <w:t>Cost of products sold totaled $14,234 for the quarter ended September 29, 2013, a decrease of $3,728, or 20.8%,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$17,962 reported for the same three month period a year ago. Consolidated cost of products sold as a percentage of total revenue increased from 68.6% for the three month period ended September 30, 2012 to 69.9% for the three month period ended September 29, 2013. Correspondingly, consolidated gross margin was 30.1% for the three month period ended September 29, 2013, compared with 31.4% for the three month period ended September 30, 2012, primarily reflecting lower overhead absorption, partially offset by favorable product mix.</w:t>
      </w:r>
    </w:p>
    <w:p>
      <w:pPr>
        <w:spacing w:after="0" w:line="1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Battery &amp; Energy Products segment, the cost of products sold decreased $1,957, from $11,863 during the three month period ended September 30, 2012 to $9,906 during the three month period ended September 29, 2013. Battery &amp; Energy Products’ gross profit for the third quarter of 2013 was $3,601, or 26.7% of revenues, a decrease of $1,169 from gross profit of $4,770, or 28.7% of revenues, for the third quarter of 2012. Battery &amp; Energy Products’ gross margin as a percentage of revenues decreased by 200 basis points for the three month period ended September 29, 2013, primarily reflecting lower overhead absorption in our Newark facility driven by better balancing of production and inventory levels with demand, which resulted in consolidated inventory reductions of over $3,100 from the second quarter of 2013.</w:t>
      </w:r>
    </w:p>
    <w:p>
      <w:pPr>
        <w:spacing w:after="0" w:line="220" w:lineRule="exact"/>
        <w:rPr>
          <w:sz w:val="20"/>
          <w:szCs w:val="20"/>
          <w:color w:val="auto"/>
        </w:rPr>
      </w:pPr>
    </w:p>
    <w:p>
      <w:pPr>
        <w:jc w:val="both"/>
        <w:ind w:firstLine="729"/>
        <w:spacing w:after="0" w:line="302" w:lineRule="auto"/>
        <w:rPr>
          <w:sz w:val="20"/>
          <w:szCs w:val="20"/>
          <w:color w:val="auto"/>
        </w:rPr>
      </w:pPr>
      <w:r>
        <w:rPr>
          <w:rFonts w:ascii="Arial" w:cs="Arial" w:eastAsia="Arial" w:hAnsi="Arial"/>
          <w:sz w:val="16"/>
          <w:szCs w:val="16"/>
          <w:color w:val="auto"/>
        </w:rPr>
        <w:t>In our Communications Systems segment, the cost of products sold decreased by $1,771 from $6,099 during the three month period ended September 30, 2012 to $4,328 during the three month period ended September 29, 2013. Communications Systems’ gross profit for the third quarter of 2013 was $2,526, or 36.9% of revenues, a decrease of $923 from gross profit of $3,449, or 36.1% of revenues, for the third quarter of 2012. The increase in gross margin as a percentage of revenue during the third quarter of 2013 is primarily due to strong product mix and continued productivity improvements.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three month period ended September 29, 2013 totaled $5,475, a decrease of $990 or 15.3%</w:t>
      </w:r>
      <w:r>
        <w:rPr>
          <w:rFonts w:ascii="Arial" w:cs="Arial" w:eastAsia="Arial" w:hAnsi="Arial"/>
          <w:sz w:val="18"/>
          <w:szCs w:val="18"/>
          <w:b w:val="1"/>
          <w:bCs w:val="1"/>
          <w:color w:val="auto"/>
        </w:rPr>
        <w:t xml:space="preserve"> </w:t>
      </w:r>
      <w:r>
        <w:rPr>
          <w:rFonts w:ascii="Arial" w:cs="Arial" w:eastAsia="Arial" w:hAnsi="Arial"/>
          <w:sz w:val="18"/>
          <w:szCs w:val="18"/>
          <w:color w:val="auto"/>
        </w:rPr>
        <w:t>from $6,465 recorded during the three month period ended September 30, 2012, resulting primarily from continued actions to reduce general and administrative expenses and more focused spending in the development of new products.</w:t>
      </w:r>
    </w:p>
    <w:p>
      <w:pPr>
        <w:spacing w:after="0" w:line="2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Operating expenses as a percentage of revenues were 26.9% during the three month period ended September 29, 2013 as compared to 24.7% in the three month period ended September 30, 2012. Amortization expense associated with intangible assets related to our acquisitions was $102 for the third quarter of 2013 ($46 in selling, general and administrative expenses and $56 in research and development costs), compared with $122 for the third quarter of 2012 ($57 in selling, general, and administrative expenses and $65 in research and development costs). Research and development costs were $1,418 for the three month period ended September 29, 2013, a decrease of $178, or 11.2%, from $1,596 for the three month ended September 30, 2012, as we focused our spending on the development of new products with the highest estimated return on investment. Selling, general, and administrative expenses decreased $812, or 16.7%, to $4,057 during the three month period ending September 29, 2013 from $4,869 during the three month period ended September 30, 2012, reflecting continued actions to reduce discretionary general and administrative expenses to help fund additional revenue producing resources.</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$(61) for the three month period ended September 29, 2013 compared to $(111)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 period ended September 30, 2012. Interest expense, net of interest income, decreased $43, to $53 for the third quarter of 2013 from $96 for the comparable period in 2012, as a result of a lower unused line rate associated with our new asset based lending facility with PNC Bank. Miscellaneous expense amounted to $8 for the third quarter of 2013 compared with expense of $15 for the third quarter of 2012, primarily due to transactions impacted by changes in foreign currencies relative to the U.S. dollar.</w:t>
      </w:r>
    </w:p>
    <w:p>
      <w:pPr>
        <w:spacing w:after="0" w:line="21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recorded a tax benefit of $16 for the three month period ended September 29, 2013 compared with a tax provision of $175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 period ended September 30, 2012. The tax benefit in the third quarter of 2013 was primarily due to the timing of tax expense for our China operations related to a change in the statutory tax rate and the timing of temporary differences related to deferred tax liabilities generated from goodwill and certain intangible assets in our US operations. The effective consolidated tax rates for the three month periods ended September 29, 2013 and September 30, 2012 were: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20" w:type="dxa"/>
            <w:vAlign w:val="bottom"/>
            <w:gridSpan w:val="3"/>
          </w:tcPr>
          <w:p>
            <w:pPr>
              <w:jc w:val="center"/>
              <w:ind w:right="250"/>
              <w:spacing w:after="0"/>
              <w:rPr>
                <w:sz w:val="20"/>
                <w:szCs w:val="20"/>
                <w:color w:val="auto"/>
              </w:rPr>
            </w:pPr>
            <w:r>
              <w:rPr>
                <w:rFonts w:ascii="Arial" w:cs="Arial" w:eastAsia="Arial" w:hAnsi="Arial"/>
                <w:sz w:val="18"/>
                <w:szCs w:val="18"/>
                <w:color w:val="auto"/>
                <w:w w:val="90"/>
              </w:rPr>
              <w:t>Three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060" w:type="dxa"/>
            <w:vAlign w:val="bottom"/>
            <w:gridSpan w:val="2"/>
          </w:tcPr>
          <w:p>
            <w:pPr>
              <w:ind w:left="2840"/>
              <w:spacing w:after="0"/>
              <w:rPr>
                <w:sz w:val="20"/>
                <w:szCs w:val="20"/>
                <w:color w:val="auto"/>
              </w:rPr>
            </w:pPr>
            <w:r>
              <w:rPr>
                <w:rFonts w:ascii="Arial" w:cs="Arial" w:eastAsia="Arial" w:hAnsi="Arial"/>
                <w:sz w:val="18"/>
                <w:szCs w:val="18"/>
                <w:color w:val="auto"/>
              </w:rPr>
              <w:t>September 29,</w:t>
            </w:r>
          </w:p>
        </w:tc>
        <w:tc>
          <w:tcPr>
            <w:tcW w:w="28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w w:val="96"/>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Incomes Taxes (a)</w:t>
            </w:r>
          </w:p>
        </w:tc>
        <w:tc>
          <w:tcPr>
            <w:tcW w:w="302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(Benefit) (b)</w:t>
            </w:r>
          </w:p>
        </w:tc>
        <w:tc>
          <w:tcPr>
            <w:tcW w:w="3020" w:type="dxa"/>
            <w:vAlign w:val="bottom"/>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3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NOL carryforwards are subject to U.S. alternative minimum tax such that carryforwards can offset only 90% of alternative minimum taxable income. This limitation did not have an impact on income taxes determined for the third quarter of 2013 and 2012. The use of our U.K. NOL carryforwards may be limited due to the change in the U.K. operation during 2008 from a manufacturing and assembly center to primarily a distribution and service center.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0" w:name="page31"/>
    <w:bookmarkEnd w:id="30"/>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Income from discontinued operations, net of tax was $15 for the three month period ended September 29, 2013,</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income of $200 for the three month period ended September 30, 2012. The income in the three month period ended September 30, 2012 reflects the operating results, sale, and related divestiture costs and tax benefits for the RedBlack Communication business. For more information, see Note 2 to the Condensed Consolidated Financial Statements.</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and income attributable to Ultralife common shareholders per diluted</w:t>
      </w:r>
      <w:r>
        <w:rPr>
          <w:rFonts w:ascii="Arial" w:cs="Arial" w:eastAsia="Arial" w:hAnsi="Arial"/>
          <w:sz w:val="17"/>
          <w:szCs w:val="17"/>
          <w:b w:val="1"/>
          <w:bCs w:val="1"/>
          <w:color w:val="auto"/>
        </w:rPr>
        <w:t xml:space="preserve"> </w:t>
      </w:r>
      <w:r>
        <w:rPr>
          <w:rFonts w:ascii="Arial" w:cs="Arial" w:eastAsia="Arial" w:hAnsi="Arial"/>
          <w:sz w:val="17"/>
          <w:szCs w:val="17"/>
          <w:color w:val="auto"/>
        </w:rPr>
        <w:t>share was $644 and $0.04, respectively, for the three months ended September 29, 2013, compared to a net income attributable to Ultralife and income attributable to Ultralife common shareholders per diluted share of $1,679 and $0.10, respectively, for the three months ended September 30, 2012. Average common shares outstanding used to compute diluted earnings per share increased from 17,418,000 in the third quarter of 2012 to 17,532,000 in the third quarter of 2013, mainly due to stock option exercises and shares of common stock issued to our non-employee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periods ended September 29, 2013 and September 30, 2012</w:t>
      </w:r>
    </w:p>
    <w:p>
      <w:pPr>
        <w:spacing w:after="0" w:line="2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nine month period ended September 29, 2013 amounted to $58,659, a decrease of $13,729, or 19.0%,</w:t>
      </w:r>
      <w:r>
        <w:rPr>
          <w:rFonts w:ascii="Arial" w:cs="Arial" w:eastAsia="Arial" w:hAnsi="Arial"/>
          <w:sz w:val="18"/>
          <w:szCs w:val="18"/>
          <w:b w:val="1"/>
          <w:bCs w:val="1"/>
          <w:color w:val="auto"/>
        </w:rPr>
        <w:t xml:space="preserve"> </w:t>
      </w:r>
      <w:r>
        <w:rPr>
          <w:rFonts w:ascii="Arial" w:cs="Arial" w:eastAsia="Arial" w:hAnsi="Arial"/>
          <w:sz w:val="18"/>
          <w:szCs w:val="18"/>
          <w:color w:val="auto"/>
        </w:rPr>
        <w:t>from $72,388 for the nine month period ended September 30, 2012.</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Battery &amp; Energy Products sales decreased $11,022, or 21.1%, from $52,238 during the nine month period ended September 30, 2012 to $41,216 for the nine month period ended September 29, 2013. Revenues for Battery &amp; Energy Products decreased primarily due to the continued slowdown in U.S. government and defense order rate for rechargeable and non-rechargeable batteries and charger systems, lower sales of 9 Volt batteries resulting from the selloff of the remaining legacy products in the first quarter of 2012 with the introduction of the new battery design, as well as a large order for our M-1 primary battery products that took place in the third quarter of 2012.</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Communications Systems revenues decreased $2,707, or 13.4%, from $20,150 during the nine month period ended September 30, 2012 to $17,443 during the nine month period ended September 29, 2013. The year-over-year comparison reflects timing delays due to the government furloughs and shutdown, which has heightened the uncertainty of converting Communication Systems’ sales opportunities as planned, as well as shipments of SATCOM units in the amount of approximately $3,400 to a large prime contractor which services the US Department of Defense during the third quarter of 2012.</w:t>
      </w:r>
    </w:p>
    <w:p>
      <w:pPr>
        <w:spacing w:after="0" w:line="177"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b w:val="1"/>
          <w:bCs w:val="1"/>
          <w:color w:val="auto"/>
        </w:rPr>
        <w:t xml:space="preserve">Cost of Products Sold. </w:t>
      </w:r>
      <w:r>
        <w:rPr>
          <w:rFonts w:ascii="Arial" w:cs="Arial" w:eastAsia="Arial" w:hAnsi="Arial"/>
          <w:sz w:val="16"/>
          <w:szCs w:val="16"/>
          <w:color w:val="auto"/>
        </w:rPr>
        <w:t>Cost of products sold totaled $41,631 for the nine month period ended September 29, 2013, a decrease of $11,478, or</w:t>
      </w:r>
      <w:r>
        <w:rPr>
          <w:rFonts w:ascii="Arial" w:cs="Arial" w:eastAsia="Arial" w:hAnsi="Arial"/>
          <w:sz w:val="16"/>
          <w:szCs w:val="16"/>
          <w:b w:val="1"/>
          <w:bCs w:val="1"/>
          <w:color w:val="auto"/>
        </w:rPr>
        <w:t xml:space="preserve"> </w:t>
      </w:r>
      <w:r>
        <w:rPr>
          <w:rFonts w:ascii="Arial" w:cs="Arial" w:eastAsia="Arial" w:hAnsi="Arial"/>
          <w:sz w:val="16"/>
          <w:szCs w:val="16"/>
          <w:color w:val="auto"/>
        </w:rPr>
        <w:t>21.6%, from the $53,109 reported for the same nine month period a year ago. Consolidated cost of products sold as a percentage of total revenue decreased from 73.4% for the nine month period ended September 30, 2012 to 71.0% for the nine month period ended September 29, 2013. Correspondingly, consolidated gross margin was 29.0% for the nine month period ended September 29, 2013, compared with 26.6% for the nine month period ended September 30, 2012, primarily reflecting productivity gains in both businesses, favorable product mix and certain property tax credits related to prior years.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Battery &amp; Energy Products segment, the cost of products sold decreased $8,737, or 22.0%, from $39,762 during the nine month period ended September 30, 2012 to $31,025 during the nine month period ended September 29, 2013. Battery &amp; Energy Products’ gross profit for the first nine months of 2013 was $10,191, or 24.7% of revenues, as compared to gross profit of $12,476, or 23.9% of revenues, for the first nine months of 2012. Battery &amp; Energy Products’ gross margin increased by 80 basis points for the nine month period ended September 29, 2013, reflecting significant improvements in the overall productivity resulting from the reductions in labor and overhead spending, and, to a lesser extent, the receipt of certain property tax refunds relating to prior years.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1" w:name="page32"/>
    <w:bookmarkEnd w:id="31"/>
    <w:p>
      <w:pPr>
        <w:jc w:val="both"/>
        <w:ind w:firstLine="648"/>
        <w:spacing w:after="0" w:line="255" w:lineRule="auto"/>
        <w:rPr>
          <w:sz w:val="20"/>
          <w:szCs w:val="20"/>
          <w:color w:val="auto"/>
        </w:rPr>
      </w:pPr>
      <w:r>
        <w:rPr>
          <w:rFonts w:ascii="Arial" w:cs="Arial" w:eastAsia="Arial" w:hAnsi="Arial"/>
          <w:sz w:val="18"/>
          <w:szCs w:val="18"/>
          <w:color w:val="auto"/>
        </w:rPr>
        <w:t>In our Communications Systems segment, the cost of products sold decreased $2,741, or 20.5%, from $13,347 during the nine month period ended September 30, 2012 to $10,606 during the nine month period ended September 29, 2013. Communications Systems’ gross profit for the first nine months of 2013 was $6,837, or 39.2% of revenues, an increase of $34 from gross profit of $6,803, or 33.8% of revenues, for the first nine months of 2012. The 540 basis points increase in gross margin as a percentage of revenue during 2013 is the result of stronger product mix, continued productivity improvements in line with our Lean initiatives, and the impact in the second quarter of 2012 of a reserve for approximately $200 related to the request by a strategically important customer to upgrade certain products.</w:t>
      </w:r>
    </w:p>
    <w:p>
      <w:pPr>
        <w:spacing w:after="0" w:line="2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nine month period ended September 29, 2013 totaled $17,875, a decrease of $3,872 or</w:t>
      </w:r>
      <w:r>
        <w:rPr>
          <w:rFonts w:ascii="Arial" w:cs="Arial" w:eastAsia="Arial" w:hAnsi="Arial"/>
          <w:sz w:val="18"/>
          <w:szCs w:val="18"/>
          <w:b w:val="1"/>
          <w:bCs w:val="1"/>
          <w:color w:val="auto"/>
        </w:rPr>
        <w:t xml:space="preserve"> </w:t>
      </w:r>
      <w:r>
        <w:rPr>
          <w:rFonts w:ascii="Arial" w:cs="Arial" w:eastAsia="Arial" w:hAnsi="Arial"/>
          <w:sz w:val="18"/>
          <w:szCs w:val="18"/>
          <w:color w:val="auto"/>
        </w:rPr>
        <w:t>17.8%, from $21,747 for the nine month period ended September 30, 2012, resulting from continued actions to reduce general and administrative expenses, lower sales commissions and focused spending in the development of new products.</w:t>
      </w:r>
    </w:p>
    <w:p>
      <w:pPr>
        <w:spacing w:after="0" w:line="2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Overall, operating expenses as a percentage of revenues increased slightly to 30.5% during the first nine months of 2013 from 30.0% reported in the first nine months of 2012. Amortization expense associated with intangible assets related to our acquisitions was $301 for the first nine months of 2013 ($134 in selling, general and administrative expenses and $167 in research and development costs), compared with $372 for the first nine months of 2012 ($177 in selling, general, and administrative expenses and $195 in research and development costs). Research and development costs were $4,456 in the first nine months of 2013, a decrease of $1,250 or 21.9%, from $5,706 reported in the first nine months of 2012, as we focused our spending on the development of new products with the highest estimated return on investment. Selling, general, and administrative expenses decreased $2,622, or 16.3%, to $13,419 during the nine month period ended September 29, 2013 from $16,041 reported during the nine month period ended September 30, 2012, primarily reflecting on-going actions to reduce discretionary general and administrative expenses and lower sales commissions.</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$(203) for the first nine months of 2013, compared to $(295) for the first nine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2012. Interest expense, net of interest income, decreased $140, to $172 for the first nine months of 2013 from $312 for the comparable period in 2012, as a result of a lower unused line rate associated with our new asset based lending facility with PNC Bank. Miscellaneous income/expense amounted to expense of $31 for the first nine months of 2013 compared with income of $17 for the first nine months of 2012, primarily driven by transactions impacted by changes in foreign currencies relative to the U.S. dollar.</w:t>
      </w:r>
    </w:p>
    <w:p>
      <w:pPr>
        <w:spacing w:after="0" w:line="21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reflected a tax provision of $135 for the nine month period ended September 29, 2013 compared with a tax provision of $437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 period ended September 30, 2012. The expense is primarily due to (a) the recognition of deferred tax liabilities generated from goodwill and certain intangible assets that cannot be predicted to reverse for book purposes during our loss carryforward periods, and (b) the income reported for our China operations during the periods. The effective consolidated tax rate for the nine month periods ended September 29, 2013 and September 30, 2012 was: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340" w:type="dxa"/>
            <w:vAlign w:val="bottom"/>
            <w:gridSpan w:val="3"/>
          </w:tcPr>
          <w:p>
            <w:pPr>
              <w:jc w:val="right"/>
              <w:ind w:right="270"/>
              <w:spacing w:after="0"/>
              <w:rPr>
                <w:sz w:val="20"/>
                <w:szCs w:val="20"/>
                <w:color w:val="auto"/>
              </w:rPr>
            </w:pPr>
            <w:r>
              <w:rPr>
                <w:rFonts w:ascii="Arial" w:cs="Arial" w:eastAsia="Arial" w:hAnsi="Arial"/>
                <w:sz w:val="18"/>
                <w:szCs w:val="18"/>
                <w:color w:val="auto"/>
                <w:w w:val="91"/>
              </w:rPr>
              <w:t>Nine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580" w:type="dxa"/>
            <w:vAlign w:val="bottom"/>
            <w:gridSpan w:val="2"/>
          </w:tcPr>
          <w:p>
            <w:pPr>
              <w:ind w:left="3340"/>
              <w:spacing w:after="0"/>
              <w:rPr>
                <w:sz w:val="20"/>
                <w:szCs w:val="20"/>
                <w:color w:val="auto"/>
              </w:rPr>
            </w:pPr>
            <w:r>
              <w:rPr>
                <w:rFonts w:ascii="Arial" w:cs="Arial" w:eastAsia="Arial" w:hAnsi="Arial"/>
                <w:sz w:val="18"/>
                <w:szCs w:val="18"/>
                <w:color w:val="auto"/>
              </w:rPr>
              <w:t>September 29,</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w w:val="9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Incomes Taxes (a)</w:t>
            </w:r>
          </w:p>
        </w:tc>
        <w:tc>
          <w:tcPr>
            <w:tcW w:w="348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348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3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Certain of our NOL carryforwards are subject to U.S. alternative minimum tax such that carryforwards can offset only 90% of alternative minimum taxable income. This limitation did not have an impact on income taxes determined for the first nine months of 2013 and 2012. The use of our U.K. NOL carryforwards may be limited due to the change in the U.K. operation during 2008 from a manufacturing and assembly center to primarily a distribution and service center.</w:t>
      </w:r>
    </w:p>
    <w:p>
      <w:pPr>
        <w:spacing w:after="0" w:line="21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Income from discontinued operations, net of tax, totaled $159 for the nine month period ended September 29, 2013,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income of $178 for the nine month period ended September 30, 2012. The income realized in the nine month period ended September 29, 2013 was primarily related to the final settlement of the obligation to return the company’s former UK facility to its original condition per a previous contractual commitment, partially offset by the final post-closing working capital adjustment to the RedBlack Communications business purchase price. The income in the nine month period ended September 30, 2012 reflects the operating results, sale, and related divestiture costs and tax benefits for the RedBlack Communication business. For more information, see Note 2 to the Condensed Consolidated Financial Statements.</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Net Loss Attributable to Ultralife. </w:t>
      </w:r>
      <w:r>
        <w:rPr>
          <w:rFonts w:ascii="Arial" w:cs="Arial" w:eastAsia="Arial" w:hAnsi="Arial"/>
          <w:sz w:val="17"/>
          <w:szCs w:val="17"/>
          <w:color w:val="auto"/>
        </w:rPr>
        <w:t>Net loss attributable to Ultralife and loss attributable to Ultralife common shareholders per diluted share was</w:t>
      </w:r>
      <w:r>
        <w:rPr>
          <w:rFonts w:ascii="Arial" w:cs="Arial" w:eastAsia="Arial" w:hAnsi="Arial"/>
          <w:sz w:val="17"/>
          <w:szCs w:val="17"/>
          <w:b w:val="1"/>
          <w:bCs w:val="1"/>
          <w:color w:val="auto"/>
        </w:rPr>
        <w:t xml:space="preserve"> </w:t>
      </w:r>
      <w:r>
        <w:rPr>
          <w:rFonts w:ascii="Arial" w:cs="Arial" w:eastAsia="Arial" w:hAnsi="Arial"/>
          <w:sz w:val="17"/>
          <w:szCs w:val="17"/>
          <w:color w:val="auto"/>
        </w:rPr>
        <w:t>$995 and $0.06, respectively, for the nine month period ended September 29, 2013, compared to a net loss attributable to Ultralife and loss attributable to Ultralife common shareholders per diluted share of $2,991 and $0.17, respectively, for the nine month period ended September 30, 2012. Average common shares outstanding used to compute diluted earnings per share increased from 17,390,000 in the first nine months of 2012 to 17,461,000 in the first nine months of 2013, mainly due to stock option exercises and shares of common stock issued to our non-employee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20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jc w:val="both"/>
        <w:ind w:firstLine="486"/>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215" w:lineRule="exact"/>
        <w:rPr>
          <w:sz w:val="20"/>
          <w:szCs w:val="20"/>
          <w:color w:val="auto"/>
        </w:rPr>
      </w:pPr>
    </w:p>
    <w:p>
      <w:pPr>
        <w:jc w:val="both"/>
        <w:ind w:left="340" w:hanging="19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213" w:lineRule="exact"/>
        <w:rPr>
          <w:rFonts w:ascii="Arial" w:cs="Arial" w:eastAsia="Arial" w:hAnsi="Arial"/>
          <w:sz w:val="18"/>
          <w:szCs w:val="18"/>
          <w:color w:val="auto"/>
        </w:rPr>
      </w:pPr>
    </w:p>
    <w:p>
      <w:pPr>
        <w:ind w:left="340" w:hanging="19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97" w:lineRule="exact"/>
        <w:rPr>
          <w:rFonts w:ascii="Arial" w:cs="Arial" w:eastAsia="Arial" w:hAnsi="Arial"/>
          <w:sz w:val="18"/>
          <w:szCs w:val="18"/>
          <w:color w:val="auto"/>
        </w:rPr>
      </w:pPr>
    </w:p>
    <w:p>
      <w:pPr>
        <w:jc w:val="both"/>
        <w:ind w:left="340" w:hanging="19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208" w:lineRule="exact"/>
        <w:rPr>
          <w:rFonts w:ascii="Arial" w:cs="Arial" w:eastAsia="Arial" w:hAnsi="Arial"/>
          <w:sz w:val="18"/>
          <w:szCs w:val="18"/>
          <w:color w:val="auto"/>
        </w:rPr>
      </w:pPr>
    </w:p>
    <w:p>
      <w:pPr>
        <w:ind w:left="340" w:hanging="19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discontinued operations does not reflect our current business operations, discontinued operations includes the costs we incurred by exiting our Energy Services and certain of our UK businesses and divesting our RedBlack Communications business; and</w:t>
      </w:r>
    </w:p>
    <w:p>
      <w:pPr>
        <w:spacing w:after="0" w:line="197" w:lineRule="exact"/>
        <w:rPr>
          <w:rFonts w:ascii="Arial" w:cs="Arial" w:eastAsia="Arial" w:hAnsi="Arial"/>
          <w:sz w:val="18"/>
          <w:szCs w:val="18"/>
          <w:color w:val="auto"/>
        </w:rPr>
      </w:pPr>
    </w:p>
    <w:p>
      <w:pPr>
        <w:ind w:left="340" w:hanging="19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companies may calculate Adjusted EBITDA from continuing operations differently than we do, limiting its usefulness as a comparative measure.</w:t>
      </w:r>
    </w:p>
    <w:p>
      <w:pPr>
        <w:spacing w:after="0" w:line="2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1"/>
              </w:rPr>
              <w:t>Three Month Periods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1"/>
              </w:rPr>
              <w:t>Nine 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5"/>
              </w:rPr>
              <w:t>September 29,</w:t>
            </w: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5"/>
              </w:rPr>
              <w:t>September 30,</w:t>
            </w:r>
          </w:p>
        </w:tc>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5"/>
              </w:rPr>
              <w:t>September 29,</w:t>
            </w: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 interest expense, net</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Add (Less): income tax provision (benefit)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 depreciation expense</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Add: amortization of intangible assets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 stock-based compensation expense</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gain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cash flow information is being presented net of continuing and discontinued operations.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29, 2013, cash and cash equivalents totaled $10,365, an increase of $709 from the beginning of the year. During the nine month period ended September 29, 2013, we generated $1,401 of cash from operating activities as compared to using $229 of cash for the nine month period ended September 30, 2012. The generation of cash in 2013 resulted primarily from our net loss from continuing operations of $1,185 adjusted for the non-cash expenses of depreciation, amortization, and stock compensation.</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used $556 in cash for investing activities during the first nine months of 2013 compared with $128 in cash used for investing activities in the same period in 2012. The use of cash in 2013 is predominately for capital expenditures to improve our operations partially offset by the partial receipt of our working capital adjustment related to the sale of our RedBlack Communications business of $182. The use of cash in 2012 is the result of $2,011 used towards capital improvements, including the significant investment to automate certain production lines in China, an event that did not recur in 2013, and an increase of $250 for restricted cash relating to our sale of our RedBlack Communications business. These two items were offset by $2,133 cash received at closing from our sale of our RedBlack Communications business.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 period ended September 29, 2013, we generated $12 in funds from financing activities compared to the generation of $115 in funds in the same period of 2012. The financing activities in the first nine months of 2013 included a $12 inflow from stock option exercises. The financing activities in the first nine months of 2012 included a $115 inflow from stock option exercises.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Inventory turnover for the first nine months of 2013 was an annualized rate of approximately 2.0 turns per year as compared with 2.3 turns for the first nine months of 2012. The decrease in this metric is due mainly to lower sales period over period resulting primarily from delays in government spending.</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29, 2013, we had made commitments to purchase approximately $453 of production machinery and equipment, which we expect to fund through operating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May 24, 2013, we entered into a Revolving Credit, Guaranty and Security Agreement (the “Credit Agreement”) and related security agreements with PNC Bank, National Association (“PNC”) to establish a $20 million secured asset-based revolving credit facility that includes a $1 million letter of credit subfacility (the “Credit Facility”). The Credit Agreement provides that the Credit Facility may be increased with the PNC’s concurrence to $35 million prior to the last six months of the term and expires on May 24, 2017. The Credit Facility replaces the prior credit facility with RBS Business Capital, a division of RBS Asset Finance, Inc., which expired in accordance with its terms on May 15, 2013, with no debt outstanding.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the Company and listed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jc w:val="center"/>
              <w:ind w:left="1190"/>
              <w:spacing w:after="0"/>
              <w:rPr>
                <w:sz w:val="20"/>
                <w:szCs w:val="20"/>
                <w:color w:val="auto"/>
              </w:rPr>
            </w:pPr>
            <w:r>
              <w:rPr>
                <w:rFonts w:ascii="Arial" w:cs="Arial" w:eastAsia="Arial" w:hAnsi="Arial"/>
                <w:sz w:val="18"/>
                <w:szCs w:val="18"/>
                <w:color w:val="auto"/>
                <w:w w:val="91"/>
              </w:rPr>
              <w:t>Quarterly Average Undrawn</w:t>
            </w:r>
          </w:p>
        </w:tc>
        <w:tc>
          <w:tcPr>
            <w:tcW w:w="3500" w:type="dxa"/>
            <w:vAlign w:val="bottom"/>
          </w:tcPr>
          <w:p>
            <w:pPr>
              <w:jc w:val="right"/>
              <w:ind w:right="270"/>
              <w:spacing w:after="0"/>
              <w:rPr>
                <w:sz w:val="20"/>
                <w:szCs w:val="20"/>
                <w:color w:val="auto"/>
              </w:rPr>
            </w:pPr>
            <w:r>
              <w:rPr>
                <w:rFonts w:ascii="Arial" w:cs="Arial" w:eastAsia="Arial" w:hAnsi="Arial"/>
                <w:sz w:val="18"/>
                <w:szCs w:val="18"/>
                <w:color w:val="auto"/>
              </w:rPr>
              <w:t>Applicable Margin for</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w w:val="98"/>
              </w:rPr>
              <w:t>Applicable Margin for</w:t>
            </w:r>
          </w:p>
        </w:tc>
      </w:tr>
      <w:tr>
        <w:trPr>
          <w:trHeight w:val="230"/>
        </w:trPr>
        <w:tc>
          <w:tcPr>
            <w:tcW w:w="60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8"/>
              </w:rPr>
              <w:t>Borrowing Availability</w:t>
            </w:r>
          </w:p>
        </w:tc>
        <w:tc>
          <w:tcPr>
            <w:tcW w:w="3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Alternate Base Rate Loans</w:t>
            </w: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LIBOR Rate Loans</w:t>
            </w:r>
          </w:p>
        </w:tc>
      </w:tr>
      <w:tr>
        <w:trPr>
          <w:trHeight w:val="210"/>
        </w:trPr>
        <w:tc>
          <w:tcPr>
            <w:tcW w:w="60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Greater than $8,000,000</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6080" w:type="dxa"/>
            <w:vAlign w:val="bottom"/>
          </w:tcPr>
          <w:p>
            <w:pPr>
              <w:ind w:left="660"/>
              <w:spacing w:after="0"/>
              <w:rPr>
                <w:sz w:val="20"/>
                <w:szCs w:val="20"/>
                <w:color w:val="auto"/>
              </w:rPr>
            </w:pPr>
            <w:r>
              <w:rPr>
                <w:rFonts w:ascii="Arial" w:cs="Arial" w:eastAsia="Arial" w:hAnsi="Arial"/>
                <w:sz w:val="18"/>
                <w:szCs w:val="18"/>
                <w:color w:val="auto"/>
              </w:rPr>
              <w:t>$5,000,000 up to $8,000,000</w:t>
            </w:r>
          </w:p>
        </w:tc>
        <w:tc>
          <w:tcPr>
            <w:tcW w:w="3500" w:type="dxa"/>
            <w:vAlign w:val="bottom"/>
          </w:tcPr>
          <w:p>
            <w:pPr>
              <w:jc w:val="right"/>
              <w:spacing w:after="0"/>
              <w:rPr>
                <w:sz w:val="20"/>
                <w:szCs w:val="20"/>
                <w:color w:val="auto"/>
              </w:rPr>
            </w:pPr>
            <w:r>
              <w:rPr>
                <w:rFonts w:ascii="Arial" w:cs="Arial" w:eastAsia="Arial" w:hAnsi="Arial"/>
                <w:sz w:val="18"/>
                <w:szCs w:val="18"/>
                <w:color w:val="auto"/>
              </w:rPr>
              <w:t>1.25%</w:t>
            </w:r>
          </w:p>
        </w:tc>
        <w:tc>
          <w:tcPr>
            <w:tcW w:w="18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than $5,000,000</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must pay a fee on its unused availability of 0.375% per annum and customary letter of credit fees in addition to various collateral monitoring and related fees and expenses.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customary affirmative and negative covenants, we must maintain a fixed charge coverage ratio as defined in the Credit Agreement of 1:15 to 1:00 tested quarterly for the four-quarters then ended. As of September 29, 2013 we were in compliance with all covenants. The Credit Facility is secured by substantially all our assets.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29, 2013, we had $-0- outstanding under the Credit Facility, an applicable interest rate of 2.18%, approximately $12,781 of borrowing capacity in addition to our unrestricted cash on hand of $10,365, and no outstanding letters of credit related to the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Other Matters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participating in and providing technical assistance in support of an investigation conducted by a downstream customer and regulatory authorities with regard to a recent fire in an unoccupied and parked Boeing 787 Dreamliner aircraft.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Management exercises judgment in making important decisions pertaining to choosing and applying accounting policies and methodologies in many areas. Not only are these decisions necessary to comply with U.S. generally accepted accounting principles,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2012 Annual Report on Form 10-K should be reviewed for a greater understanding of how our financial performance is recorded and reported.</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nine months of 2013, there were no significant changes in the manner in which our significant accounting policies were applied or in which related assumptions and estimates were developed.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PART II OTHER INFORMATION</w:t>
            </w:r>
          </w:p>
        </w:tc>
        <w:tc>
          <w:tcPr>
            <w:tcW w:w="418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48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5580" w:type="dxa"/>
            <w:vAlign w:val="bottom"/>
            <w:gridSpan w:val="2"/>
          </w:tcPr>
          <w:p>
            <w:pPr>
              <w:ind w:left="360"/>
              <w:spacing w:after="0"/>
              <w:rPr>
                <w:sz w:val="20"/>
                <w:szCs w:val="20"/>
                <w:color w:val="auto"/>
              </w:rPr>
            </w:pPr>
            <w:r>
              <w:rPr>
                <w:rFonts w:ascii="Arial" w:cs="Arial" w:eastAsia="Arial" w:hAnsi="Arial"/>
                <w:sz w:val="18"/>
                <w:szCs w:val="18"/>
                <w:color w:val="auto"/>
              </w:rPr>
              <w:t>Legal Proceedings</w:t>
            </w:r>
          </w:p>
        </w:tc>
        <w:tc>
          <w:tcPr>
            <w:tcW w:w="4280" w:type="dxa"/>
            <w:vAlign w:val="bottom"/>
          </w:tcPr>
          <w:p>
            <w:pPr>
              <w:spacing w:after="0"/>
              <w:rPr>
                <w:sz w:val="24"/>
                <w:szCs w:val="24"/>
                <w:color w:val="auto"/>
              </w:rPr>
            </w:pP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None.</w:t>
            </w:r>
          </w:p>
        </w:tc>
        <w:tc>
          <w:tcPr>
            <w:tcW w:w="14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70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5580" w:type="dxa"/>
            <w:vAlign w:val="bottom"/>
            <w:gridSpan w:val="2"/>
          </w:tcPr>
          <w:p>
            <w:pPr>
              <w:ind w:left="360"/>
              <w:spacing w:after="0"/>
              <w:rPr>
                <w:sz w:val="20"/>
                <w:szCs w:val="20"/>
                <w:color w:val="auto"/>
              </w:rPr>
            </w:pPr>
            <w:r>
              <w:rPr>
                <w:rFonts w:ascii="Arial" w:cs="Arial" w:eastAsia="Arial" w:hAnsi="Arial"/>
                <w:sz w:val="18"/>
                <w:szCs w:val="18"/>
                <w:color w:val="auto"/>
              </w:rPr>
              <w:t>Exhibits</w:t>
            </w:r>
          </w:p>
        </w:tc>
        <w:tc>
          <w:tcPr>
            <w:tcW w:w="4280" w:type="dxa"/>
            <w:vAlign w:val="bottom"/>
          </w:tcPr>
          <w:p>
            <w:pPr>
              <w:spacing w:after="0"/>
              <w:rPr>
                <w:sz w:val="24"/>
                <w:szCs w:val="24"/>
                <w:color w:val="auto"/>
              </w:rPr>
            </w:pPr>
          </w:p>
        </w:tc>
      </w:tr>
      <w:tr>
        <w:trPr>
          <w:trHeight w:val="445"/>
        </w:trPr>
        <w:tc>
          <w:tcPr>
            <w:tcW w:w="1140" w:type="dxa"/>
            <w:vAlign w:val="bottom"/>
          </w:tcPr>
          <w:p>
            <w:pPr>
              <w:spacing w:after="0"/>
              <w:rPr>
                <w:sz w:val="20"/>
                <w:szCs w:val="20"/>
                <w:color w:val="auto"/>
              </w:rPr>
            </w:pPr>
            <w:r>
              <w:rPr>
                <w:rFonts w:ascii="Arial" w:cs="Arial" w:eastAsia="Arial" w:hAnsi="Arial"/>
                <w:sz w:val="18"/>
                <w:szCs w:val="18"/>
                <w:color w:val="auto"/>
              </w:rPr>
              <w:t>Exhibit</w:t>
            </w:r>
          </w:p>
        </w:tc>
        <w:tc>
          <w:tcPr>
            <w:tcW w:w="14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Index</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Description of Document</w:t>
            </w:r>
          </w:p>
        </w:tc>
        <w:tc>
          <w:tcPr>
            <w:tcW w:w="4280" w:type="dxa"/>
            <w:vAlign w:val="bottom"/>
          </w:tcPr>
          <w:p>
            <w:pPr>
              <w:ind w:left="1280"/>
              <w:spacing w:after="0"/>
              <w:rPr>
                <w:sz w:val="20"/>
                <w:szCs w:val="20"/>
                <w:color w:val="auto"/>
              </w:rPr>
            </w:pPr>
            <w:r>
              <w:rPr>
                <w:rFonts w:ascii="Arial" w:cs="Arial" w:eastAsia="Arial" w:hAnsi="Arial"/>
                <w:sz w:val="18"/>
                <w:szCs w:val="18"/>
                <w:color w:val="auto"/>
                <w:w w:val="91"/>
              </w:rPr>
              <w:t>Filed or Incorporated By Reference from:</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Rule 13a-14(a) / 15d-14(a) CEO Certifications</w:t>
            </w:r>
          </w:p>
        </w:tc>
        <w:tc>
          <w:tcPr>
            <w:tcW w:w="4280" w:type="dxa"/>
            <w:vAlign w:val="bottom"/>
          </w:tcPr>
          <w:p>
            <w:pPr>
              <w:ind w:left="128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Rule 13a-14(a) / 15d-14(a) CFO Certifications</w:t>
            </w:r>
          </w:p>
        </w:tc>
        <w:tc>
          <w:tcPr>
            <w:tcW w:w="4280" w:type="dxa"/>
            <w:vAlign w:val="bottom"/>
          </w:tcPr>
          <w:p>
            <w:pPr>
              <w:ind w:left="128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Section 1350 Certifications</w:t>
            </w:r>
          </w:p>
        </w:tc>
        <w:tc>
          <w:tcPr>
            <w:tcW w:w="4280" w:type="dxa"/>
            <w:vAlign w:val="bottom"/>
          </w:tcPr>
          <w:p>
            <w:pPr>
              <w:ind w:left="128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XBRL Instance Document</w:t>
            </w:r>
          </w:p>
        </w:tc>
        <w:tc>
          <w:tcPr>
            <w:tcW w:w="428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XBRL Taxonomy Extension Schema Document</w:t>
            </w:r>
          </w:p>
        </w:tc>
        <w:tc>
          <w:tcPr>
            <w:tcW w:w="428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XBRL Taxonomy Calculation Linkbase Document</w:t>
            </w:r>
          </w:p>
        </w:tc>
        <w:tc>
          <w:tcPr>
            <w:tcW w:w="428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XBRL Taxonomy Label Linkbase Document</w:t>
            </w:r>
          </w:p>
        </w:tc>
        <w:tc>
          <w:tcPr>
            <w:tcW w:w="428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XBRL Taxonomy Presentation Linkbase Document</w:t>
            </w:r>
          </w:p>
        </w:tc>
        <w:tc>
          <w:tcPr>
            <w:tcW w:w="428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5580" w:type="dxa"/>
            <w:vAlign w:val="bottom"/>
            <w:gridSpan w:val="2"/>
          </w:tcPr>
          <w:p>
            <w:pPr>
              <w:ind w:left="580"/>
              <w:spacing w:after="0"/>
              <w:rPr>
                <w:sz w:val="20"/>
                <w:szCs w:val="20"/>
                <w:color w:val="auto"/>
              </w:rPr>
            </w:pPr>
            <w:r>
              <w:rPr>
                <w:rFonts w:ascii="Arial" w:cs="Arial" w:eastAsia="Arial" w:hAnsi="Arial"/>
                <w:sz w:val="18"/>
                <w:szCs w:val="18"/>
                <w:color w:val="auto"/>
              </w:rPr>
              <w:t>XBRL Taxonomy Definition Document</w:t>
            </w:r>
          </w:p>
        </w:tc>
        <w:tc>
          <w:tcPr>
            <w:tcW w:w="428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820" w:hanging="650"/>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Rule 406T of Regulation S-T, the information in this exhibit is deemed not filed or part of a registration statement or prospectus for purposes of Section 11 or 12 of the Securities Act of 1933, as amended, is deemed not filed for purposes of Section 18 of the Securities Exchange Act of 1934, as amended, and is otherwise not subject to liability under these sections.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ULTRALIFE CORPORATION</w:t>
            </w:r>
          </w:p>
        </w:tc>
        <w:tc>
          <w:tcPr>
            <w:tcW w:w="8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7"/>
        </w:trPr>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8"/>
                <w:szCs w:val="18"/>
                <w:color w:val="auto"/>
                <w:w w:val="91"/>
              </w:rPr>
              <w:t>(Registrant)</w:t>
            </w:r>
          </w:p>
        </w:tc>
        <w:tc>
          <w:tcPr>
            <w:tcW w:w="1700" w:type="dxa"/>
            <w:vAlign w:val="bottom"/>
          </w:tcPr>
          <w:p>
            <w:pPr>
              <w:spacing w:after="0"/>
              <w:rPr>
                <w:sz w:val="20"/>
                <w:szCs w:val="20"/>
                <w:color w:val="auto"/>
              </w:rPr>
            </w:pPr>
          </w:p>
        </w:tc>
      </w:tr>
      <w:tr>
        <w:trPr>
          <w:trHeight w:val="608"/>
        </w:trPr>
        <w:tc>
          <w:tcPr>
            <w:tcW w:w="3940" w:type="dxa"/>
            <w:vAlign w:val="bottom"/>
            <w:gridSpan w:val="3"/>
          </w:tcPr>
          <w:p>
            <w:pPr>
              <w:ind w:left="460"/>
              <w:spacing w:after="0"/>
              <w:rPr>
                <w:sz w:val="20"/>
                <w:szCs w:val="20"/>
                <w:color w:val="auto"/>
              </w:rPr>
            </w:pPr>
            <w:r>
              <w:rPr>
                <w:rFonts w:ascii="Arial" w:cs="Arial" w:eastAsia="Arial" w:hAnsi="Arial"/>
                <w:sz w:val="18"/>
                <w:szCs w:val="18"/>
                <w:color w:val="auto"/>
              </w:rPr>
              <w:t>Date: November 8, 2013</w:t>
            </w:r>
          </w:p>
        </w:tc>
        <w:tc>
          <w:tcPr>
            <w:tcW w:w="5780" w:type="dxa"/>
            <w:vAlign w:val="bottom"/>
            <w:gridSpan w:val="4"/>
          </w:tcPr>
          <w:p>
            <w:pPr>
              <w:ind w:left="2000"/>
              <w:spacing w:after="0"/>
              <w:rPr>
                <w:sz w:val="20"/>
                <w:szCs w:val="20"/>
                <w:color w:val="auto"/>
              </w:rPr>
            </w:pPr>
            <w:r>
              <w:rPr>
                <w:rFonts w:ascii="Arial" w:cs="Arial" w:eastAsia="Arial" w:hAnsi="Arial"/>
                <w:sz w:val="18"/>
                <w:szCs w:val="18"/>
                <w:color w:val="auto"/>
              </w:rPr>
              <w:t>By: /s/ Michael D. Popielec</w:t>
            </w:r>
          </w:p>
        </w:tc>
        <w:tc>
          <w:tcPr>
            <w:tcW w:w="1700" w:type="dxa"/>
            <w:vAlign w:val="bottom"/>
          </w:tcPr>
          <w:p>
            <w:pPr>
              <w:spacing w:after="0"/>
              <w:rPr>
                <w:sz w:val="24"/>
                <w:szCs w:val="24"/>
                <w:color w:val="auto"/>
              </w:rPr>
            </w:pPr>
          </w:p>
        </w:tc>
      </w:tr>
      <w:tr>
        <w:trPr>
          <w:trHeight w:val="21"/>
        </w:trPr>
        <w:tc>
          <w:tcPr>
            <w:tcW w:w="90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420" w:type="dxa"/>
            <w:vAlign w:val="bottom"/>
            <w:gridSpan w:val="3"/>
          </w:tcPr>
          <w:p>
            <w:pPr>
              <w:spacing w:after="0" w:line="195" w:lineRule="exact"/>
              <w:rPr>
                <w:sz w:val="20"/>
                <w:szCs w:val="20"/>
                <w:color w:val="auto"/>
              </w:rPr>
            </w:pPr>
            <w:r>
              <w:rPr>
                <w:rFonts w:ascii="Arial" w:cs="Arial" w:eastAsia="Arial" w:hAnsi="Arial"/>
                <w:sz w:val="18"/>
                <w:szCs w:val="18"/>
                <w:color w:val="auto"/>
              </w:rPr>
              <w:t>Michael D. Popielec</w:t>
            </w:r>
          </w:p>
        </w:tc>
        <w:tc>
          <w:tcPr>
            <w:tcW w:w="1700" w:type="dxa"/>
            <w:vAlign w:val="bottom"/>
          </w:tcPr>
          <w:p>
            <w:pPr>
              <w:spacing w:after="0"/>
              <w:rPr>
                <w:sz w:val="16"/>
                <w:szCs w:val="16"/>
                <w:color w:val="auto"/>
              </w:rPr>
            </w:pPr>
          </w:p>
        </w:tc>
      </w:tr>
      <w:tr>
        <w:trPr>
          <w:trHeight w:val="216"/>
        </w:trPr>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20"/>
                <w:szCs w:val="20"/>
                <w:color w:val="auto"/>
              </w:rPr>
            </w:pPr>
          </w:p>
        </w:tc>
      </w:tr>
      <w:tr>
        <w:trPr>
          <w:trHeight w:val="392"/>
        </w:trPr>
        <w:tc>
          <w:tcPr>
            <w:tcW w:w="3940" w:type="dxa"/>
            <w:vAlign w:val="bottom"/>
            <w:gridSpan w:val="3"/>
          </w:tcPr>
          <w:p>
            <w:pPr>
              <w:ind w:left="460"/>
              <w:spacing w:after="0"/>
              <w:rPr>
                <w:sz w:val="20"/>
                <w:szCs w:val="20"/>
                <w:color w:val="auto"/>
              </w:rPr>
            </w:pPr>
            <w:r>
              <w:rPr>
                <w:rFonts w:ascii="Arial" w:cs="Arial" w:eastAsia="Arial" w:hAnsi="Arial"/>
                <w:sz w:val="18"/>
                <w:szCs w:val="18"/>
                <w:color w:val="auto"/>
              </w:rPr>
              <w:t>Date: November 8, 2013</w:t>
            </w:r>
          </w:p>
        </w:tc>
        <w:tc>
          <w:tcPr>
            <w:tcW w:w="5780" w:type="dxa"/>
            <w:vAlign w:val="bottom"/>
            <w:gridSpan w:val="4"/>
          </w:tcPr>
          <w:p>
            <w:pPr>
              <w:ind w:left="2000"/>
              <w:spacing w:after="0"/>
              <w:rPr>
                <w:sz w:val="20"/>
                <w:szCs w:val="20"/>
                <w:color w:val="auto"/>
              </w:rPr>
            </w:pPr>
            <w:r>
              <w:rPr>
                <w:rFonts w:ascii="Arial" w:cs="Arial" w:eastAsia="Arial" w:hAnsi="Arial"/>
                <w:sz w:val="18"/>
                <w:szCs w:val="18"/>
                <w:color w:val="auto"/>
              </w:rPr>
              <w:t>By: /s/ Philip A. Fain</w:t>
            </w:r>
          </w:p>
        </w:tc>
        <w:tc>
          <w:tcPr>
            <w:tcW w:w="1700" w:type="dxa"/>
            <w:vAlign w:val="bottom"/>
          </w:tcPr>
          <w:p>
            <w:pPr>
              <w:spacing w:after="0"/>
              <w:rPr>
                <w:sz w:val="24"/>
                <w:szCs w:val="24"/>
                <w:color w:val="auto"/>
              </w:rPr>
            </w:pPr>
          </w:p>
        </w:tc>
      </w:tr>
      <w:tr>
        <w:trPr>
          <w:trHeight w:val="21"/>
        </w:trPr>
        <w:tc>
          <w:tcPr>
            <w:tcW w:w="90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420" w:type="dxa"/>
            <w:vAlign w:val="bottom"/>
            <w:gridSpan w:val="3"/>
          </w:tcPr>
          <w:p>
            <w:pPr>
              <w:spacing w:after="0" w:line="195" w:lineRule="exact"/>
              <w:rPr>
                <w:sz w:val="20"/>
                <w:szCs w:val="20"/>
                <w:color w:val="auto"/>
              </w:rPr>
            </w:pPr>
            <w:r>
              <w:rPr>
                <w:rFonts w:ascii="Arial" w:cs="Arial" w:eastAsia="Arial" w:hAnsi="Arial"/>
                <w:sz w:val="18"/>
                <w:szCs w:val="18"/>
                <w:color w:val="auto"/>
              </w:rPr>
              <w:t>Philip A. Fain</w:t>
            </w:r>
          </w:p>
        </w:tc>
        <w:tc>
          <w:tcPr>
            <w:tcW w:w="1700" w:type="dxa"/>
            <w:vAlign w:val="bottom"/>
          </w:tcPr>
          <w:p>
            <w:pPr>
              <w:spacing w:after="0"/>
              <w:rPr>
                <w:sz w:val="16"/>
                <w:szCs w:val="16"/>
                <w:color w:val="auto"/>
              </w:rPr>
            </w:pPr>
          </w:p>
        </w:tc>
      </w:tr>
      <w:tr>
        <w:trPr>
          <w:trHeight w:val="216"/>
        </w:trPr>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c>
          <w:tcPr>
            <w:tcW w:w="17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(Principal Financial Officer and Principal</w:t>
            </w:r>
          </w:p>
        </w:tc>
        <w:tc>
          <w:tcPr>
            <w:tcW w:w="17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1700" w:type="dxa"/>
            <w:vAlign w:val="bottom"/>
          </w:tcPr>
          <w:p>
            <w:pPr>
              <w:spacing w:after="0"/>
              <w:rPr>
                <w:sz w:val="20"/>
                <w:szCs w:val="20"/>
                <w:color w:val="auto"/>
              </w:rPr>
            </w:pPr>
          </w:p>
        </w:tc>
      </w:tr>
      <w:tr>
        <w:trPr>
          <w:trHeight w:val="797"/>
        </w:trPr>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60" w:type="dxa"/>
            <w:vAlign w:val="bottom"/>
          </w:tcPr>
          <w:p>
            <w:pPr>
              <w:jc w:val="right"/>
              <w:ind w:right="41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5"/>
        </w:trPr>
        <w:tc>
          <w:tcPr>
            <w:tcW w:w="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61"/>
        </w:trPr>
        <w:tc>
          <w:tcPr>
            <w:tcW w:w="9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23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9980" w:type="dxa"/>
            <w:vAlign w:val="bottom"/>
          </w:tcPr>
          <w:p>
            <w:pPr>
              <w:ind w:left="3620"/>
              <w:spacing w:after="0"/>
              <w:rPr>
                <w:sz w:val="20"/>
                <w:szCs w:val="20"/>
                <w:color w:val="auto"/>
              </w:rPr>
            </w:pPr>
            <w:r>
              <w:rPr>
                <w:rFonts w:ascii="Arial" w:cs="Arial" w:eastAsia="Arial" w:hAnsi="Arial"/>
                <w:sz w:val="18"/>
                <w:szCs w:val="18"/>
                <w:color w:val="auto"/>
              </w:rPr>
              <w:t>Index to Exhibits</w:t>
            </w:r>
          </w:p>
        </w:tc>
      </w:tr>
      <w:tr>
        <w:trPr>
          <w:trHeight w:val="688"/>
        </w:trPr>
        <w:tc>
          <w:tcPr>
            <w:tcW w:w="1480" w:type="dxa"/>
            <w:vAlign w:val="bottom"/>
          </w:tcPr>
          <w:p>
            <w:pPr>
              <w:ind w:left="660"/>
              <w:spacing w:after="0"/>
              <w:rPr>
                <w:sz w:val="20"/>
                <w:szCs w:val="20"/>
                <w:color w:val="auto"/>
              </w:rPr>
            </w:pPr>
            <w:r>
              <w:rPr>
                <w:rFonts w:ascii="Arial" w:cs="Arial" w:eastAsia="Arial" w:hAnsi="Arial"/>
                <w:sz w:val="18"/>
                <w:szCs w:val="18"/>
                <w:color w:val="auto"/>
              </w:rPr>
              <w:t>31.1</w:t>
            </w:r>
          </w:p>
        </w:tc>
        <w:tc>
          <w:tcPr>
            <w:tcW w:w="9980" w:type="dxa"/>
            <w:vAlign w:val="bottom"/>
          </w:tcPr>
          <w:p>
            <w:pPr>
              <w:ind w:left="140"/>
              <w:spacing w:after="0"/>
              <w:rPr>
                <w:sz w:val="20"/>
                <w:szCs w:val="20"/>
                <w:color w:val="auto"/>
              </w:rPr>
            </w:pPr>
            <w:r>
              <w:rPr>
                <w:rFonts w:ascii="Arial" w:cs="Arial" w:eastAsia="Arial" w:hAnsi="Arial"/>
                <w:sz w:val="18"/>
                <w:szCs w:val="18"/>
                <w:color w:val="auto"/>
                <w:w w:val="94"/>
              </w:rPr>
              <w:t>Certification of Chief Executive Officer Pursuant to Rule 13a-14(a) of the Securities Exchange Act of 1934, as adopted pursuant to</w:t>
            </w:r>
          </w:p>
        </w:tc>
      </w:tr>
      <w:tr>
        <w:trPr>
          <w:trHeight w:val="216"/>
        </w:trPr>
        <w:tc>
          <w:tcPr>
            <w:tcW w:w="1480" w:type="dxa"/>
            <w:vAlign w:val="bottom"/>
          </w:tcPr>
          <w:p>
            <w:pPr>
              <w:spacing w:after="0"/>
              <w:rPr>
                <w:sz w:val="18"/>
                <w:szCs w:val="18"/>
                <w:color w:val="auto"/>
              </w:rPr>
            </w:pPr>
          </w:p>
        </w:tc>
        <w:tc>
          <w:tcPr>
            <w:tcW w:w="998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480" w:type="dxa"/>
            <w:vAlign w:val="bottom"/>
          </w:tcPr>
          <w:p>
            <w:pPr>
              <w:ind w:left="660"/>
              <w:spacing w:after="0"/>
              <w:rPr>
                <w:sz w:val="20"/>
                <w:szCs w:val="20"/>
                <w:color w:val="auto"/>
              </w:rPr>
            </w:pPr>
            <w:r>
              <w:rPr>
                <w:rFonts w:ascii="Arial" w:cs="Arial" w:eastAsia="Arial" w:hAnsi="Arial"/>
                <w:sz w:val="18"/>
                <w:szCs w:val="18"/>
                <w:color w:val="auto"/>
              </w:rPr>
              <w:t>31.2</w:t>
            </w:r>
          </w:p>
        </w:tc>
        <w:tc>
          <w:tcPr>
            <w:tcW w:w="9980" w:type="dxa"/>
            <w:vAlign w:val="bottom"/>
          </w:tcPr>
          <w:p>
            <w:pPr>
              <w:ind w:left="140"/>
              <w:spacing w:after="0"/>
              <w:rPr>
                <w:sz w:val="20"/>
                <w:szCs w:val="20"/>
                <w:color w:val="auto"/>
              </w:rPr>
            </w:pPr>
            <w:r>
              <w:rPr>
                <w:rFonts w:ascii="Arial" w:cs="Arial" w:eastAsia="Arial" w:hAnsi="Arial"/>
                <w:sz w:val="18"/>
                <w:szCs w:val="18"/>
                <w:color w:val="auto"/>
                <w:w w:val="95"/>
              </w:rPr>
              <w:t>Certification of Chief Financial Officer Pursuant to Rule 13a-14(a) of the Securities Exchange Act of 1934, as adopted pursuant to</w:t>
            </w:r>
          </w:p>
        </w:tc>
      </w:tr>
      <w:tr>
        <w:trPr>
          <w:trHeight w:val="216"/>
        </w:trPr>
        <w:tc>
          <w:tcPr>
            <w:tcW w:w="1480" w:type="dxa"/>
            <w:vAlign w:val="bottom"/>
          </w:tcPr>
          <w:p>
            <w:pPr>
              <w:spacing w:after="0"/>
              <w:rPr>
                <w:sz w:val="18"/>
                <w:szCs w:val="18"/>
                <w:color w:val="auto"/>
              </w:rPr>
            </w:pPr>
          </w:p>
        </w:tc>
        <w:tc>
          <w:tcPr>
            <w:tcW w:w="998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480" w:type="dxa"/>
            <w:vAlign w:val="bottom"/>
          </w:tcPr>
          <w:p>
            <w:pPr>
              <w:ind w:left="660"/>
              <w:spacing w:after="0"/>
              <w:rPr>
                <w:sz w:val="20"/>
                <w:szCs w:val="20"/>
                <w:color w:val="auto"/>
              </w:rPr>
            </w:pPr>
            <w:r>
              <w:rPr>
                <w:rFonts w:ascii="Arial" w:cs="Arial" w:eastAsia="Arial" w:hAnsi="Arial"/>
                <w:sz w:val="18"/>
                <w:szCs w:val="18"/>
                <w:color w:val="auto"/>
              </w:rPr>
              <w:t>32</w:t>
            </w:r>
          </w:p>
        </w:tc>
        <w:tc>
          <w:tcPr>
            <w:tcW w:w="9980" w:type="dxa"/>
            <w:vAlign w:val="bottom"/>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16"/>
        </w:trPr>
        <w:tc>
          <w:tcPr>
            <w:tcW w:w="1480" w:type="dxa"/>
            <w:vAlign w:val="bottom"/>
          </w:tcPr>
          <w:p>
            <w:pPr>
              <w:ind w:left="660"/>
              <w:spacing w:after="0"/>
              <w:rPr>
                <w:sz w:val="20"/>
                <w:szCs w:val="20"/>
                <w:color w:val="auto"/>
              </w:rPr>
            </w:pPr>
            <w:r>
              <w:rPr>
                <w:rFonts w:ascii="Arial" w:cs="Arial" w:eastAsia="Arial" w:hAnsi="Arial"/>
                <w:sz w:val="18"/>
                <w:szCs w:val="18"/>
                <w:color w:val="auto"/>
              </w:rPr>
              <w:t>101.INS</w:t>
            </w:r>
          </w:p>
        </w:tc>
        <w:tc>
          <w:tcPr>
            <w:tcW w:w="99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1480" w:type="dxa"/>
            <w:vAlign w:val="bottom"/>
          </w:tcPr>
          <w:p>
            <w:pPr>
              <w:ind w:left="660"/>
              <w:spacing w:after="0"/>
              <w:rPr>
                <w:sz w:val="20"/>
                <w:szCs w:val="20"/>
                <w:color w:val="auto"/>
              </w:rPr>
            </w:pPr>
            <w:r>
              <w:rPr>
                <w:rFonts w:ascii="Arial" w:cs="Arial" w:eastAsia="Arial" w:hAnsi="Arial"/>
                <w:sz w:val="18"/>
                <w:szCs w:val="18"/>
                <w:color w:val="auto"/>
              </w:rPr>
              <w:t>101.SCH</w:t>
            </w:r>
          </w:p>
        </w:tc>
        <w:tc>
          <w:tcPr>
            <w:tcW w:w="99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480" w:type="dxa"/>
            <w:vAlign w:val="bottom"/>
          </w:tcPr>
          <w:p>
            <w:pPr>
              <w:ind w:left="660"/>
              <w:spacing w:after="0"/>
              <w:rPr>
                <w:sz w:val="20"/>
                <w:szCs w:val="20"/>
                <w:color w:val="auto"/>
              </w:rPr>
            </w:pPr>
            <w:r>
              <w:rPr>
                <w:rFonts w:ascii="Arial" w:cs="Arial" w:eastAsia="Arial" w:hAnsi="Arial"/>
                <w:sz w:val="18"/>
                <w:szCs w:val="18"/>
                <w:color w:val="auto"/>
              </w:rPr>
              <w:t>101.CAL</w:t>
            </w:r>
          </w:p>
        </w:tc>
        <w:tc>
          <w:tcPr>
            <w:tcW w:w="998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480" w:type="dxa"/>
            <w:vAlign w:val="bottom"/>
          </w:tcPr>
          <w:p>
            <w:pPr>
              <w:ind w:left="660"/>
              <w:spacing w:after="0"/>
              <w:rPr>
                <w:sz w:val="20"/>
                <w:szCs w:val="20"/>
                <w:color w:val="auto"/>
              </w:rPr>
            </w:pPr>
            <w:r>
              <w:rPr>
                <w:rFonts w:ascii="Arial" w:cs="Arial" w:eastAsia="Arial" w:hAnsi="Arial"/>
                <w:sz w:val="18"/>
                <w:szCs w:val="18"/>
                <w:color w:val="auto"/>
              </w:rPr>
              <w:t>101.LAB</w:t>
            </w:r>
          </w:p>
        </w:tc>
        <w:tc>
          <w:tcPr>
            <w:tcW w:w="998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1480" w:type="dxa"/>
            <w:vAlign w:val="bottom"/>
          </w:tcPr>
          <w:p>
            <w:pPr>
              <w:ind w:left="660"/>
              <w:spacing w:after="0"/>
              <w:rPr>
                <w:sz w:val="20"/>
                <w:szCs w:val="20"/>
                <w:color w:val="auto"/>
              </w:rPr>
            </w:pPr>
            <w:r>
              <w:rPr>
                <w:rFonts w:ascii="Arial" w:cs="Arial" w:eastAsia="Arial" w:hAnsi="Arial"/>
                <w:sz w:val="18"/>
                <w:szCs w:val="18"/>
                <w:color w:val="auto"/>
              </w:rPr>
              <w:t>101.PRE</w:t>
            </w:r>
          </w:p>
        </w:tc>
        <w:tc>
          <w:tcPr>
            <w:tcW w:w="998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1480" w:type="dxa"/>
            <w:vAlign w:val="bottom"/>
          </w:tcPr>
          <w:p>
            <w:pPr>
              <w:ind w:left="660"/>
              <w:spacing w:after="0"/>
              <w:rPr>
                <w:sz w:val="20"/>
                <w:szCs w:val="20"/>
                <w:color w:val="auto"/>
              </w:rPr>
            </w:pPr>
            <w:r>
              <w:rPr>
                <w:rFonts w:ascii="Arial" w:cs="Arial" w:eastAsia="Arial" w:hAnsi="Arial"/>
                <w:sz w:val="18"/>
                <w:szCs w:val="18"/>
                <w:color w:val="auto"/>
              </w:rPr>
              <w:t>101.DEF</w:t>
            </w:r>
          </w:p>
        </w:tc>
        <w:tc>
          <w:tcPr>
            <w:tcW w:w="998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r>
        <w:trPr>
          <w:trHeight w:val="945"/>
        </w:trPr>
        <w:tc>
          <w:tcPr>
            <w:tcW w:w="1480" w:type="dxa"/>
            <w:vAlign w:val="bottom"/>
          </w:tcPr>
          <w:p>
            <w:pPr>
              <w:spacing w:after="0"/>
              <w:rPr>
                <w:sz w:val="24"/>
                <w:szCs w:val="24"/>
                <w:color w:val="auto"/>
              </w:rPr>
            </w:pPr>
          </w:p>
        </w:tc>
        <w:tc>
          <w:tcPr>
            <w:tcW w:w="9980" w:type="dxa"/>
            <w:vAlign w:val="bottom"/>
          </w:tcPr>
          <w:p>
            <w:pPr>
              <w:ind w:left="4140"/>
              <w:spacing w:after="0"/>
              <w:rPr>
                <w:sz w:val="20"/>
                <w:szCs w:val="20"/>
                <w:color w:val="auto"/>
              </w:rPr>
            </w:pPr>
            <w:r>
              <w:rPr>
                <w:rFonts w:ascii="Arial" w:cs="Arial" w:eastAsia="Arial" w:hAnsi="Arial"/>
                <w:sz w:val="18"/>
                <w:szCs w:val="18"/>
                <w:color w:val="auto"/>
              </w:rPr>
              <w:t>40</w:t>
            </w:r>
          </w:p>
        </w:tc>
      </w:tr>
      <w:tr>
        <w:trPr>
          <w:trHeight w:val="105"/>
        </w:trPr>
        <w:tc>
          <w:tcPr>
            <w:tcW w:w="1480" w:type="dxa"/>
            <w:vAlign w:val="bottom"/>
          </w:tcPr>
          <w:p>
            <w:pPr>
              <w:spacing w:after="0"/>
              <w:rPr>
                <w:sz w:val="9"/>
                <w:szCs w:val="9"/>
                <w:color w:val="auto"/>
              </w:rPr>
            </w:pPr>
          </w:p>
        </w:tc>
        <w:tc>
          <w:tcPr>
            <w:tcW w:w="9980" w:type="dxa"/>
            <w:vAlign w:val="bottom"/>
          </w:tcPr>
          <w:p>
            <w:pPr>
              <w:spacing w:after="0"/>
              <w:rPr>
                <w:sz w:val="9"/>
                <w:szCs w:val="9"/>
                <w:color w:val="auto"/>
              </w:rPr>
            </w:pPr>
          </w:p>
        </w:tc>
      </w:tr>
      <w:tr>
        <w:trPr>
          <w:trHeight w:val="61"/>
        </w:trPr>
        <w:tc>
          <w:tcPr>
            <w:tcW w:w="1480" w:type="dxa"/>
            <w:vAlign w:val="bottom"/>
            <w:shd w:val="clear" w:color="auto" w:fill="808080"/>
          </w:tcPr>
          <w:p>
            <w:pPr>
              <w:spacing w:after="0"/>
              <w:rPr>
                <w:sz w:val="5"/>
                <w:szCs w:val="5"/>
                <w:color w:val="auto"/>
              </w:rPr>
            </w:pPr>
          </w:p>
        </w:tc>
        <w:tc>
          <w:tcPr>
            <w:tcW w:w="9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74" w:right="199" w:bottom="1440" w:gutter="0" w:footer="0" w:header="0"/>
        </w:sectPr>
      </w:pPr>
    </w:p>
    <w:bookmarkStart w:id="40" w:name="page41"/>
    <w:bookmarkEnd w:id="40"/>
    <w:p>
      <w:pPr>
        <w:ind w:left="10540"/>
        <w:spacing w:after="0"/>
        <w:rPr>
          <w:sz w:val="20"/>
          <w:szCs w:val="20"/>
          <w:color w:val="auto"/>
        </w:rPr>
      </w:pPr>
      <w:r>
        <w:rPr>
          <w:rFonts w:ascii="Arial" w:cs="Arial" w:eastAsia="Arial" w:hAnsi="Arial"/>
          <w:sz w:val="16"/>
          <w:szCs w:val="16"/>
          <w:color w:val="auto"/>
        </w:rPr>
        <w:t>Exhibit 31.1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52"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52" w:lineRule="exact"/>
        <w:rPr>
          <w:rFonts w:ascii="Arial" w:cs="Arial" w:eastAsia="Arial" w:hAnsi="Arial"/>
          <w:sz w:val="18"/>
          <w:szCs w:val="18"/>
          <w:color w:val="auto"/>
        </w:rPr>
      </w:pPr>
    </w:p>
    <w:p>
      <w:pPr>
        <w:ind w:firstLine="8"/>
        <w:spacing w:after="0" w:line="342" w:lineRule="auto"/>
        <w:tabs>
          <w:tab w:leader="none" w:pos="72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9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firstLine="645"/>
        <w:spacing w:after="0" w:line="342" w:lineRule="auto"/>
        <w:tabs>
          <w:tab w:leader="none" w:pos="1562"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firstLine="645"/>
        <w:spacing w:after="0" w:line="264" w:lineRule="auto"/>
        <w:tabs>
          <w:tab w:leader="none" w:pos="157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firstLine="645"/>
        <w:spacing w:after="0" w:line="308" w:lineRule="auto"/>
        <w:tabs>
          <w:tab w:leader="none" w:pos="1573"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67"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color w:val="auto"/>
              </w:rPr>
              <w:t>Date: November 8, 2013</w:t>
            </w:r>
          </w:p>
        </w:tc>
        <w:tc>
          <w:tcPr>
            <w:tcW w:w="3120" w:type="dxa"/>
            <w:vAlign w:val="bottom"/>
            <w:gridSpan w:val="2"/>
          </w:tcPr>
          <w:p>
            <w:pPr>
              <w:ind w:left="1440"/>
              <w:spacing w:after="0"/>
              <w:rPr>
                <w:sz w:val="20"/>
                <w:szCs w:val="20"/>
                <w:color w:val="auto"/>
              </w:rPr>
            </w:pPr>
            <w:r>
              <w:rPr>
                <w:rFonts w:ascii="Arial" w:cs="Arial" w:eastAsia="Arial" w:hAnsi="Arial"/>
                <w:sz w:val="18"/>
                <w:szCs w:val="18"/>
                <w:color w:val="auto"/>
                <w:w w:val="90"/>
              </w:rPr>
              <w:t>/s/ Michael D. Popielec</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222"/>
        </w:trPr>
        <w:tc>
          <w:tcPr>
            <w:tcW w:w="4180" w:type="dxa"/>
            <w:vAlign w:val="bottom"/>
            <w:gridSpan w:val="3"/>
          </w:tcPr>
          <w:p>
            <w:pPr>
              <w:spacing w:after="0"/>
              <w:rPr>
                <w:sz w:val="20"/>
                <w:szCs w:val="20"/>
                <w:color w:val="auto"/>
              </w:rPr>
            </w:pPr>
            <w:r>
              <w:rPr>
                <w:rFonts w:ascii="Arial" w:cs="Arial" w:eastAsia="Arial" w:hAnsi="Arial"/>
                <w:sz w:val="18"/>
                <w:szCs w:val="18"/>
                <w:color w:val="auto"/>
              </w:rPr>
              <w:t>Michael D. Popielec</w:t>
            </w:r>
          </w:p>
        </w:tc>
        <w:tc>
          <w:tcPr>
            <w:tcW w:w="14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ind w:left="10540"/>
        <w:spacing w:after="0"/>
        <w:rPr>
          <w:sz w:val="20"/>
          <w:szCs w:val="20"/>
          <w:color w:val="auto"/>
        </w:rPr>
      </w:pPr>
      <w:r>
        <w:rPr>
          <w:rFonts w:ascii="Arial" w:cs="Arial" w:eastAsia="Arial" w:hAnsi="Arial"/>
          <w:sz w:val="16"/>
          <w:szCs w:val="16"/>
          <w:color w:val="auto"/>
        </w:rPr>
        <w:t>Exhibit 31.2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52"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52" w:lineRule="exact"/>
        <w:rPr>
          <w:rFonts w:ascii="Arial" w:cs="Arial" w:eastAsia="Arial" w:hAnsi="Arial"/>
          <w:sz w:val="18"/>
          <w:szCs w:val="18"/>
          <w:color w:val="auto"/>
        </w:rPr>
      </w:pPr>
    </w:p>
    <w:p>
      <w:pPr>
        <w:ind w:firstLine="8"/>
        <w:spacing w:after="0" w:line="342" w:lineRule="auto"/>
        <w:tabs>
          <w:tab w:leader="none" w:pos="72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firstLine="645"/>
        <w:spacing w:after="0" w:line="342" w:lineRule="auto"/>
        <w:tabs>
          <w:tab w:leader="none" w:pos="1562"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firstLine="645"/>
        <w:spacing w:after="0" w:line="264" w:lineRule="auto"/>
        <w:tabs>
          <w:tab w:leader="none" w:pos="157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firstLine="645"/>
        <w:spacing w:after="0" w:line="308" w:lineRule="auto"/>
        <w:tabs>
          <w:tab w:leader="none" w:pos="1573"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sz w:val="20"/>
                <w:szCs w:val="20"/>
                <w:color w:val="auto"/>
              </w:rPr>
            </w:pPr>
            <w:r>
              <w:rPr>
                <w:rFonts w:ascii="Arial" w:cs="Arial" w:eastAsia="Arial" w:hAnsi="Arial"/>
                <w:sz w:val="18"/>
                <w:szCs w:val="18"/>
                <w:color w:val="auto"/>
              </w:rPr>
              <w:t>Date: November 8, 2013</w:t>
            </w:r>
          </w:p>
        </w:tc>
        <w:tc>
          <w:tcPr>
            <w:tcW w:w="2680" w:type="dxa"/>
            <w:vAlign w:val="bottom"/>
            <w:gridSpan w:val="2"/>
          </w:tcPr>
          <w:p>
            <w:pPr>
              <w:ind w:left="1460"/>
              <w:spacing w:after="0"/>
              <w:rPr>
                <w:sz w:val="20"/>
                <w:szCs w:val="20"/>
                <w:color w:val="auto"/>
              </w:rPr>
            </w:pPr>
            <w:r>
              <w:rPr>
                <w:rFonts w:ascii="Arial" w:cs="Arial" w:eastAsia="Arial" w:hAnsi="Arial"/>
                <w:sz w:val="18"/>
                <w:szCs w:val="18"/>
                <w:color w:val="auto"/>
                <w:w w:val="92"/>
              </w:rPr>
              <w:t>/s/ Philip A. Fain</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Philip A. Fain</w:t>
            </w: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c>
          <w:tcPr>
            <w:tcW w:w="146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29, 2013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color w:val="auto"/>
              </w:rPr>
              <w:t>Date: November 8, 2013</w:t>
            </w:r>
          </w:p>
        </w:tc>
        <w:tc>
          <w:tcPr>
            <w:tcW w:w="3120" w:type="dxa"/>
            <w:vAlign w:val="bottom"/>
            <w:gridSpan w:val="3"/>
          </w:tcPr>
          <w:p>
            <w:pPr>
              <w:ind w:left="1440"/>
              <w:spacing w:after="0"/>
              <w:rPr>
                <w:sz w:val="20"/>
                <w:szCs w:val="20"/>
                <w:color w:val="auto"/>
              </w:rPr>
            </w:pPr>
            <w:r>
              <w:rPr>
                <w:rFonts w:ascii="Arial" w:cs="Arial" w:eastAsia="Arial" w:hAnsi="Arial"/>
                <w:sz w:val="18"/>
                <w:szCs w:val="18"/>
                <w:color w:val="auto"/>
                <w:w w:val="90"/>
              </w:rPr>
              <w:t>/s/ Michael D. Popielec</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22"/>
        </w:trPr>
        <w:tc>
          <w:tcPr>
            <w:tcW w:w="4180" w:type="dxa"/>
            <w:vAlign w:val="bottom"/>
            <w:gridSpan w:val="3"/>
          </w:tcPr>
          <w:p>
            <w:pPr>
              <w:spacing w:after="0"/>
              <w:rPr>
                <w:sz w:val="20"/>
                <w:szCs w:val="20"/>
                <w:color w:val="auto"/>
              </w:rPr>
            </w:pPr>
            <w:r>
              <w:rPr>
                <w:rFonts w:ascii="Arial" w:cs="Arial" w:eastAsia="Arial" w:hAnsi="Arial"/>
                <w:sz w:val="18"/>
                <w:szCs w:val="18"/>
                <w:color w:val="auto"/>
              </w:rPr>
              <w:t>Michael D. Popielec</w:t>
            </w: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662"/>
        </w:trPr>
        <w:tc>
          <w:tcPr>
            <w:tcW w:w="4180" w:type="dxa"/>
            <w:vAlign w:val="bottom"/>
            <w:gridSpan w:val="3"/>
          </w:tcPr>
          <w:p>
            <w:pPr>
              <w:spacing w:after="0"/>
              <w:rPr>
                <w:sz w:val="20"/>
                <w:szCs w:val="20"/>
                <w:color w:val="auto"/>
              </w:rPr>
            </w:pPr>
            <w:r>
              <w:rPr>
                <w:rFonts w:ascii="Arial" w:cs="Arial" w:eastAsia="Arial" w:hAnsi="Arial"/>
                <w:sz w:val="18"/>
                <w:szCs w:val="18"/>
                <w:color w:val="auto"/>
              </w:rPr>
              <w:t>Date: November 8, 2013</w:t>
            </w:r>
          </w:p>
        </w:tc>
        <w:tc>
          <w:tcPr>
            <w:tcW w:w="3120" w:type="dxa"/>
            <w:vAlign w:val="bottom"/>
            <w:gridSpan w:val="3"/>
          </w:tcPr>
          <w:p>
            <w:pPr>
              <w:ind w:left="1440"/>
              <w:spacing w:after="0"/>
              <w:rPr>
                <w:sz w:val="20"/>
                <w:szCs w:val="20"/>
                <w:color w:val="auto"/>
              </w:rPr>
            </w:pPr>
            <w:r>
              <w:rPr>
                <w:rFonts w:ascii="Arial" w:cs="Arial" w:eastAsia="Arial" w:hAnsi="Arial"/>
                <w:sz w:val="18"/>
                <w:szCs w:val="18"/>
                <w:color w:val="auto"/>
              </w:rPr>
              <w:t>/s/ Philip A. Fain</w:t>
            </w:r>
          </w:p>
        </w:tc>
      </w:tr>
      <w:tr>
        <w:trPr>
          <w:trHeight w:val="20"/>
        </w:trPr>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4180" w:type="dxa"/>
            <w:vAlign w:val="bottom"/>
            <w:gridSpan w:val="3"/>
          </w:tcPr>
          <w:p>
            <w:pPr>
              <w:spacing w:after="0"/>
              <w:rPr>
                <w:sz w:val="20"/>
                <w:szCs w:val="20"/>
                <w:color w:val="auto"/>
              </w:rPr>
            </w:pPr>
            <w:r>
              <w:rPr>
                <w:rFonts w:ascii="Arial" w:cs="Arial" w:eastAsia="Arial" w:hAnsi="Arial"/>
                <w:sz w:val="18"/>
                <w:szCs w:val="18"/>
                <w:color w:val="auto"/>
              </w:rPr>
              <w:t>Philip A. Fain</w:t>
            </w: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7"/>
    </w:lvl>
    <w:lvl w:ilvl="1">
      <w:lvlJc w:val="left"/>
      <w:lvlText w:val="%2."/>
      <w:numFmt w:val="lowerLetter"/>
      <w:start w:val="1"/>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2019-12-06T05:37:22Z</dcterms:created>
  <dcterms:modified xsi:type="dcterms:W3CDTF">2019-12-06T05:37:22Z</dcterms:modified>
</cp:coreProperties>
</file>