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 w:lineRule="exact"/>
        <w:rPr>
          <w:sz w:val="24"/>
          <w:szCs w:val="24"/>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2" w:lineRule="exact"/>
        <w:rPr>
          <w:rFonts w:ascii="MS PGothic" w:cs="MS PGothic" w:eastAsia="MS PGothic" w:hAnsi="MS PGothic"/>
          <w:sz w:val="18"/>
          <w:szCs w:val="18"/>
          <w:color w:val="auto"/>
        </w:rPr>
      </w:pPr>
    </w:p>
    <w:p>
      <w:pPr>
        <w:ind w:left="36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0" w:lineRule="exact"/>
        <w:rPr>
          <w:sz w:val="24"/>
          <w:szCs w:val="24"/>
          <w:color w:val="auto"/>
        </w:rPr>
      </w:pPr>
    </w:p>
    <w:p>
      <w:pPr>
        <w:ind w:left="3360" w:right="2000" w:hanging="3353"/>
        <w:spacing w:after="0" w:line="492" w:lineRule="auto"/>
        <w:tabs>
          <w:tab w:leader="none" w:pos="6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0-20852</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ULTRALIFE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860" w:type="dxa"/>
        <w:tblCellMar>
          <w:top w:w="0" w:type="dxa"/>
          <w:left w:w="0" w:type="dxa"/>
          <w:bottom w:w="0" w:type="dxa"/>
          <w:right w:w="0" w:type="dxa"/>
        </w:tblCellMar>
      </w:tblPr>
      <w:tr>
        <w:trPr>
          <w:trHeight w:val="217"/>
        </w:trPr>
        <w:tc>
          <w:tcPr>
            <w:tcW w:w="5060" w:type="dxa"/>
            <w:vAlign w:val="bottom"/>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4560" w:type="dxa"/>
            <w:vAlign w:val="bottom"/>
          </w:tcPr>
          <w:p>
            <w:pPr>
              <w:jc w:val="center"/>
              <w:ind w:left="731"/>
              <w:spacing w:after="0"/>
              <w:rPr>
                <w:sz w:val="20"/>
                <w:szCs w:val="20"/>
                <w:color w:val="auto"/>
              </w:rPr>
            </w:pPr>
            <w:r>
              <w:rPr>
                <w:rFonts w:ascii="Times New Roman" w:cs="Times New Roman" w:eastAsia="Times New Roman" w:hAnsi="Times New Roman"/>
                <w:sz w:val="18"/>
                <w:szCs w:val="18"/>
                <w:b w:val="1"/>
                <w:bCs w:val="1"/>
                <w:color w:val="auto"/>
                <w:w w:val="98"/>
              </w:rPr>
              <w:t>16-1387013</w:t>
            </w:r>
          </w:p>
        </w:tc>
      </w:tr>
      <w:tr>
        <w:trPr>
          <w:trHeight w:val="232"/>
        </w:trPr>
        <w:tc>
          <w:tcPr>
            <w:tcW w:w="5060" w:type="dxa"/>
            <w:vAlign w:val="bottom"/>
          </w:tcPr>
          <w:p>
            <w:pPr>
              <w:jc w:val="center"/>
              <w:ind w:right="71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56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08"/>
        </w:trPr>
        <w:tc>
          <w:tcPr>
            <w:tcW w:w="5060" w:type="dxa"/>
            <w:vAlign w:val="bottom"/>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8"/>
              </w:rPr>
              <w:t>2000 Technology Parkway Newark, New York 14513</w:t>
            </w:r>
          </w:p>
        </w:tc>
        <w:tc>
          <w:tcPr>
            <w:tcW w:w="4560" w:type="dxa"/>
            <w:vAlign w:val="bottom"/>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9"/>
              </w:rPr>
              <w:t>(315) 332-7100</w:t>
            </w:r>
          </w:p>
        </w:tc>
      </w:tr>
      <w:tr>
        <w:trPr>
          <w:trHeight w:val="232"/>
        </w:trPr>
        <w:tc>
          <w:tcPr>
            <w:tcW w:w="5060" w:type="dxa"/>
            <w:vAlign w:val="bottom"/>
          </w:tcPr>
          <w:p>
            <w:pPr>
              <w:jc w:val="center"/>
              <w:ind w:right="7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c>
          <w:tcPr>
            <w:tcW w:w="45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464" w:right="339" w:bottom="1440" w:gutter="0" w:footer="0" w:header="0"/>
        </w:sectPr>
      </w:pPr>
    </w:p>
    <w:p>
      <w:pPr>
        <w:spacing w:after="0" w:line="21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Common Stock, $0.10 par value per share</w:t>
      </w:r>
    </w:p>
    <w:p>
      <w:pPr>
        <w:spacing w:after="0" w:line="4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2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3">
            <w:col w:w="4280" w:space="720"/>
            <w:col w:w="1980" w:space="720"/>
            <w:col w:w="3540"/>
          </w:cols>
          <w:pgMar w:left="320" w:top="464" w:right="339" w:bottom="1440" w:gutter="0" w:footer="0" w:header="0"/>
          <w:type w:val="continuous"/>
        </w:sectPr>
      </w:pPr>
    </w:p>
    <w:p>
      <w:pPr>
        <w:spacing w:after="0" w:line="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4"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00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140" w:space="720"/>
            <w:col w:w="5380"/>
          </w:cols>
          <w:pgMar w:left="320" w:top="464" w:right="339" w:bottom="1440" w:gutter="0" w:footer="0" w:header="0"/>
          <w:type w:val="continuous"/>
        </w:sectPr>
      </w:pPr>
    </w:p>
    <w:p>
      <w:pPr>
        <w:spacing w:after="0" w:line="3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140" w:space="720"/>
            <w:col w:w="5380"/>
          </w:cols>
          <w:pgMar w:left="320" w:top="464" w:right="339" w:bottom="1440" w:gutter="0" w:footer="0" w:header="0"/>
          <w:type w:val="continuous"/>
        </w:sectPr>
      </w:pPr>
    </w:p>
    <w:p>
      <w:pPr>
        <w:spacing w:after="0" w:line="31" w:lineRule="exact"/>
        <w:rPr>
          <w:sz w:val="24"/>
          <w:szCs w:val="24"/>
          <w:color w:val="auto"/>
        </w:rPr>
      </w:pPr>
    </w:p>
    <w:p>
      <w:pPr>
        <w:ind w:left="58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464" w:right="339" w:bottom="1440" w:gutter="0" w:footer="0" w:header="0"/>
          <w:type w:val="continuous"/>
        </w:sectPr>
      </w:pPr>
    </w:p>
    <w:p>
      <w:pPr>
        <w:spacing w:after="0" w:line="272" w:lineRule="exact"/>
        <w:rPr>
          <w:sz w:val="24"/>
          <w:szCs w:val="24"/>
          <w:color w:val="auto"/>
        </w:rPr>
      </w:pPr>
    </w:p>
    <w:p>
      <w:pPr>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10, 2025, the registrant had 16,648,947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713422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642620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6"/>
        </w:trPr>
        <w:tc>
          <w:tcPr>
            <w:tcW w:w="1020" w:type="dxa"/>
            <w:vAlign w:val="bottom"/>
          </w:tcPr>
          <w:p>
            <w:pPr>
              <w:spacing w:after="0"/>
              <w:rPr>
                <w:sz w:val="20"/>
                <w:szCs w:val="20"/>
                <w:color w:val="auto"/>
              </w:rPr>
            </w:pPr>
          </w:p>
        </w:tc>
        <w:tc>
          <w:tcPr>
            <w:tcW w:w="936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27"/>
        </w:trPr>
        <w:tc>
          <w:tcPr>
            <w:tcW w:w="1020" w:type="dxa"/>
            <w:vAlign w:val="bottom"/>
          </w:tcPr>
          <w:p>
            <w:pPr>
              <w:spacing w:after="0"/>
              <w:rPr>
                <w:sz w:val="24"/>
                <w:szCs w:val="24"/>
                <w:color w:val="auto"/>
              </w:rPr>
            </w:pPr>
          </w:p>
        </w:tc>
        <w:tc>
          <w:tcPr>
            <w:tcW w:w="936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86"/>
        </w:trPr>
        <w:tc>
          <w:tcPr>
            <w:tcW w:w="10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8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10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1020" w:type="dxa"/>
            <w:vAlign w:val="bottom"/>
            <w:shd w:val="clear" w:color="auto" w:fill="CCEEFF"/>
          </w:tcPr>
          <w:p>
            <w:pPr>
              <w:spacing w:after="0"/>
              <w:rPr>
                <w:sz w:val="18"/>
                <w:szCs w:val="18"/>
                <w:color w:val="auto"/>
              </w:rPr>
            </w:pP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Balance Sheets as of September 30, 2025 and December 31, 2024</w:t>
            </w:r>
          </w:p>
        </w:tc>
        <w:tc>
          <w:tcPr>
            <w:tcW w:w="56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5"/>
        </w:trPr>
        <w:tc>
          <w:tcPr>
            <w:tcW w:w="1020" w:type="dxa"/>
            <w:vAlign w:val="bottom"/>
            <w:shd w:val="clear" w:color="auto" w:fill="CCEEFF"/>
          </w:tcPr>
          <w:p>
            <w:pPr>
              <w:spacing w:after="0"/>
              <w:rPr>
                <w:sz w:val="16"/>
                <w:szCs w:val="16"/>
                <w:color w:val="auto"/>
              </w:rPr>
            </w:pPr>
          </w:p>
        </w:tc>
        <w:tc>
          <w:tcPr>
            <w:tcW w:w="9360" w:type="dxa"/>
            <w:vAlign w:val="bottom"/>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auto"/>
              </w:rPr>
              <w:t>Consolidated Statements of Income (Loss) and Comprehensive Income (Loss) for the Three and Nine-Month Periods Ended</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232"/>
        </w:trPr>
        <w:tc>
          <w:tcPr>
            <w:tcW w:w="1020" w:type="dxa"/>
            <w:vAlign w:val="bottom"/>
            <w:shd w:val="clear" w:color="auto" w:fill="CCEEFF"/>
          </w:tcPr>
          <w:p>
            <w:pPr>
              <w:spacing w:after="0"/>
              <w:rPr>
                <w:sz w:val="20"/>
                <w:szCs w:val="20"/>
                <w:color w:val="auto"/>
              </w:rPr>
            </w:pP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September 30, 2025 and September 30, 2024</w:t>
            </w:r>
          </w:p>
        </w:tc>
        <w:tc>
          <w:tcPr>
            <w:tcW w:w="56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20"/>
                <w:szCs w:val="20"/>
                <w:color w:val="auto"/>
              </w:rPr>
            </w:pPr>
          </w:p>
        </w:tc>
      </w:tr>
      <w:tr>
        <w:trPr>
          <w:trHeight w:val="213"/>
        </w:trPr>
        <w:tc>
          <w:tcPr>
            <w:tcW w:w="10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1020" w:type="dxa"/>
            <w:vAlign w:val="bottom"/>
            <w:shd w:val="clear" w:color="auto" w:fill="CCEEFF"/>
          </w:tcPr>
          <w:p>
            <w:pPr>
              <w:spacing w:after="0"/>
              <w:rPr>
                <w:sz w:val="18"/>
                <w:szCs w:val="18"/>
                <w:color w:val="auto"/>
              </w:rPr>
            </w:pP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Statements of Cash Flows for the Nine-Month Periods Ended September 30, 2025 and September 30, 2024</w:t>
            </w:r>
          </w:p>
        </w:tc>
        <w:tc>
          <w:tcPr>
            <w:tcW w:w="56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5"/>
        </w:trPr>
        <w:tc>
          <w:tcPr>
            <w:tcW w:w="1020" w:type="dxa"/>
            <w:vAlign w:val="bottom"/>
            <w:shd w:val="clear" w:color="auto" w:fill="CCEEFF"/>
          </w:tcPr>
          <w:p>
            <w:pPr>
              <w:spacing w:after="0"/>
              <w:rPr>
                <w:sz w:val="16"/>
                <w:szCs w:val="16"/>
                <w:color w:val="auto"/>
              </w:rPr>
            </w:pPr>
          </w:p>
        </w:tc>
        <w:tc>
          <w:tcPr>
            <w:tcW w:w="9360" w:type="dxa"/>
            <w:vAlign w:val="bottom"/>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Nine-Month Periods Ended September 30,</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232"/>
        </w:trPr>
        <w:tc>
          <w:tcPr>
            <w:tcW w:w="1020" w:type="dxa"/>
            <w:vAlign w:val="bottom"/>
            <w:shd w:val="clear" w:color="auto" w:fill="CCEEFF"/>
          </w:tcPr>
          <w:p>
            <w:pPr>
              <w:spacing w:after="0"/>
              <w:rPr>
                <w:sz w:val="20"/>
                <w:szCs w:val="20"/>
                <w:color w:val="auto"/>
              </w:rPr>
            </w:pP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2025 and September 30, 2024</w:t>
            </w:r>
          </w:p>
        </w:tc>
        <w:tc>
          <w:tcPr>
            <w:tcW w:w="56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20"/>
                <w:szCs w:val="20"/>
                <w:color w:val="auto"/>
              </w:rPr>
            </w:pPr>
          </w:p>
        </w:tc>
      </w:tr>
      <w:tr>
        <w:trPr>
          <w:trHeight w:val="213"/>
        </w:trPr>
        <w:tc>
          <w:tcPr>
            <w:tcW w:w="10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1020" w:type="dxa"/>
            <w:vAlign w:val="bottom"/>
            <w:shd w:val="clear" w:color="auto" w:fill="CCEEFF"/>
          </w:tcPr>
          <w:p>
            <w:pPr>
              <w:spacing w:after="0"/>
              <w:rPr>
                <w:sz w:val="18"/>
                <w:szCs w:val="18"/>
                <w:color w:val="auto"/>
              </w:rPr>
            </w:pP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56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6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w:t>
            </w:r>
          </w:p>
        </w:tc>
        <w:tc>
          <w:tcPr>
            <w:tcW w:w="300" w:type="dxa"/>
            <w:vAlign w:val="bottom"/>
            <w:shd w:val="clear" w:color="auto" w:fill="CCEEFF"/>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29</w:t>
            </w:r>
          </w:p>
        </w:tc>
        <w:tc>
          <w:tcPr>
            <w:tcW w:w="300" w:type="dxa"/>
            <w:vAlign w:val="bottom"/>
            <w:shd w:val="clear" w:color="auto" w:fill="CCEEFF"/>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Exhibits</w:t>
            </w:r>
          </w:p>
        </w:tc>
        <w:tc>
          <w:tcPr>
            <w:tcW w:w="56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30</w:t>
            </w:r>
          </w:p>
        </w:tc>
        <w:tc>
          <w:tcPr>
            <w:tcW w:w="300" w:type="dxa"/>
            <w:vAlign w:val="bottom"/>
            <w:shd w:val="clear" w:color="auto" w:fill="CCEEFF"/>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1020" w:type="dxa"/>
            <w:vAlign w:val="bottom"/>
            <w:shd w:val="clear" w:color="auto" w:fill="CCEEFF"/>
          </w:tcPr>
          <w:p>
            <w:pPr>
              <w:spacing w:after="0"/>
              <w:rPr>
                <w:sz w:val="18"/>
                <w:szCs w:val="18"/>
                <w:color w:val="auto"/>
              </w:rPr>
            </w:pPr>
          </w:p>
        </w:tc>
        <w:tc>
          <w:tcPr>
            <w:tcW w:w="9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Signatures</w:t>
            </w:r>
          </w:p>
        </w:tc>
        <w:tc>
          <w:tcPr>
            <w:tcW w:w="56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31</w:t>
            </w:r>
          </w:p>
        </w:tc>
        <w:tc>
          <w:tcPr>
            <w:tcW w:w="300" w:type="dxa"/>
            <w:vAlign w:val="bottom"/>
            <w:shd w:val="clear" w:color="auto" w:fill="CCEEFF"/>
          </w:tcPr>
          <w:p>
            <w:pPr>
              <w:spacing w:after="0"/>
              <w:rPr>
                <w:sz w:val="18"/>
                <w:szCs w:val="18"/>
                <w:color w:val="auto"/>
              </w:rPr>
            </w:pPr>
          </w:p>
        </w:tc>
      </w:tr>
      <w:tr>
        <w:trPr>
          <w:trHeight w:val="567"/>
        </w:trPr>
        <w:tc>
          <w:tcPr>
            <w:tcW w:w="102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000" w:type="dxa"/>
            <w:vAlign w:val="bottom"/>
          </w:tcPr>
          <w:p>
            <w:pPr>
              <w:jc w:val="center"/>
              <w:ind w:left="3171"/>
              <w:spacing w:after="0"/>
              <w:rPr>
                <w:sz w:val="20"/>
                <w:szCs w:val="20"/>
                <w:color w:val="auto"/>
              </w:rPr>
            </w:pPr>
            <w:r>
              <w:rPr>
                <w:rFonts w:ascii="Times New Roman" w:cs="Times New Roman" w:eastAsia="Times New Roman" w:hAnsi="Times New Roman"/>
                <w:sz w:val="18"/>
                <w:szCs w:val="18"/>
                <w:b w:val="1"/>
                <w:bCs w:val="1"/>
                <w:color w:val="auto"/>
                <w:w w:val="98"/>
              </w:rPr>
              <w:t>ULTRALIFE CORPORATION AND SUBSIDIARIES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b w:val="1"/>
                <w:bCs w:val="1"/>
                <w:color w:val="auto"/>
                <w:w w:val="98"/>
              </w:rPr>
              <w:t>CONSOLIDATED BALANCE SHEETS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b w:val="1"/>
                <w:bCs w:val="1"/>
                <w:color w:val="auto"/>
                <w:w w:val="98"/>
              </w:rPr>
              <w:t>(In Thousands except share amounts)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00" w:type="dxa"/>
            <w:vAlign w:val="bottom"/>
            <w:shd w:val="clear" w:color="auto" w:fill="CCEEFF"/>
          </w:tcPr>
          <w:p>
            <w:pPr>
              <w:ind w:left="508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6,854</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$418 and $384, respectively</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30,929</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29,370</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52,747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51,363</w:t>
            </w:r>
          </w:p>
        </w:tc>
        <w:tc>
          <w:tcPr>
            <w:tcW w:w="0" w:type="dxa"/>
            <w:vAlign w:val="bottom"/>
          </w:tcPr>
          <w:p>
            <w:pPr>
              <w:spacing w:after="0"/>
              <w:rPr>
                <w:sz w:val="1"/>
                <w:szCs w:val="1"/>
                <w:color w:val="auto"/>
              </w:rPr>
            </w:pPr>
          </w:p>
        </w:tc>
      </w:tr>
      <w:tr>
        <w:trPr>
          <w:trHeight w:val="227"/>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7,683</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9,573</w:t>
            </w:r>
          </w:p>
        </w:tc>
        <w:tc>
          <w:tcPr>
            <w:tcW w:w="0" w:type="dxa"/>
            <w:vAlign w:val="bottom"/>
          </w:tcPr>
          <w:p>
            <w:pPr>
              <w:spacing w:after="0"/>
              <w:rPr>
                <w:sz w:val="1"/>
                <w:szCs w:val="1"/>
                <w:color w:val="auto"/>
              </w:rPr>
            </w:pPr>
          </w:p>
        </w:tc>
      </w:tr>
      <w:tr>
        <w:trPr>
          <w:trHeight w:val="207"/>
        </w:trPr>
        <w:tc>
          <w:tcPr>
            <w:tcW w:w="80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100,619</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40,536</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40,485</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45,336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45,006</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23,407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24,557</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8,413</w:t>
            </w:r>
          </w:p>
        </w:tc>
        <w:tc>
          <w:tcPr>
            <w:tcW w:w="0" w:type="dxa"/>
            <w:vAlign w:val="bottom"/>
          </w:tcPr>
          <w:p>
            <w:pPr>
              <w:spacing w:after="0"/>
              <w:rPr>
                <w:sz w:val="1"/>
                <w:szCs w:val="1"/>
                <w:color w:val="auto"/>
              </w:rPr>
            </w:pPr>
          </w:p>
        </w:tc>
      </w:tr>
      <w:tr>
        <w:trPr>
          <w:trHeight w:val="22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4,136</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20"/>
        </w:trPr>
        <w:tc>
          <w:tcPr>
            <w:tcW w:w="80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14,160</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27"/>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12,818</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9,470</w:t>
            </w:r>
          </w:p>
        </w:tc>
        <w:tc>
          <w:tcPr>
            <w:tcW w:w="0" w:type="dxa"/>
            <w:vAlign w:val="bottom"/>
          </w:tcPr>
          <w:p>
            <w:pPr>
              <w:spacing w:after="0"/>
              <w:rPr>
                <w:sz w:val="1"/>
                <w:szCs w:val="1"/>
                <w:color w:val="auto"/>
              </w:rPr>
            </w:pPr>
          </w:p>
        </w:tc>
      </w:tr>
      <w:tr>
        <w:trPr>
          <w:trHeight w:val="207"/>
        </w:trPr>
        <w:tc>
          <w:tcPr>
            <w:tcW w:w="80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46,518</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51,502</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3,239</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07"/>
        </w:trPr>
        <w:tc>
          <w:tcPr>
            <w:tcW w:w="80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84,813</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80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21,085,061 shares at</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September 30, 2025 and 21,069,079 shares at December 31, 2024; outstanding – 16,648,947 shares at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September 30, 2025 and 16,632,965 shares at December 31, 2024</w:t>
            </w: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192,622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191,828</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(32,918)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(34,442)</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(3,058)</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(4,006)</w:t>
            </w:r>
          </w:p>
        </w:tc>
        <w:tc>
          <w:tcPr>
            <w:tcW w:w="0" w:type="dxa"/>
            <w:vAlign w:val="bottom"/>
          </w:tcPr>
          <w:p>
            <w:pPr>
              <w:spacing w:after="0"/>
              <w:rPr>
                <w:sz w:val="1"/>
                <w:szCs w:val="1"/>
                <w:color w:val="auto"/>
              </w:rPr>
            </w:pPr>
          </w:p>
        </w:tc>
      </w:tr>
      <w:tr>
        <w:trPr>
          <w:trHeight w:val="195"/>
        </w:trPr>
        <w:tc>
          <w:tcPr>
            <w:tcW w:w="80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Treasury stock - at cost; 4,436,114 shares at September 30, 2025 and 4,436,114 shares at December 31,</w:t>
            </w:r>
          </w:p>
        </w:tc>
        <w:tc>
          <w:tcPr>
            <w:tcW w:w="140" w:type="dxa"/>
            <w:vAlign w:val="bottom"/>
            <w:shd w:val="clear" w:color="auto" w:fill="CCEEFF"/>
          </w:tcPr>
          <w:p>
            <w:pPr>
              <w:spacing w:after="0"/>
              <w:rPr>
                <w:sz w:val="16"/>
                <w:szCs w:val="16"/>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(21,492)</w:t>
            </w:r>
          </w:p>
        </w:tc>
        <w:tc>
          <w:tcPr>
            <w:tcW w:w="14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(21,492)</w:t>
            </w:r>
          </w:p>
        </w:tc>
        <w:tc>
          <w:tcPr>
            <w:tcW w:w="0" w:type="dxa"/>
            <w:vAlign w:val="bottom"/>
          </w:tcPr>
          <w:p>
            <w:pPr>
              <w:spacing w:after="0"/>
              <w:rPr>
                <w:sz w:val="1"/>
                <w:szCs w:val="1"/>
                <w:color w:val="auto"/>
              </w:rPr>
            </w:pPr>
          </w:p>
        </w:tc>
      </w:tr>
      <w:tr>
        <w:trPr>
          <w:trHeight w:val="23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20"/>
                <w:szCs w:val="20"/>
                <w:color w:val="auto"/>
              </w:rPr>
            </w:pPr>
          </w:p>
        </w:tc>
        <w:tc>
          <w:tcPr>
            <w:tcW w:w="15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137,263</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137,433</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134,187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222,246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220,451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9680" w:type="dxa"/>
            <w:vAlign w:val="bottom"/>
            <w:gridSpan w:val="4"/>
          </w:tcPr>
          <w:p>
            <w:pPr>
              <w:jc w:val="center"/>
              <w:ind w:left="1491"/>
              <w:spacing w:after="0"/>
              <w:rPr>
                <w:sz w:val="20"/>
                <w:szCs w:val="20"/>
                <w:color w:val="auto"/>
              </w:rPr>
            </w:pPr>
            <w:r>
              <w:rPr>
                <w:rFonts w:ascii="Times New Roman" w:cs="Times New Roman" w:eastAsia="Times New Roman" w:hAnsi="Times New Roman"/>
                <w:sz w:val="18"/>
                <w:szCs w:val="18"/>
                <w:color w:val="auto"/>
                <w:w w:val="98"/>
              </w:rPr>
              <w:t>The accompanying notes are an integral part of these consolidated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 AND COMPREHENSIVE INCOME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80" w:type="dxa"/>
            <w:vAlign w:val="bottom"/>
          </w:tcPr>
          <w:p>
            <w:pPr>
              <w:spacing w:after="0"/>
              <w:rPr>
                <w:sz w:val="20"/>
                <w:szCs w:val="20"/>
                <w:color w:val="auto"/>
              </w:rPr>
            </w:pPr>
          </w:p>
        </w:tc>
        <w:tc>
          <w:tcPr>
            <w:tcW w:w="236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1280" w:type="dxa"/>
            <w:vAlign w:val="bottom"/>
            <w:tcBorders>
              <w:top w:val="single" w:sz="8" w:color="auto"/>
            </w:tcBorders>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43,371</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35,694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142,678</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120,604</w:t>
            </w:r>
          </w:p>
        </w:tc>
        <w:tc>
          <w:tcPr>
            <w:tcW w:w="0" w:type="dxa"/>
            <w:vAlign w:val="bottom"/>
          </w:tcPr>
          <w:p>
            <w:pPr>
              <w:spacing w:after="0"/>
              <w:rPr>
                <w:sz w:val="1"/>
                <w:szCs w:val="1"/>
                <w:color w:val="auto"/>
              </w:rPr>
            </w:pPr>
          </w:p>
        </w:tc>
      </w:tr>
      <w:tr>
        <w:trPr>
          <w:trHeight w:val="22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27,012</w:t>
            </w: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108,713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88,889</w:t>
            </w:r>
          </w:p>
        </w:tc>
        <w:tc>
          <w:tcPr>
            <w:tcW w:w="0" w:type="dxa"/>
            <w:vAlign w:val="bottom"/>
          </w:tcPr>
          <w:p>
            <w:pPr>
              <w:spacing w:after="0"/>
              <w:rPr>
                <w:sz w:val="1"/>
                <w:szCs w:val="1"/>
                <w:color w:val="auto"/>
              </w:rPr>
            </w:pPr>
          </w:p>
        </w:tc>
      </w:tr>
      <w:tr>
        <w:trPr>
          <w:trHeight w:val="207"/>
        </w:trPr>
        <w:tc>
          <w:tcPr>
            <w:tcW w:w="5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2,101</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5,854</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17,370</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8,491</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27"/>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7"/>
        </w:trPr>
        <w:tc>
          <w:tcPr>
            <w:tcW w:w="59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7,806</w:t>
            </w:r>
          </w:p>
        </w:tc>
        <w:tc>
          <w:tcPr>
            <w:tcW w:w="0" w:type="dxa"/>
            <w:vAlign w:val="bottom"/>
          </w:tcPr>
          <w:p>
            <w:pPr>
              <w:spacing w:after="0"/>
              <w:rPr>
                <w:sz w:val="1"/>
                <w:szCs w:val="1"/>
                <w:color w:val="auto"/>
              </w:rPr>
            </w:pPr>
          </w:p>
        </w:tc>
      </w:tr>
      <w:tr>
        <w:trPr>
          <w:trHeight w:val="22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07"/>
        </w:trPr>
        <w:tc>
          <w:tcPr>
            <w:tcW w:w="5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7"/>
        </w:trPr>
        <w:tc>
          <w:tcPr>
            <w:tcW w:w="5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Ultralife Corporation</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6,118</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Ultralife Corporation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2,472</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Net (loss) income per share attributable to Ultralife common stockholders </w:t>
            </w: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gridSpan w:val="2"/>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2"/>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Net (loss) income per share attributable to Ultralife common stockholders </w:t>
            </w: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gridSpan w:val="2"/>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2"/>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16,625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16,530</w:t>
            </w:r>
          </w:p>
        </w:tc>
        <w:tc>
          <w:tcPr>
            <w:tcW w:w="0" w:type="dxa"/>
            <w:vAlign w:val="bottom"/>
          </w:tcPr>
          <w:p>
            <w:pPr>
              <w:spacing w:after="0"/>
              <w:rPr>
                <w:sz w:val="1"/>
                <w:szCs w:val="1"/>
                <w:color w:val="auto"/>
              </w:rPr>
            </w:pPr>
          </w:p>
        </w:tc>
      </w:tr>
      <w:tr>
        <w:trPr>
          <w:trHeight w:val="227"/>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Potential common shares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84"/>
        </w:trPr>
        <w:tc>
          <w:tcPr>
            <w:tcW w:w="8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322"/>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1"/>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gridSpan w:val="2"/>
          </w:tcPr>
          <w:p>
            <w:pPr>
              <w:spacing w:after="0"/>
              <w:rPr>
                <w:sz w:val="16"/>
                <w:szCs w:val="16"/>
                <w:color w:val="auto"/>
              </w:rPr>
            </w:pPr>
          </w:p>
        </w:tc>
      </w:tr>
      <w:tr>
        <w:trPr>
          <w:trHeight w:val="236"/>
        </w:trPr>
        <w:tc>
          <w:tcPr>
            <w:tcW w:w="8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8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5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2,966</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tcPr>
          <w:p>
            <w:pPr>
              <w:spacing w:after="0"/>
              <w:rPr>
                <w:sz w:val="18"/>
                <w:szCs w:val="18"/>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shd w:val="clear" w:color="auto" w:fill="CCEEFF"/>
          </w:tcPr>
          <w:p>
            <w:pPr>
              <w:spacing w:after="0"/>
              <w:rPr>
                <w:sz w:val="18"/>
                <w:szCs w:val="18"/>
                <w:color w:val="auto"/>
              </w:rPr>
            </w:pPr>
          </w:p>
        </w:tc>
      </w:tr>
      <w:tr>
        <w:trPr>
          <w:trHeight w:val="213"/>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140" w:type="dxa"/>
            <w:vAlign w:val="bottom"/>
          </w:tcPr>
          <w:p>
            <w:pPr>
              <w:spacing w:after="0"/>
              <w:rPr>
                <w:sz w:val="18"/>
                <w:szCs w:val="18"/>
                <w:color w:val="auto"/>
              </w:rPr>
            </w:pPr>
          </w:p>
        </w:tc>
        <w:tc>
          <w:tcPr>
            <w:tcW w:w="15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18"/>
                <w:szCs w:val="18"/>
                <w:color w:val="auto"/>
              </w:rPr>
            </w:pPr>
          </w:p>
        </w:tc>
      </w:tr>
      <w:tr>
        <w:trPr>
          <w:trHeight w:val="213"/>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5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tcPr>
          <w:p>
            <w:pPr>
              <w:spacing w:after="0"/>
              <w:rPr>
                <w:sz w:val="18"/>
                <w:szCs w:val="18"/>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8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5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(1,435)</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80" w:type="dxa"/>
            <w:vAlign w:val="bottom"/>
          </w:tcPr>
          <w:p>
            <w:pPr>
              <w:spacing w:after="0"/>
              <w:rPr>
                <w:sz w:val="18"/>
                <w:szCs w:val="18"/>
                <w:color w:val="auto"/>
              </w:rPr>
            </w:pPr>
          </w:p>
        </w:tc>
      </w:tr>
      <w:tr>
        <w:trPr>
          <w:trHeight w:val="213"/>
        </w:trPr>
        <w:tc>
          <w:tcPr>
            <w:tcW w:w="8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(1,127)</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(1,553)</w:t>
            </w:r>
          </w:p>
        </w:tc>
      </w:tr>
      <w:tr>
        <w:trPr>
          <w:trHeight w:val="213"/>
        </w:trPr>
        <w:tc>
          <w:tcPr>
            <w:tcW w:w="8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15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2,404</w:t>
            </w:r>
          </w:p>
        </w:tc>
        <w:tc>
          <w:tcPr>
            <w:tcW w:w="14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(2,670)</w:t>
            </w:r>
          </w:p>
        </w:tc>
      </w:tr>
      <w:tr>
        <w:trPr>
          <w:trHeight w:val="227"/>
        </w:trPr>
        <w:tc>
          <w:tcPr>
            <w:tcW w:w="8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2,944</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80" w:type="dxa"/>
            <w:vAlign w:val="bottom"/>
            <w:shd w:val="clear" w:color="auto" w:fill="CCEEFF"/>
          </w:tcPr>
          <w:p>
            <w:pPr>
              <w:spacing w:after="0"/>
              <w:rPr>
                <w:sz w:val="19"/>
                <w:szCs w:val="19"/>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7"/>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7"/>
        </w:trPr>
        <w:tc>
          <w:tcPr>
            <w:tcW w:w="8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2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credit facilities</w:t>
            </w:r>
          </w:p>
        </w:tc>
        <w:tc>
          <w:tcPr>
            <w:tcW w:w="140" w:type="dxa"/>
            <w:vAlign w:val="bottom"/>
          </w:tcPr>
          <w:p>
            <w:pPr>
              <w:spacing w:after="0"/>
              <w:rPr>
                <w:sz w:val="18"/>
                <w:szCs w:val="18"/>
                <w:color w:val="auto"/>
              </w:rPr>
            </w:pPr>
          </w:p>
        </w:tc>
        <w:tc>
          <w:tcPr>
            <w:tcW w:w="15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(4,063)</w:t>
            </w:r>
          </w:p>
        </w:tc>
        <w:tc>
          <w:tcPr>
            <w:tcW w:w="14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(17,712)</w:t>
            </w: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27"/>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80" w:type="dxa"/>
            <w:vAlign w:val="bottom"/>
          </w:tcPr>
          <w:p>
            <w:pPr>
              <w:spacing w:after="0"/>
              <w:rPr>
                <w:sz w:val="19"/>
                <w:szCs w:val="19"/>
                <w:color w:val="auto"/>
              </w:rPr>
            </w:pPr>
          </w:p>
        </w:tc>
      </w:tr>
      <w:tr>
        <w:trPr>
          <w:trHeight w:val="207"/>
        </w:trPr>
        <w:tc>
          <w:tcPr>
            <w:tcW w:w="80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r>
      <w:tr>
        <w:trPr>
          <w:trHeight w:val="207"/>
        </w:trPr>
        <w:tc>
          <w:tcPr>
            <w:tcW w:w="8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2,406</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(3,504)</w:t>
            </w:r>
          </w:p>
        </w:tc>
      </w:tr>
      <w:tr>
        <w:trPr>
          <w:trHeight w:val="213"/>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6,854</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80" w:type="dxa"/>
            <w:vAlign w:val="bottom"/>
            <w:shd w:val="clear" w:color="auto" w:fill="CCEEFF"/>
          </w:tcPr>
          <w:p>
            <w:pPr>
              <w:spacing w:after="0"/>
              <w:rPr>
                <w:sz w:val="19"/>
                <w:szCs w:val="19"/>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20" w:type="dxa"/>
            <w:vAlign w:val="bottom"/>
          </w:tcPr>
          <w:p>
            <w:pPr>
              <w:spacing w:after="0"/>
              <w:rPr>
                <w:sz w:val="19"/>
                <w:szCs w:val="19"/>
                <w:color w:val="auto"/>
              </w:rPr>
            </w:pPr>
          </w:p>
        </w:tc>
        <w:tc>
          <w:tcPr>
            <w:tcW w:w="20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020" w:type="dxa"/>
            <w:vAlign w:val="bottom"/>
            <w:gridSpan w:val="5"/>
            <w:vMerge w:val="continue"/>
          </w:tcPr>
          <w:p>
            <w:pPr>
              <w:spacing w:after="0"/>
              <w:rPr>
                <w:sz w:val="19"/>
                <w:szCs w:val="19"/>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Excess</w:t>
            </w: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Non-</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72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of Par</w:t>
            </w:r>
          </w:p>
        </w:tc>
        <w:tc>
          <w:tcPr>
            <w:tcW w:w="13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4"/>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900" w:type="dxa"/>
            <w:vAlign w:val="bottom"/>
            <w:gridSpan w:val="3"/>
          </w:tcPr>
          <w:p>
            <w:pPr>
              <w:jc w:val="right"/>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Treasury</w:t>
            </w:r>
          </w:p>
        </w:tc>
        <w:tc>
          <w:tcPr>
            <w:tcW w:w="1160" w:type="dxa"/>
            <w:vAlign w:val="bottom"/>
            <w:gridSpan w:val="4"/>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27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 2023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20,783,607</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189,160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125,427</w:t>
            </w: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w:t>
            </w: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195"/>
        </w:trPr>
        <w:tc>
          <w:tcPr>
            <w:tcW w:w="2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Stock-based compensation – stock</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195"/>
        </w:trPr>
        <w:tc>
          <w:tcPr>
            <w:tcW w:w="27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Stock-based compensation -</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w:t>
            </w: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5"/>
        </w:trPr>
        <w:tc>
          <w:tcPr>
            <w:tcW w:w="2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September 30, 2024</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21,062,627</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191,582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(3,084)</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134,629</w:t>
            </w:r>
          </w:p>
        </w:tc>
        <w:tc>
          <w:tcPr>
            <w:tcW w:w="0" w:type="dxa"/>
            <w:vAlign w:val="bottom"/>
          </w:tcPr>
          <w:p>
            <w:pPr>
              <w:spacing w:after="0"/>
              <w:rPr>
                <w:sz w:val="1"/>
                <w:szCs w:val="1"/>
                <w:color w:val="auto"/>
              </w:rPr>
            </w:pPr>
          </w:p>
        </w:tc>
      </w:tr>
      <w:tr>
        <w:trPr>
          <w:trHeight w:val="194"/>
        </w:trPr>
        <w:tc>
          <w:tcPr>
            <w:tcW w:w="27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 2024</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21,069,079</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191,828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(4,006)</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134,187</w:t>
            </w: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15,982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5"/>
        </w:trPr>
        <w:tc>
          <w:tcPr>
            <w:tcW w:w="2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Stock-based compensation – stock</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195"/>
        </w:trPr>
        <w:tc>
          <w:tcPr>
            <w:tcW w:w="27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Stock-based compensation -</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w:t>
            </w: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5"/>
        </w:trPr>
        <w:tc>
          <w:tcPr>
            <w:tcW w:w="2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September 30, 2025</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21,085,061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192,622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(3,058)</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137,433</w:t>
            </w:r>
          </w:p>
        </w:tc>
        <w:tc>
          <w:tcPr>
            <w:tcW w:w="0" w:type="dxa"/>
            <w:vAlign w:val="bottom"/>
          </w:tcPr>
          <w:p>
            <w:pPr>
              <w:spacing w:after="0"/>
              <w:rPr>
                <w:sz w:val="1"/>
                <w:szCs w:val="1"/>
                <w:color w:val="auto"/>
              </w:rPr>
            </w:pPr>
          </w:p>
        </w:tc>
      </w:tr>
      <w:tr>
        <w:trPr>
          <w:trHeight w:val="194"/>
        </w:trPr>
        <w:tc>
          <w:tcPr>
            <w:tcW w:w="27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30, 2024</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21,059,461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191,388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(3,895)</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133,345</w:t>
            </w: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5"/>
        </w:trPr>
        <w:tc>
          <w:tcPr>
            <w:tcW w:w="2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Stock-based compensation – stock</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5"/>
        </w:trPr>
        <w:tc>
          <w:tcPr>
            <w:tcW w:w="27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Stock-based compensation -</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w:t>
            </w: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5"/>
        </w:trPr>
        <w:tc>
          <w:tcPr>
            <w:tcW w:w="2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September 30, 2024</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21,062,627</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191,582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(3,084)</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134,629</w:t>
            </w:r>
          </w:p>
        </w:tc>
        <w:tc>
          <w:tcPr>
            <w:tcW w:w="0" w:type="dxa"/>
            <w:vAlign w:val="bottom"/>
          </w:tcPr>
          <w:p>
            <w:pPr>
              <w:spacing w:after="0"/>
              <w:rPr>
                <w:sz w:val="1"/>
                <w:szCs w:val="1"/>
                <w:color w:val="auto"/>
              </w:rPr>
            </w:pPr>
          </w:p>
        </w:tc>
      </w:tr>
      <w:tr>
        <w:trPr>
          <w:trHeight w:val="194"/>
        </w:trPr>
        <w:tc>
          <w:tcPr>
            <w:tcW w:w="27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30, 2025</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21,078,446</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192,350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138,645</w:t>
            </w: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5"/>
        </w:trPr>
        <w:tc>
          <w:tcPr>
            <w:tcW w:w="2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Stock-based compensation – stock</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195"/>
        </w:trPr>
        <w:tc>
          <w:tcPr>
            <w:tcW w:w="27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Stock-based compensation -</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w:t>
            </w: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5"/>
        </w:trPr>
        <w:tc>
          <w:tcPr>
            <w:tcW w:w="2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8"/>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September 30, 2025</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21,085,061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192,622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(3,058)</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137,433</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p>
      <w:pPr>
        <w:ind w:left="480" w:hanging="473"/>
        <w:spacing w:after="0"/>
        <w:tabs>
          <w:tab w:leader="none" w:pos="48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2024.</w:t>
      </w:r>
    </w:p>
    <w:p>
      <w:pPr>
        <w:spacing w:after="0" w:line="18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December 31, 2024 consolidated balance sheet information referenced herein was derived from audited financial statements but does not include all disclosures required by GAAP.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to expand the disclosure requirements for reportable segments. The standard expands reportable segment disclosure requirements for public business entities primarily through enhanced disclosures about significant segment expenses that are regularly provided to the chief operating decision maker (“CODM”) and included within each reported measure of segment operating profit (loss). This standard is effective for fiscal years beginning after December 15, 2023 and interim periods within fiscal years beginning after December 15, 2024. The adoption of this new accounting standard did not have an impact on the Company's results of operations, financial position or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the Company’s annual reporting period beginning January 1, 2025, however, these disclosures are not required for interim periods. The amendments are to be applied on a prospective basis, although retrospective adoption is permitted. The Company is currently evaluating the impact that ASU 2023-09 will have on its consolidated financial statement disclosures.</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ASU 2024-03 is effective for the Company’s annual reporting period beginning January 1, 2027 and interim reporting periods beginning January 1, 2028, with early adoption permitted. The Company is currently evaluating the impact that ASU 2024-03 will have on its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 w:name="page8"/>
    <w:bookmarkEnd w:id="7"/>
    <w:p>
      <w:pPr>
        <w:ind w:left="480" w:hanging="473"/>
        <w:spacing w:after="0"/>
        <w:tabs>
          <w:tab w:leader="none" w:pos="48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ACQUISITION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31, 2024, the Company completed the acquisition of all issued and outstanding shares of Electrochem Solutions, Inc., a Massachusetts corporation (“Electrochem”), pursuant to a stock purchase agreement (the “Agreement”) with Greatbatch Ltd., a New York corporation (the “Seller”), dated September 27, 2024 (the “Acquisition”). The Agreement established a purchase price of $50,000 for the Acquisition subject to customary working capital adjustments. The Company completed the Acquisition for $48,022 in cash, inclusive of working capital adjustment reductions of $1,978.</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in Raynham, MA and with over forty years of battery technology experience in critical applications, Electrochem designs and manufactures primary lithium metal and ultracapacitor cells and battery packs serving energy, military and various environmental, industrial and utility end markets on a global basis. Acquiring Electrochem advances our strategy of more fully realizing the operating leverage of our business model through scale and manufacturing cost efficiencies. Electrochem brings a blue-chip customer base with little or no overlap with Ultralife’s customers, long-tenured technical resources which we plan to utilize in progressing our global new product initiatives, and a complimentary portfolio of highly engineered thionyl, sulfuryl and bromine chloride cells and packs which can be commercially cost prohibitive to substitute or switch out. We view this acquisition as an avenue to create highly attractive opportunities to drive revenue growth through heightened cross-selling platforms and extend our reach into underserved adjacent markets that demand uncompromised safety, service, reliability and quality. In addition, the combination of Electrochem and Ultralife creates achievable opportunities for gross margin expansion through the realization of vertical integration, supply chain synergies and lean initiatives. With Electrochem we are increasing our value to our customers and significantly strengthening our competitive position in our end markets.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funded the purchase price for the Acquisition through the New Credit Agreement (refer to Note 3).</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Acquisition was accounted for in accordance with the accounting treatment of a business combination pursuant to FASB ASC Topic 805, “Business Combinations” (“ASC 805”). Accordingly, the purchase price was allocated to the tangible and intangible assets acquired and the liabilities assumed based on their estimated fair values on the acquisition date. The excess of the purchase price over the estimated fair value of the separately identifiable assets acquired and liabilities assumed was allocated to goodwill. Management is responsible for determining the acquisition date fair value of the assets acquired and liabilities assumed, which requires the use of various assumptions and judgments that are inherently subjective. The purchase price allocation presented below reflects all known information about the fair value of the assets acquired and liabilities assumed as of the acquisition date.</w:t>
      </w:r>
    </w:p>
    <w:p>
      <w:pPr>
        <w:spacing w:after="0" w:line="204" w:lineRule="exact"/>
        <w:rPr>
          <w:sz w:val="20"/>
          <w:szCs w:val="20"/>
          <w:color w:val="auto"/>
        </w:rPr>
      </w:pPr>
    </w:p>
    <w:tbl>
      <w:tblPr>
        <w:tblLayout w:type="fixed"/>
        <w:tblInd w:w="960" w:type="dxa"/>
        <w:tblCellMar>
          <w:top w:w="0" w:type="dxa"/>
          <w:left w:w="0" w:type="dxa"/>
          <w:bottom w:w="0" w:type="dxa"/>
          <w:right w:w="0" w:type="dxa"/>
        </w:tblCellMar>
      </w:tblPr>
      <w:tr>
        <w:trPr>
          <w:trHeight w:val="213"/>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80" w:type="dxa"/>
            <w:vAlign w:val="bottom"/>
            <w:shd w:val="clear" w:color="auto" w:fill="CCEEFF"/>
          </w:tcPr>
          <w:p>
            <w:pPr>
              <w:spacing w:after="0"/>
              <w:rPr>
                <w:sz w:val="18"/>
                <w:szCs w:val="18"/>
                <w:color w:val="auto"/>
              </w:rPr>
            </w:pPr>
          </w:p>
        </w:tc>
      </w:tr>
      <w:tr>
        <w:trPr>
          <w:trHeight w:val="21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80" w:type="dxa"/>
            <w:vAlign w:val="bottom"/>
          </w:tcPr>
          <w:p>
            <w:pPr>
              <w:spacing w:after="0"/>
              <w:rPr>
                <w:sz w:val="18"/>
                <w:szCs w:val="18"/>
                <w:color w:val="auto"/>
              </w:rPr>
            </w:pPr>
          </w:p>
        </w:tc>
      </w:tr>
      <w:tr>
        <w:trPr>
          <w:trHeight w:val="213"/>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r>
      <w:tr>
        <w:trPr>
          <w:trHeight w:val="21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20,735</w:t>
            </w:r>
          </w:p>
        </w:tc>
      </w:tr>
      <w:tr>
        <w:trPr>
          <w:trHeight w:val="213"/>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80" w:type="dxa"/>
            <w:vAlign w:val="bottom"/>
            <w:shd w:val="clear" w:color="auto" w:fill="CCEEFF"/>
          </w:tcPr>
          <w:p>
            <w:pPr>
              <w:spacing w:after="0"/>
              <w:rPr>
                <w:sz w:val="18"/>
                <w:szCs w:val="18"/>
                <w:color w:val="auto"/>
              </w:rPr>
            </w:pPr>
          </w:p>
        </w:tc>
      </w:tr>
      <w:tr>
        <w:trPr>
          <w:trHeight w:val="21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10,500</w:t>
            </w:r>
          </w:p>
        </w:tc>
      </w:tr>
      <w:tr>
        <w:trPr>
          <w:trHeight w:val="213"/>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w:t>
            </w:r>
          </w:p>
        </w:tc>
      </w:tr>
      <w:tr>
        <w:trPr>
          <w:trHeight w:val="21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(2,231)</w:t>
            </w:r>
          </w:p>
        </w:tc>
      </w:tr>
      <w:tr>
        <w:trPr>
          <w:trHeight w:val="213"/>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(1,561)</w:t>
            </w:r>
          </w:p>
        </w:tc>
      </w:tr>
      <w:tr>
        <w:trPr>
          <w:trHeight w:val="21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w:t>
            </w:r>
          </w:p>
        </w:tc>
      </w:tr>
      <w:tr>
        <w:trPr>
          <w:trHeight w:val="213"/>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(748)</w:t>
            </w:r>
          </w:p>
        </w:tc>
      </w:tr>
      <w:tr>
        <w:trPr>
          <w:trHeight w:val="227"/>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r>
      <w:tr>
        <w:trPr>
          <w:trHeight w:val="220"/>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560" w:type="dxa"/>
            <w:vAlign w:val="bottom"/>
            <w:tcBorders>
              <w:top w:val="single" w:sz="8" w:color="auto"/>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goodwill included in the Company’s purchase price allocation presented above represents the value of Electrochem’s assembled and trained workforce, the incremental value that Electrochem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8" w:name="page9"/>
    <w:bookmarkEnd w:id="8"/>
    <w:p>
      <w:pPr>
        <w:jc w:val="both"/>
        <w:spacing w:after="0" w:line="307" w:lineRule="auto"/>
        <w:rPr>
          <w:sz w:val="20"/>
          <w:szCs w:val="20"/>
          <w:color w:val="auto"/>
        </w:rPr>
      </w:pPr>
      <w:r>
        <w:rPr>
          <w:rFonts w:ascii="Times New Roman" w:cs="Times New Roman" w:eastAsia="Times New Roman" w:hAnsi="Times New Roman"/>
          <w:sz w:val="17"/>
          <w:szCs w:val="17"/>
          <w:color w:val="auto"/>
        </w:rPr>
        <w:t>Other intangible assets were valued using the income approach which requires a forecast of all expected future cash flows and the use of certain assumptions and estimates. The following table summarizes the estimated fair value and annual amortization for each of the identifiable intangible assets acquired.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Annual Amortization</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14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 5</w:t>
            </w:r>
          </w:p>
        </w:tc>
        <w:tc>
          <w:tcPr>
            <w:tcW w:w="0" w:type="dxa"/>
            <w:vAlign w:val="bottom"/>
          </w:tcPr>
          <w:p>
            <w:pPr>
              <w:spacing w:after="0"/>
              <w:rPr>
                <w:sz w:val="1"/>
                <w:szCs w:val="1"/>
                <w:color w:val="auto"/>
              </w:rPr>
            </w:pPr>
          </w:p>
        </w:tc>
      </w:tr>
      <w:tr>
        <w:trPr>
          <w:trHeight w:val="207"/>
        </w:trPr>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5,300</w:t>
            </w: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tcBorders>
              <w:top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acquired right-of-use assets and assumed operating lease liabilities of $230. Right-of-use assets are classified as other noncurrent assets, and current and long-term lease liabilities are classified as accrued expenses and other current liabilities and other noncurrent liabilities, respectively, on the Company’s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and cash flows of Electrochem are reflected in the Company’s consolidated financial statements from the date of acquisition.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Electrochem is included in the Battery &amp; Energy Products segment.</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three-month period ended September 30, 2025, Electrochem contributed revenue of $6,797 and net loss before income taxes of $251, inclusive, among other expenses, of amortization expense of $178 on acquired identifiable intangible assets and a $40 increase in cost of products sold for the fair value step-up of acquired finished goods inventory sold during the period.</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For the nine-month period ended September 30, 2025, Electrochem contributed revenue of $23,718 and net income before income taxes of $2,118, inclusive, among other expenses, of amortization expense of $535 on acquired identifiable intangible assets, an $120 increase in cost of products sold for the fair value step-up of acquired finished goods inventory sold during the period, and a $54 increase in cost of products sold for one-time lean consulting costs.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three and nine-month periods ended September 30, 2025, the Company incurred transaction costs and other non-recurring expenses of $345 and $607, respectively, directly attributable to the acquisition, including accounting and consulting services. These costs are included in selling, general and administrative expense on the consolidated statement of income (loss) and comprehensive income (loss) for the three and nine-month periods ended September 30, 2025.</w:t>
      </w:r>
    </w:p>
    <w:p>
      <w:pPr>
        <w:spacing w:after="0" w:line="200" w:lineRule="exact"/>
        <w:rPr>
          <w:sz w:val="20"/>
          <w:szCs w:val="20"/>
          <w:color w:val="auto"/>
        </w:rPr>
      </w:pPr>
    </w:p>
    <w:p>
      <w:pPr>
        <w:spacing w:after="0" w:line="217" w:lineRule="exact"/>
        <w:rPr>
          <w:sz w:val="20"/>
          <w:szCs w:val="20"/>
          <w:color w:val="auto"/>
        </w:rPr>
      </w:pPr>
    </w:p>
    <w:p>
      <w:pPr>
        <w:ind w:left="480" w:hanging="473"/>
        <w:spacing w:after="0"/>
        <w:tabs>
          <w:tab w:leader="none" w:pos="48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DEBT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31, 2024, Ultralife, SWE, CLB, Excell USA, and Electrochem, as borrowers, and certain other subsidiaries of the Company, entered into a new Credit and Security Agreement with KeyBank National Association (“KeyBank” or the “Bank”), as lender and administrative agent (the “New Credit Agreement”). The proceeds of the loans under the New Credit Agreement, were used, in part, to repay outstanding indebtedness under the Company’s Amended Credit Agreement.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New Credit Agreement, among other things, provides in its term loan provisions for a 5-year, $55 million senior secured term loan (the “Term Loan” or “Term Loan Facility”). The Term Loan is subject to repayment in quarterly installments commencing March 31, 2025 in amounts as set forth in the New Credit Agreement. Interest is payable on the unpaid principal outstanding under the Term Loan. All amounts of unpaid principal and accrued and unpaid interest remaining due under the Term Loan are scheduled to be paid in full October 31, 2029.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closing of the Acquisition on October 31, 2024 (see Note 2), the Company borrowed the full amount of the Term Loan Facility.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2025, the Company had $50,937 outstanding principal on the Term Loan, $3,781 of which is included in current portion of long-term debt on the consolidated balance sheets, and no amounts outstanding on the Revolving Credit Facility. As of September 30, 2025, unamortized debt issuance costs associated with the Term Loan of $638 are classified on the consolidated balance sheets as a reduction of long-term debt, and unamortized debt issuance costs associated with the Revolving Credit Facility of $441 are classified on the consolidated balance sheets as other noncurrent assets. Debt issuance costs include lender fees and certain costs paid to third parties, including legal and accountant fees, and are amortized to interest expense over the term of the New Credit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The New Credit Agreement also provides under its revolving credit provisions for revolving loans, letters of credit, and swing loans (“Revolving Credit Facility”). Upon the effectiveness of the New Credit Agreement, any amounts outstanding under letters of credit issued pursuant to the Amended Credit Agreement became issued under the New Credit Agreement. The availability under the Revolving Credit Facility is subject to certain borrowing base limits based on trade receivables and inventories. All unpaid principal and accrued and unpaid interest with respect to the Revolving Credit Facility is due and payable in full on October 31, 2029.</w:t>
      </w:r>
    </w:p>
    <w:p>
      <w:pPr>
        <w:spacing w:after="0" w:line="1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Company may voluntarily prepay principal amounts outstanding under the New Credit Agreement at any time subject to certain advance notifications and other restrictions.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fixed charge coverage ratio, as defined in the New Credit Agreement, of equal to or greater than 1.15 to 1.00 for the fiscal quarter ending March 31, 2025, and for each fiscal quarter thereafter, as calculated for the four (4) consecutive fiscal quarters ending on such date, and a consolidated senior leverage ratio, as defined in the New Credit Agreement, not to exceed (i) 3.50 to 1.00 for the fiscal quarters ending March 31, 2025 through December 31, 2025, (ii) 3.25 to 1.00 for the fiscal quarters ending March 31, 2026 through December 31, 2026, (iii) 3.00 to 1.00 for the fiscal quarter ending March 31, 2027 and on the last day of each fiscal quarter thereafter, for the remaining term of the New Credit Agreement. The Company was in full compliance with its covenants under the New Credit Agreement as of September 30, 2025.</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Borrowings under the New Credit Agreement are secured by substantially all the assets of the Company and certain of its present and future subsidiaries who are or become parties to, or guarantors under the new Credit Agreement.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Interest will accrue on outstanding indebtedness under the Term Loan Facility and Revolving Credit Facilities at a variable rate of interest based on designated interest rate benchmarks plus a varying margin determined by reference to the consolidated senior leverage ratio in effect from time to time. Our borrowing rate was 6.62% as of September 30, 2025.</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must pay a fee of twenty, twenty-five or thirty basis points (depending on the consolidated senior leverage ratio in effect from time to time) based on the average daily unused availability under the Revolving Credit Facility.</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must make payments to the extent borrowings exceed the maximum amount then permitted to be borrowed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principal repayment obligations on our Amended Credit Facilities as of September 30, 2025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4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688</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4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4,125</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5,500</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4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5,500</w:t>
            </w:r>
          </w:p>
        </w:tc>
        <w:tc>
          <w:tcPr>
            <w:tcW w:w="340" w:type="dxa"/>
            <w:vAlign w:val="bottom"/>
          </w:tcPr>
          <w:p>
            <w:pPr>
              <w:spacing w:after="0"/>
              <w:rPr>
                <w:sz w:val="18"/>
                <w:szCs w:val="18"/>
                <w:color w:val="auto"/>
              </w:rPr>
            </w:pPr>
          </w:p>
        </w:tc>
      </w:tr>
      <w:tr>
        <w:trPr>
          <w:trHeight w:val="227"/>
        </w:trPr>
        <w:tc>
          <w:tcPr>
            <w:tcW w:w="80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35,124</w:t>
            </w:r>
          </w:p>
        </w:tc>
        <w:tc>
          <w:tcPr>
            <w:tcW w:w="340" w:type="dxa"/>
            <w:vAlign w:val="bottom"/>
          </w:tcPr>
          <w:p>
            <w:pPr>
              <w:spacing w:after="0"/>
              <w:rPr>
                <w:sz w:val="19"/>
                <w:szCs w:val="19"/>
                <w:color w:val="auto"/>
              </w:rPr>
            </w:pPr>
          </w:p>
        </w:tc>
      </w:tr>
      <w:tr>
        <w:trPr>
          <w:trHeight w:val="220"/>
        </w:trPr>
        <w:tc>
          <w:tcPr>
            <w:tcW w:w="800" w:type="dxa"/>
            <w:vAlign w:val="bottom"/>
          </w:tcPr>
          <w:p>
            <w:pPr>
              <w:spacing w:after="0"/>
              <w:rPr>
                <w:sz w:val="19"/>
                <w:szCs w:val="19"/>
                <w:color w:val="auto"/>
              </w:rPr>
            </w:pPr>
          </w:p>
        </w:tc>
        <w:tc>
          <w:tcPr>
            <w:tcW w:w="2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64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621"/>
        </w:trPr>
        <w:tc>
          <w:tcPr>
            <w:tcW w:w="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480" w:type="dxa"/>
            <w:vAlign w:val="bottom"/>
          </w:tcPr>
          <w:p>
            <w:pPr>
              <w:jc w:val="right"/>
              <w:ind w:right="4111"/>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3"/>
        </w:trPr>
        <w:tc>
          <w:tcPr>
            <w:tcW w:w="80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10" w:name="page11"/>
    <w:bookmarkEnd w:id="10"/>
    <w:p>
      <w:pPr>
        <w:ind w:left="480" w:hanging="473"/>
        <w:spacing w:after="0"/>
        <w:tabs>
          <w:tab w:leader="none" w:pos="48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income (loss) attributable to Ultralife by the weighted average shares outstanding during the period. Diluted EPS includes the dilutive effect of securities when the average market price exceeds the exercise price of the securities, if any, and is calculated using the treasury stock method.</w:t>
      </w:r>
    </w:p>
    <w:p>
      <w:pPr>
        <w:spacing w:after="0" w:line="176"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For the three-month period ended September 30, 2025, there were no outstanding awards included in the calculation of diluted weighted average shares outstanding and no potential common shares included in the calculation of diluted EPS, as no securities were dilutive. For the comparable three-month period ended September 30, 2024, 864,854 outstanding stock options and 5,229 unvested restricted stock awards were included in the calculation of diluted weighted average shares outstanding, as such securities were dilutive, resulting in 249,082 potential common shares included in the calculation of diluted EPS. There were 384,124 outstanding stock options for the three-month period ended September 30, 2025, and no outstanding stock options for the comparable three-month period ended September 30, 2024, that were not included in the calculation of diluted weighted average shares outstanding as the effect would be anti-dilutive.</w:t>
      </w:r>
    </w:p>
    <w:p>
      <w:pPr>
        <w:spacing w:after="0" w:line="187"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For the nine-month period ended September 30, 2025, there were 304,054 outstanding stock options and 34,819 unvested restricted stock awards included in the calculation of diluted weighted average shares outstanding, resulting in 60,915 potential common shares included in the calculation of diluted EPS. For the comparable nine-month period ended September 30, 2024, there were 786,854 outstanding stock options and 5,229 unvested restricted stock awards included in the calculation of diluted weighted average shares outstanding, resulting in 212,072 potential common shares included in the calculation of diluted EPS. There were 683,043 and 78,000 outstanding stock options for the nine-month periods ended September 30, 2025 and 2024, respectively, not included in the calculation of diluted weighted average shares outstanding as the effect would be anti-dilutive.</w:t>
      </w:r>
    </w:p>
    <w:p>
      <w:pPr>
        <w:spacing w:after="0" w:line="200" w:lineRule="exact"/>
        <w:rPr>
          <w:sz w:val="20"/>
          <w:szCs w:val="20"/>
          <w:color w:val="auto"/>
        </w:rPr>
      </w:pPr>
    </w:p>
    <w:p>
      <w:pPr>
        <w:spacing w:after="0" w:line="221" w:lineRule="exact"/>
        <w:rPr>
          <w:sz w:val="20"/>
          <w:szCs w:val="20"/>
          <w:color w:val="auto"/>
        </w:rPr>
      </w:pPr>
    </w:p>
    <w:p>
      <w:pPr>
        <w:ind w:right="6640" w:firstLine="7"/>
        <w:spacing w:after="0" w:line="497" w:lineRule="auto"/>
        <w:tabs>
          <w:tab w:leader="none" w:pos="48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BALANCE SHEET INFORMATION Fair Value Measurements and Disclosures</w:t>
      </w:r>
    </w:p>
    <w:p>
      <w:pPr>
        <w:spacing w:after="0" w:line="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September 30, 2025 and December 31, 2024. The fair value of cash, accounts receivable, accounts payable, accrued liabilities, and the current portion of long-term debt approximates carrying value due to the short-term nature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net of obsolescence reserves, with cost determined under the first-in, first-out (FIFO)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The composition of inventories, net was: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19"/>
                <w:szCs w:val="19"/>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464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36,035</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10,937</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0" w:type="dxa"/>
            <w:vAlign w:val="bottom"/>
          </w:tcPr>
          <w:p>
            <w:pPr>
              <w:spacing w:after="0"/>
              <w:rPr>
                <w:sz w:val="1"/>
                <w:szCs w:val="1"/>
                <w:color w:val="auto"/>
              </w:rPr>
            </w:pPr>
          </w:p>
        </w:tc>
      </w:tr>
      <w:tr>
        <w:trPr>
          <w:trHeight w:val="220"/>
        </w:trPr>
        <w:tc>
          <w:tcPr>
            <w:tcW w:w="800" w:type="dxa"/>
            <w:vAlign w:val="bottom"/>
          </w:tcPr>
          <w:p>
            <w:pPr>
              <w:spacing w:after="0"/>
              <w:rPr>
                <w:sz w:val="19"/>
                <w:szCs w:val="19"/>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51,363</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440" w:type="dxa"/>
            <w:vAlign w:val="bottom"/>
            <w:gridSpan w:val="2"/>
            <w:vMerge w:val="continue"/>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8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60" w:type="dxa"/>
            <w:vAlign w:val="bottom"/>
          </w:tcPr>
          <w:p>
            <w:pPr>
              <w:spacing w:after="0"/>
              <w:rPr>
                <w:sz w:val="24"/>
                <w:szCs w:val="24"/>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464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30,162</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30,109</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62,282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60,986</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(71,469)</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(68,437</w:t>
            </w:r>
          </w:p>
        </w:tc>
        <w:tc>
          <w:tcPr>
            <w:tcW w:w="0" w:type="dxa"/>
            <w:vAlign w:val="bottom"/>
          </w:tcPr>
          <w:p>
            <w:pPr>
              <w:spacing w:after="0"/>
              <w:rPr>
                <w:sz w:val="1"/>
                <w:szCs w:val="1"/>
                <w:color w:val="auto"/>
              </w:rPr>
            </w:pPr>
          </w:p>
        </w:tc>
      </w:tr>
      <w:tr>
        <w:trPr>
          <w:trHeight w:val="220"/>
        </w:trPr>
        <w:tc>
          <w:tcPr>
            <w:tcW w:w="800" w:type="dxa"/>
            <w:vAlign w:val="bottom"/>
          </w:tcPr>
          <w:p>
            <w:pPr>
              <w:spacing w:after="0"/>
              <w:rPr>
                <w:sz w:val="19"/>
                <w:szCs w:val="19"/>
                <w:color w:val="auto"/>
              </w:rPr>
            </w:pPr>
          </w:p>
        </w:tc>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740" w:type="dxa"/>
            <w:vAlign w:val="bottom"/>
            <w:vMerge w:val="restart"/>
          </w:tcPr>
          <w:p>
            <w:pPr>
              <w:jc w:val="right"/>
              <w:ind w:right="243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 w:type="dxa"/>
            <w:vAlign w:val="bottom"/>
            <w:tcBorders>
              <w:bottom w:val="single" w:sz="8" w:color="auto"/>
            </w:tcBorders>
          </w:tcPr>
          <w:p>
            <w:pPr>
              <w:spacing w:after="0"/>
              <w:rPr>
                <w:sz w:val="9"/>
                <w:szCs w:val="9"/>
                <w:color w:val="auto"/>
              </w:rPr>
            </w:pPr>
          </w:p>
        </w:tc>
        <w:tc>
          <w:tcPr>
            <w:tcW w:w="464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811"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 for property, plant and equipment was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0"/>
        </w:trPr>
        <w:tc>
          <w:tcPr>
            <w:tcW w:w="3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98"/>
        </w:trPr>
        <w:tc>
          <w:tcPr>
            <w:tcW w:w="3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340" w:type="dxa"/>
            <w:vAlign w:val="bottom"/>
            <w:tcBorders>
              <w:top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6"/>
              </w:rPr>
              <w:t>September 30,</w:t>
            </w:r>
          </w:p>
        </w:tc>
        <w:tc>
          <w:tcPr>
            <w:tcW w:w="120" w:type="dxa"/>
            <w:vAlign w:val="bottom"/>
          </w:tcPr>
          <w:p>
            <w:pPr>
              <w:spacing w:after="0"/>
              <w:rPr>
                <w:sz w:val="17"/>
                <w:szCs w:val="17"/>
                <w:color w:val="auto"/>
              </w:rPr>
            </w:pPr>
          </w:p>
        </w:tc>
      </w:tr>
      <w:tr>
        <w:trPr>
          <w:trHeight w:val="236"/>
        </w:trPr>
        <w:tc>
          <w:tcPr>
            <w:tcW w:w="320" w:type="dxa"/>
            <w:vAlign w:val="bottom"/>
          </w:tcPr>
          <w:p>
            <w:pPr>
              <w:spacing w:after="0"/>
              <w:rPr>
                <w:sz w:val="20"/>
                <w:szCs w:val="20"/>
                <w:color w:val="auto"/>
              </w:rPr>
            </w:pPr>
          </w:p>
        </w:tc>
        <w:tc>
          <w:tcPr>
            <w:tcW w:w="5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r>
      <w:tr>
        <w:trPr>
          <w:trHeight w:val="207"/>
        </w:trPr>
        <w:tc>
          <w:tcPr>
            <w:tcW w:w="3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shd w:val="clear" w:color="auto" w:fill="CCEEFF"/>
          </w:tcPr>
          <w:p>
            <w:pPr>
              <w:spacing w:after="0"/>
              <w:rPr>
                <w:sz w:val="17"/>
                <w:szCs w:val="17"/>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nine-month period ended September 30,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Energy</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Communications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Systems</w:t>
            </w:r>
          </w:p>
        </w:tc>
        <w:tc>
          <w:tcPr>
            <w:tcW w:w="32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45,006</w:t>
            </w: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0"/>
        </w:trPr>
        <w:tc>
          <w:tcPr>
            <w:tcW w:w="800" w:type="dxa"/>
            <w:vAlign w:val="bottom"/>
          </w:tcPr>
          <w:p>
            <w:pPr>
              <w:spacing w:after="0"/>
              <w:rPr>
                <w:sz w:val="19"/>
                <w:szCs w:val="19"/>
                <w:color w:val="auto"/>
              </w:rPr>
            </w:pPr>
          </w:p>
        </w:tc>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2025</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45,336</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58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other intangible assets was:</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8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at September 30, 2025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32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0"/>
        </w:trPr>
        <w:tc>
          <w:tcPr>
            <w:tcW w:w="8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23,407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at December 31, 2024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32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20"/>
        </w:trPr>
        <w:tc>
          <w:tcPr>
            <w:tcW w:w="80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80" w:type="dxa"/>
            <w:vAlign w:val="bottom"/>
            <w:vMerge w:val="restart"/>
          </w:tcPr>
          <w:p>
            <w:pPr>
              <w:jc w:val="right"/>
              <w:ind w:right="65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575"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change in the cost of total intangible assets from December 31, 2024 to September 30, 2025 is the effect of foreign currency translations.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 for other intangible assets was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240" w:type="dxa"/>
            <w:vAlign w:val="bottom"/>
            <w:tcBorders>
              <w:top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6"/>
              </w:rPr>
              <w:t>September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5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included in: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5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6.  STOCK-BASED COMPENSATION</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6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3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240" w:type="dxa"/>
            <w:vAlign w:val="bottom"/>
            <w:tcBorders>
              <w:top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6"/>
              </w:rPr>
              <w:t>September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5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472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490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We have stock options outstanding from various stock-based employee compensation plans for which we record compensation cost relating to share-based payment transactions in our financial statements. As of September 30, 2025, there was $542 of total unrecognized compensation cost related to outstanding stock options, which is expected to be recognized over a weighted average period of 0.9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nine-month period ended September 30, 2025:</w:t>
      </w:r>
    </w:p>
    <w:p>
      <w:pPr>
        <w:spacing w:after="0" w:line="216" w:lineRule="exact"/>
        <w:rPr>
          <w:sz w:val="20"/>
          <w:szCs w:val="20"/>
          <w:color w:val="auto"/>
        </w:rPr>
      </w:pPr>
    </w:p>
    <w:tbl>
      <w:tblPr>
        <w:tblLayout w:type="fixed"/>
        <w:tblInd w:w="128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4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6"/>
        </w:trPr>
        <w:tc>
          <w:tcPr>
            <w:tcW w:w="458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7"/>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1,106,436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(103,357)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9.17</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6.96</w:t>
            </w:r>
          </w:p>
        </w:tc>
        <w:tc>
          <w:tcPr>
            <w:tcW w:w="14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2025</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6.95</w:t>
            </w: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line="20" w:lineRule="exact"/>
              <w:rPr>
                <w:sz w:val="1"/>
                <w:szCs w:val="1"/>
                <w:color w:val="auto"/>
              </w:rPr>
            </w:pPr>
          </w:p>
        </w:tc>
      </w:tr>
      <w:tr>
        <w:trPr>
          <w:trHeight w:val="234"/>
        </w:trPr>
        <w:tc>
          <w:tcPr>
            <w:tcW w:w="458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891,035</w:t>
            </w:r>
          </w:p>
        </w:tc>
        <w:tc>
          <w:tcPr>
            <w:tcW w:w="1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gridSpan w:val="2"/>
            <w:vMerge w:val="continue"/>
          </w:tcPr>
          <w:p>
            <w:pPr>
              <w:spacing w:after="0"/>
              <w:rPr>
                <w:sz w:val="20"/>
                <w:szCs w:val="20"/>
                <w:color w:val="auto"/>
              </w:rPr>
            </w:pPr>
          </w:p>
        </w:tc>
        <w:tc>
          <w:tcPr>
            <w:tcW w:w="1240" w:type="dxa"/>
            <w:vAlign w:val="bottom"/>
            <w:tcBorders>
              <w:bottom w:val="single" w:sz="8" w:color="CCEEFF"/>
            </w:tcBorders>
            <w:gridSpan w:val="2"/>
            <w:vMerge w:val="continue"/>
          </w:tcPr>
          <w:p>
            <w:pPr>
              <w:spacing w:after="0"/>
              <w:rPr>
                <w:sz w:val="20"/>
                <w:szCs w:val="20"/>
                <w:color w:val="auto"/>
              </w:rPr>
            </w:pPr>
          </w:p>
        </w:tc>
        <w:tc>
          <w:tcPr>
            <w:tcW w:w="1400" w:type="dxa"/>
            <w:vAlign w:val="bottom"/>
            <w:tcBorders>
              <w:bottom w:val="single" w:sz="8" w:color="CCEEFF"/>
            </w:tcBorders>
            <w:gridSpan w:val="2"/>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Exercisable at September 30, 2025</w:t>
            </w:r>
          </w:p>
        </w:tc>
        <w:tc>
          <w:tcPr>
            <w:tcW w:w="12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535,372</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6.78</w:t>
            </w:r>
          </w:p>
        </w:tc>
        <w:tc>
          <w:tcPr>
            <w:tcW w:w="1400" w:type="dxa"/>
            <w:vAlign w:val="bottom"/>
            <w:gridSpan w:val="2"/>
            <w:shd w:val="clear" w:color="auto" w:fill="CCEEFF"/>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rPr>
              <w:t>2.81</w:t>
            </w:r>
          </w:p>
        </w:tc>
        <w:tc>
          <w:tcPr>
            <w:tcW w:w="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three-month periods ended September 30, 2025 and 2024 was $37 and $24, respectively. Cash received from stock option exercises under our stock-based compensation plans for the nine-month periods ended September 30, 2025 and 2024 was $98 and $1,960, respectively.</w:t>
      </w:r>
    </w:p>
    <w:p>
      <w:pPr>
        <w:spacing w:after="0" w:line="176"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8"/>
          <w:szCs w:val="18"/>
          <w:color w:val="auto"/>
        </w:rPr>
        <w:t>Restricted stock awards vest in equal annual installments over three (3) years. Unrecognized compensation cost related to unvested restricted shares at September 30, 2025 and 2024, respectively, was $126 and $19.</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575" w:right="239" w:bottom="1440" w:gutter="0" w:footer="0" w:header="0"/>
        </w:sectPr>
      </w:pPr>
    </w:p>
    <w:bookmarkStart w:id="13" w:name="page14"/>
    <w:bookmarkEnd w:id="13"/>
    <w:p>
      <w:pPr>
        <w:ind w:left="480" w:hanging="473"/>
        <w:spacing w:after="0"/>
        <w:tabs>
          <w:tab w:leader="none" w:pos="48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8"/>
          <w:szCs w:val="18"/>
          <w:color w:val="auto"/>
        </w:rPr>
        <w:t>Our effective tax rate for the nine-month periods ended September 30, 2025 and 2024 was 16.9% and 20.9%, respectively. The period-over-period change was primarily attributable to the geographic mix of our operating results.</w:t>
      </w:r>
    </w:p>
    <w:p>
      <w:pPr>
        <w:spacing w:after="0" w:line="163"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As of December 31, 2024, we have domestic net operating loss (“NOL”) carryforwards of $15,000, which expire 2031 through 2035, and domestic tax credits of $3,200, which expire 2028 through 2044, available to reduce future taxable income. As of September 30, 2025, management has concluded it is more likely than not that these domestic NOL and credit carryforwards will be fully utilized.</w:t>
      </w:r>
    </w:p>
    <w:p>
      <w:pPr>
        <w:spacing w:after="0" w:line="176"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As of September 30, 2025, for certain past operations in the U.K., we continue to report a valuation allowance for NOL carryforwards of approximately $9,600,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1"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8"/>
          <w:szCs w:val="18"/>
          <w:color w:val="auto"/>
        </w:rPr>
        <w:t>As of September 30, 2025, we have not recognized a valuation allowance against our other foreign deferred tax assets, as realization is considered to be more likely than not.</w:t>
      </w:r>
    </w:p>
    <w:p>
      <w:pPr>
        <w:spacing w:after="0" w:line="163"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8"/>
          <w:szCs w:val="18"/>
          <w:color w:val="auto"/>
        </w:rPr>
        <w:t>As of September 30, 2025, the Company maintains its assertion that all foreign earnings will be indefinitely reinvested in those operations, other than earnings generated in the U.K.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September 30, 2025 and December 31, 2024.</w:t>
      </w:r>
    </w:p>
    <w:p>
      <w:pPr>
        <w:spacing w:after="0" w:line="220"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2021 thru 2023 remain subject to IRS examination. Our U.S. tax matters for 2001-2002, 2005-2007, 2009, and 2011-2015 also remain subject to IRS examination due to the remaining availability of net operating loss carryforwards generated in those years. Our U.S. tax matters for 2014 thru 2023 remain subject to examination by various state and local tax jurisdictions. Our tax matters for the years 2014 thru 2023 remain subject to examination by the respective foreign tax jurisdiction authorities.</w:t>
      </w:r>
    </w:p>
    <w:p>
      <w:pPr>
        <w:spacing w:after="0" w:line="186"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7"/>
          <w:szCs w:val="17"/>
          <w:color w:val="auto"/>
        </w:rPr>
        <w:t>In July 2025, the One Big Beautiful Bill Act (the “Tax Act”) was enacted, introducing a series of corporate tax changes in the U.S., including 100% bonus depreciation on qualified property and full expensing for research and development expenditures. The impacts of the Tax Act are reflected in our results for the period ended September 30, 2025, and there was no material impact to our income tax expense or effective tax rate. Due to the existing net operating loss, we do not expect an impact on cash taxes paid in the current year, however certain provisions may change the timing of cash tax payments in future periods.</w:t>
      </w:r>
    </w:p>
    <w:p>
      <w:pPr>
        <w:spacing w:after="0" w:line="200" w:lineRule="exact"/>
        <w:rPr>
          <w:sz w:val="20"/>
          <w:szCs w:val="20"/>
          <w:color w:val="auto"/>
        </w:rPr>
      </w:pPr>
    </w:p>
    <w:p>
      <w:pPr>
        <w:spacing w:after="0" w:line="201" w:lineRule="exact"/>
        <w:rPr>
          <w:sz w:val="20"/>
          <w:szCs w:val="20"/>
          <w:color w:val="auto"/>
        </w:rPr>
      </w:pPr>
    </w:p>
    <w:p>
      <w:pPr>
        <w:ind w:left="480" w:hanging="473"/>
        <w:spacing w:after="0"/>
        <w:tabs>
          <w:tab w:leader="none" w:pos="48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September 30, 2025, the remaining lease terms on our operating leases range from approximately one (1) year to six (6) years. Lease terms include renewal options reasonably certain of exercise. There is no transfer of title or option to purchase the leased assets upon expiration. There are no residual value guarantees or material restrictive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8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18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4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940" w:type="dxa"/>
            <w:vAlign w:val="bottom"/>
            <w:gridSpan w:val="2"/>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3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3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cost</w:t>
            </w:r>
          </w:p>
        </w:tc>
        <w:tc>
          <w:tcPr>
            <w:tcW w:w="23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940" w:type="dxa"/>
            <w:vAlign w:val="bottom"/>
            <w:gridSpan w:val="2"/>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3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81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gridSpan w:val="10"/>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8"/>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928</w:t>
            </w:r>
          </w:p>
        </w:tc>
        <w:tc>
          <w:tcPr>
            <w:tcW w:w="4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421"/>
        </w:trPr>
        <w:tc>
          <w:tcPr>
            <w:tcW w:w="7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leases was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0" w:type="dxa"/>
            <w:vAlign w:val="bottom"/>
            <w:gridSpan w:val="8"/>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60" w:type="dxa"/>
            <w:vAlign w:val="bottom"/>
          </w:tcPr>
          <w:p>
            <w:pPr>
              <w:spacing w:after="0"/>
              <w:rPr>
                <w:sz w:val="18"/>
                <w:szCs w:val="18"/>
                <w:color w:val="auto"/>
              </w:rPr>
            </w:pPr>
          </w:p>
        </w:tc>
        <w:tc>
          <w:tcPr>
            <w:tcW w:w="48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vMerge w:val="restart"/>
          </w:tcPr>
          <w:p>
            <w:pPr>
              <w:spacing w:after="0"/>
              <w:rPr>
                <w:sz w:val="18"/>
                <w:szCs w:val="18"/>
                <w:color w:val="auto"/>
              </w:rPr>
            </w:pPr>
          </w:p>
        </w:tc>
        <w:tc>
          <w:tcPr>
            <w:tcW w:w="3800" w:type="dxa"/>
            <w:vAlign w:val="bottom"/>
            <w:gridSpan w:val="2"/>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vMerge w:val="continue"/>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3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4,136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0" w:type="dxa"/>
            <w:vAlign w:val="bottom"/>
            <w:vMerge w:val="restart"/>
          </w:tcPr>
          <w:p>
            <w:pPr>
              <w:spacing w:after="0"/>
              <w:rPr>
                <w:sz w:val="18"/>
                <w:szCs w:val="18"/>
                <w:color w:val="auto"/>
              </w:rPr>
            </w:pPr>
          </w:p>
        </w:tc>
        <w:tc>
          <w:tcPr>
            <w:tcW w:w="3800" w:type="dxa"/>
            <w:vAlign w:val="bottom"/>
            <w:gridSpan w:val="2"/>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vMerge w:val="restart"/>
          </w:tcPr>
          <w:p>
            <w:pPr>
              <w:spacing w:after="0"/>
              <w:rPr>
                <w:sz w:val="18"/>
                <w:szCs w:val="18"/>
                <w:color w:val="auto"/>
              </w:rPr>
            </w:pPr>
          </w:p>
        </w:tc>
        <w:tc>
          <w:tcPr>
            <w:tcW w:w="3800" w:type="dxa"/>
            <w:vAlign w:val="bottom"/>
            <w:gridSpan w:val="2"/>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7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minimum lease payments as of September 30, 2025 are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3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40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 w:type="dxa"/>
            <w:vAlign w:val="bottom"/>
            <w:gridSpan w:val="2"/>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gridSpan w:val="2"/>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997</w:t>
            </w:r>
          </w:p>
        </w:tc>
        <w:tc>
          <w:tcPr>
            <w:tcW w:w="4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gridSpan w:val="2"/>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gridSpan w:val="2"/>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c>
          <w:tcPr>
            <w:tcW w:w="4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3,952</w:t>
            </w:r>
          </w:p>
        </w:tc>
        <w:tc>
          <w:tcPr>
            <w:tcW w:w="40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33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3,501</w:t>
            </w:r>
          </w:p>
        </w:tc>
        <w:tc>
          <w:tcPr>
            <w:tcW w:w="400" w:type="dxa"/>
            <w:vAlign w:val="bottom"/>
            <w:tcBorders>
              <w:left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3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575" w:right="239" w:bottom="1440" w:gutter="0" w:footer="0" w:header="0"/>
        </w:sectPr>
      </w:pPr>
    </w:p>
    <w:bookmarkStart w:id="15" w:name="page16"/>
    <w:bookmarkEnd w:id="15"/>
    <w:p>
      <w:pPr>
        <w:ind w:right="7580" w:firstLine="7"/>
        <w:spacing w:after="0" w:line="497" w:lineRule="auto"/>
        <w:tabs>
          <w:tab w:leader="none" w:pos="48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 Purchase Commitments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we have made commitments to purchase approximately $677 of production machinery and equipment.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nine months of 2025 and 2024 were as follows:</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236"/>
        </w:trPr>
        <w:tc>
          <w:tcPr>
            <w:tcW w:w="5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Nine-month period ended September 30,</w:t>
            </w:r>
          </w:p>
        </w:tc>
      </w:tr>
      <w:tr>
        <w:trPr>
          <w:trHeight w:val="220"/>
        </w:trPr>
        <w:tc>
          <w:tcPr>
            <w:tcW w:w="520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2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2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2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2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0"/>
        </w:trPr>
        <w:tc>
          <w:tcPr>
            <w:tcW w:w="5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Legal Matters</w:t>
      </w:r>
    </w:p>
    <w:p>
      <w:pPr>
        <w:spacing w:after="0" w:line="224"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17" w:lineRule="exact"/>
        <w:rPr>
          <w:sz w:val="20"/>
          <w:szCs w:val="20"/>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4"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5"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sheets. For the three-month and nine-month periods ended September 30, 2025, revenue recognized on extended warranties was $74 and $223, respectively.</w:t>
      </w:r>
    </w:p>
    <w:p>
      <w:pPr>
        <w:spacing w:after="0" w:line="18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As of September 30, 2025, there was deferred revenue on extended warranty contracts of $930, comprised of $298 expected to be recognized as revenue within one (1) year and classified as accrued expenses and other current liabilities on our consolidated balance sheets, and $632 expected to be recognized as revenue over the remaining duration of the respective contracts and classified as other noncurrent liabilities on our consolidated balance sheets.</w:t>
      </w:r>
    </w:p>
    <w:p>
      <w:pPr>
        <w:spacing w:after="0" w:line="176"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As of December 31, 2024, there was deferred revenue on extended warranty contracts of $1,153, comprised of $298 expected to be recognized as revenue within one (1) year and classified as accrued expenses and other current liabilities on our consolidated balance sheets, and $855 expected to be recognized as revenue over the remaining duration of the respective contracts and classified as other noncurrent liabilities on our consolidated balance sheets.</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811" w:right="239" w:bottom="1440" w:gutter="0" w:footer="0" w:header="0"/>
        </w:sectPr>
      </w:pPr>
    </w:p>
    <w:bookmarkStart w:id="16" w:name="page17"/>
    <w:bookmarkEnd w:id="16"/>
    <w:p>
      <w:pPr>
        <w:jc w:val="both"/>
        <w:spacing w:after="0" w:line="26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200" w:lineRule="exact"/>
        <w:rPr>
          <w:sz w:val="20"/>
          <w:szCs w:val="20"/>
          <w:color w:val="auto"/>
        </w:rPr>
      </w:pPr>
    </w:p>
    <w:p>
      <w:pPr>
        <w:spacing w:after="0" w:line="212" w:lineRule="exact"/>
        <w:rPr>
          <w:sz w:val="20"/>
          <w:szCs w:val="20"/>
          <w:color w:val="auto"/>
        </w:rPr>
      </w:pPr>
    </w:p>
    <w:p>
      <w:pPr>
        <w:ind w:left="480" w:hanging="473"/>
        <w:spacing w:after="0"/>
        <w:tabs>
          <w:tab w:leader="none" w:pos="48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SEGMENT INFORMATION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Operating segments represent a component of the Company that engages in business activities from which it may recognize revenues and incur expenses whose operating results are regularly reviewed by the public entity’s chief operating decision maker (“CODM”) to make decisions about resources to be allocated to the segment and assess its performance, and for which discrete financial information is available. Once operating segments are identified, the Company determined which of those operating segments are required to be presented as reportable segments based on the quantitative thresholds.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structure our operations primarily around the products we sell and report our financial results in the following two reportable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CODM is Mike Manna, President &amp; Chief Executive Officer. Both of our operating segments are regularly reviewed by the CODM through weekly revenue, gross margin and consolidated financial forecast updates, bi-weekly business and financial reviews to assess business performance, top priorities, utilization of resources and to regularly communicate with segment management, who are part of the CODM’s executive leadership team, and monthly meetings with the executive leadership team. In his role as CODM, Mr. Manna is deeply involved in business operations through daily updates by the segment management and ongoing financial, revenue and operations discussions.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primary financial measures used by the CODM to monitor and evaluate the performance of the operating segments is segment contribution, as defined by gross profit less direct selling, general and administrative (“SG&amp;A”) and research and development expenses. This metric is used as a consistent benchmark for comparison across reporting periods.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Corporate general and administrative (“G&amp;A”) expenses, including costs associated with our acquisitions, include corporate functions including board of directors, executive officers, accounting &amp; finance, human resources, legal, information technology and their related functional expenses. These costs are not directly allocable to the operating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does not review segment assets at a level other than that presented in the Company’s consolidated balance sheets.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September 30, 2025:</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04"/>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3"/>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6"/>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Pr>
          <w:p>
            <w:pPr>
              <w:spacing w:after="0"/>
              <w:rPr>
                <w:sz w:val="20"/>
                <w:szCs w:val="20"/>
                <w:color w:val="auto"/>
              </w:rPr>
            </w:pPr>
          </w:p>
        </w:tc>
      </w:tr>
      <w:tr>
        <w:trPr>
          <w:trHeight w:val="207"/>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43,371</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(31,126)</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(33,752)</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9,619</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Direct SG&amp;A expenses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(3,689)</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(4,128)</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(2,855)</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3,118</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2,636</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G&amp;A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(3,587)</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(951)</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tcPr>
          <w:p>
            <w:pPr>
              <w:spacing w:after="0"/>
              <w:rPr>
                <w:sz w:val="18"/>
                <w:szCs w:val="18"/>
                <w:color w:val="auto"/>
              </w:rPr>
            </w:pPr>
          </w:p>
        </w:tc>
      </w:tr>
      <w:tr>
        <w:trPr>
          <w:trHeight w:val="2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(1,220)</w:t>
            </w:r>
          </w:p>
        </w:tc>
        <w:tc>
          <w:tcPr>
            <w:tcW w:w="580" w:type="dxa"/>
            <w:vAlign w:val="bottom"/>
          </w:tcPr>
          <w:p>
            <w:pPr>
              <w:spacing w:after="0"/>
              <w:rPr>
                <w:sz w:val="20"/>
                <w:szCs w:val="20"/>
                <w:color w:val="auto"/>
              </w:rPr>
            </w:pPr>
          </w:p>
        </w:tc>
      </w:tr>
      <w:tr>
        <w:trPr>
          <w:trHeight w:val="40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September 30, 2024:</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4"/>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3"/>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6"/>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Pr>
          <w:p>
            <w:pPr>
              <w:spacing w:after="0"/>
              <w:rPr>
                <w:sz w:val="20"/>
                <w:szCs w:val="20"/>
                <w:color w:val="auto"/>
              </w:rPr>
            </w:pPr>
          </w:p>
        </w:tc>
      </w:tr>
      <w:tr>
        <w:trPr>
          <w:trHeight w:val="207"/>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(24,482)</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(27,012)</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8,682</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Direct SG&amp;A expenses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(2,941)</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(3,331)</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(1,322)</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(2,101)</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3,250</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G&amp;A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(2,739)</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18"/>
                <w:szCs w:val="18"/>
                <w:color w:val="auto"/>
              </w:rPr>
            </w:pPr>
          </w:p>
        </w:tc>
      </w:tr>
      <w:tr>
        <w:trPr>
          <w:trHeight w:val="2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580" w:type="dxa"/>
            <w:vAlign w:val="bottom"/>
          </w:tcPr>
          <w:p>
            <w:pPr>
              <w:spacing w:after="0"/>
              <w:rPr>
                <w:sz w:val="20"/>
                <w:szCs w:val="20"/>
                <w:color w:val="auto"/>
              </w:rPr>
            </w:pPr>
          </w:p>
        </w:tc>
      </w:tr>
      <w:tr>
        <w:trPr>
          <w:trHeight w:val="409"/>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3"/>
        </w:trPr>
        <w:tc>
          <w:tcPr>
            <w:tcW w:w="5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2025:</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04"/>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3"/>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6"/>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Pr>
          <w:p>
            <w:pPr>
              <w:spacing w:after="0"/>
              <w:rPr>
                <w:sz w:val="20"/>
                <w:szCs w:val="20"/>
                <w:color w:val="auto"/>
              </w:rPr>
            </w:pPr>
          </w:p>
        </w:tc>
      </w:tr>
      <w:tr>
        <w:trPr>
          <w:trHeight w:val="207"/>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142,678</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(101,039)</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(7,674)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(108,713)</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31,095</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33,965</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Direct SG&amp;A expenses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(11,578)</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(12,767)</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(5,098)</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(7,577)</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14,419</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13,621</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G&amp;A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(8,917)</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4,704</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(2,896)</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spacing w:after="0"/>
              <w:rPr>
                <w:sz w:val="18"/>
                <w:szCs w:val="18"/>
                <w:color w:val="auto"/>
              </w:rPr>
            </w:pPr>
          </w:p>
        </w:tc>
      </w:tr>
      <w:tr>
        <w:trPr>
          <w:trHeight w:val="2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1,524</w:t>
            </w:r>
          </w:p>
        </w:tc>
        <w:tc>
          <w:tcPr>
            <w:tcW w:w="580" w:type="dxa"/>
            <w:vAlign w:val="bottom"/>
          </w:tcPr>
          <w:p>
            <w:pPr>
              <w:spacing w:after="0"/>
              <w:rPr>
                <w:sz w:val="20"/>
                <w:szCs w:val="20"/>
                <w:color w:val="auto"/>
              </w:rPr>
            </w:pPr>
          </w:p>
        </w:tc>
      </w:tr>
      <w:tr>
        <w:trPr>
          <w:trHeight w:val="40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2024:</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4"/>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3"/>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6"/>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Pr>
          <w:p>
            <w:pPr>
              <w:spacing w:after="0"/>
              <w:rPr>
                <w:sz w:val="20"/>
                <w:szCs w:val="20"/>
                <w:color w:val="auto"/>
              </w:rPr>
            </w:pPr>
          </w:p>
        </w:tc>
      </w:tr>
      <w:tr>
        <w:trPr>
          <w:trHeight w:val="207"/>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104,201</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120,604</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(77,215)</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(11,674)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(88,889)</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26,986</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4,729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31,715</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Direct SG&amp;A expenses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(8,839)</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(10,092)</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(5,854)</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14,564</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15,769</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G&amp;A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(7,278)</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8,491</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w:t>
            </w:r>
          </w:p>
        </w:tc>
        <w:tc>
          <w:tcPr>
            <w:tcW w:w="580" w:type="dxa"/>
            <w:vAlign w:val="bottom"/>
          </w:tcPr>
          <w:p>
            <w:pPr>
              <w:spacing w:after="0"/>
              <w:rPr>
                <w:sz w:val="18"/>
                <w:szCs w:val="18"/>
                <w:color w:val="auto"/>
              </w:rPr>
            </w:pP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1,630</w:t>
            </w:r>
          </w:p>
        </w:tc>
        <w:tc>
          <w:tcPr>
            <w:tcW w:w="58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tcPr>
          <w:p>
            <w:pPr>
              <w:spacing w:after="0"/>
              <w:rPr>
                <w:sz w:val="18"/>
                <w:szCs w:val="18"/>
                <w:color w:val="auto"/>
              </w:rPr>
            </w:pPr>
          </w:p>
        </w:tc>
      </w:tr>
      <w:tr>
        <w:trPr>
          <w:trHeight w:val="2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6,118</w:t>
            </w:r>
          </w:p>
        </w:tc>
        <w:tc>
          <w:tcPr>
            <w:tcW w:w="580" w:type="dxa"/>
            <w:vAlign w:val="bottom"/>
          </w:tcPr>
          <w:p>
            <w:pPr>
              <w:spacing w:after="0"/>
              <w:rPr>
                <w:sz w:val="20"/>
                <w:szCs w:val="20"/>
                <w:color w:val="auto"/>
              </w:rPr>
            </w:pPr>
          </w:p>
        </w:tc>
      </w:tr>
      <w:tr>
        <w:trPr>
          <w:trHeight w:val="409"/>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3"/>
        </w:trPr>
        <w:tc>
          <w:tcPr>
            <w:tcW w:w="5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and Government/Defense Revenue Information: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Three-month period ended September 30,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Total</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Government/</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200" w:type="dxa"/>
            <w:vAlign w:val="bottom"/>
          </w:tcPr>
          <w:p>
            <w:pPr>
              <w:spacing w:after="0"/>
              <w:rPr>
                <w:sz w:val="20"/>
                <w:szCs w:val="20"/>
                <w:color w:val="auto"/>
              </w:rPr>
            </w:pPr>
          </w:p>
        </w:tc>
        <w:tc>
          <w:tcPr>
            <w:tcW w:w="1520" w:type="dxa"/>
            <w:vAlign w:val="bottom"/>
            <w:gridSpan w:val="2"/>
          </w:tcPr>
          <w:p>
            <w:pPr>
              <w:jc w:val="right"/>
              <w:ind w:right="431"/>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Defense</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28,026</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3,425</w:t>
            </w:r>
          </w:p>
        </w:tc>
        <w:tc>
          <w:tcPr>
            <w:tcW w:w="200" w:type="dxa"/>
            <w:vAlign w:val="bottom"/>
          </w:tcPr>
          <w:p>
            <w:pPr>
              <w:spacing w:after="0"/>
              <w:rPr>
                <w:sz w:val="19"/>
                <w:szCs w:val="19"/>
                <w:color w:val="auto"/>
              </w:rPr>
            </w:pPr>
          </w:p>
        </w:tc>
        <w:tc>
          <w:tcPr>
            <w:tcW w:w="15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3,425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3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4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Three-month period ended September 30, 2024:</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Total</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Government/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200" w:type="dxa"/>
            <w:vAlign w:val="bottom"/>
          </w:tcPr>
          <w:p>
            <w:pPr>
              <w:spacing w:after="0"/>
              <w:rPr>
                <w:sz w:val="20"/>
                <w:szCs w:val="20"/>
                <w:color w:val="auto"/>
              </w:rPr>
            </w:pPr>
          </w:p>
        </w:tc>
        <w:tc>
          <w:tcPr>
            <w:tcW w:w="1520" w:type="dxa"/>
            <w:vAlign w:val="bottom"/>
            <w:gridSpan w:val="2"/>
          </w:tcPr>
          <w:p>
            <w:pPr>
              <w:jc w:val="right"/>
              <w:ind w:right="431"/>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Defense</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3,165</w:t>
            </w:r>
          </w:p>
        </w:tc>
        <w:tc>
          <w:tcPr>
            <w:tcW w:w="200" w:type="dxa"/>
            <w:vAlign w:val="bottom"/>
          </w:tcPr>
          <w:p>
            <w:pPr>
              <w:spacing w:after="0"/>
              <w:rPr>
                <w:sz w:val="19"/>
                <w:szCs w:val="19"/>
                <w:color w:val="auto"/>
              </w:rPr>
            </w:pPr>
          </w:p>
        </w:tc>
        <w:tc>
          <w:tcPr>
            <w:tcW w:w="15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3,165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3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4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Nine-month period ended September 30, 2025:</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Total</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Government/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200" w:type="dxa"/>
            <w:vAlign w:val="bottom"/>
          </w:tcPr>
          <w:p>
            <w:pPr>
              <w:spacing w:after="0"/>
              <w:rPr>
                <w:sz w:val="20"/>
                <w:szCs w:val="20"/>
                <w:color w:val="auto"/>
              </w:rPr>
            </w:pPr>
          </w:p>
        </w:tc>
        <w:tc>
          <w:tcPr>
            <w:tcW w:w="1520" w:type="dxa"/>
            <w:vAlign w:val="bottom"/>
            <w:gridSpan w:val="2"/>
          </w:tcPr>
          <w:p>
            <w:pPr>
              <w:jc w:val="right"/>
              <w:ind w:right="431"/>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Defense</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89,018</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43,116</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10,544</w:t>
            </w:r>
          </w:p>
        </w:tc>
        <w:tc>
          <w:tcPr>
            <w:tcW w:w="200" w:type="dxa"/>
            <w:vAlign w:val="bottom"/>
          </w:tcPr>
          <w:p>
            <w:pPr>
              <w:spacing w:after="0"/>
              <w:rPr>
                <w:sz w:val="19"/>
                <w:szCs w:val="19"/>
                <w:color w:val="auto"/>
              </w:rPr>
            </w:pPr>
          </w:p>
        </w:tc>
        <w:tc>
          <w:tcPr>
            <w:tcW w:w="15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10,544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3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4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Nine-month period ended September 30, 2024:</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Total</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Government/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200" w:type="dxa"/>
            <w:vAlign w:val="bottom"/>
          </w:tcPr>
          <w:p>
            <w:pPr>
              <w:spacing w:after="0"/>
              <w:rPr>
                <w:sz w:val="20"/>
                <w:szCs w:val="20"/>
                <w:color w:val="auto"/>
              </w:rPr>
            </w:pPr>
          </w:p>
        </w:tc>
        <w:tc>
          <w:tcPr>
            <w:tcW w:w="1520" w:type="dxa"/>
            <w:vAlign w:val="bottom"/>
            <w:gridSpan w:val="2"/>
          </w:tcPr>
          <w:p>
            <w:pPr>
              <w:jc w:val="right"/>
              <w:ind w:right="431"/>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Defense</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104,201</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74,320</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29,881</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16,403</w:t>
            </w:r>
          </w:p>
        </w:tc>
        <w:tc>
          <w:tcPr>
            <w:tcW w:w="200" w:type="dxa"/>
            <w:vAlign w:val="bottom"/>
          </w:tcPr>
          <w:p>
            <w:pPr>
              <w:spacing w:after="0"/>
              <w:rPr>
                <w:sz w:val="19"/>
                <w:szCs w:val="19"/>
                <w:color w:val="auto"/>
              </w:rPr>
            </w:pPr>
          </w:p>
        </w:tc>
        <w:tc>
          <w:tcPr>
            <w:tcW w:w="15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16,403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3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18</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2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U.S. and Non-U.S. Revenue Information</w:t>
            </w:r>
          </w:p>
        </w:tc>
        <w:tc>
          <w:tcPr>
            <w:tcW w:w="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1900" w:type="dxa"/>
            <w:vAlign w:val="bottom"/>
          </w:tcPr>
          <w:p>
            <w:pPr>
              <w:jc w:val="right"/>
              <w:ind w:right="1751"/>
              <w:spacing w:after="0"/>
              <w:rPr>
                <w:sz w:val="20"/>
                <w:szCs w:val="20"/>
                <w:color w:val="auto"/>
              </w:rPr>
            </w:pPr>
            <w:r>
              <w:rPr>
                <w:rFonts w:ascii="Times New Roman" w:cs="Times New Roman" w:eastAsia="Times New Roman" w:hAnsi="Times New Roman"/>
                <w:sz w:val="18"/>
                <w:szCs w:val="18"/>
                <w:u w:val="single" w:color="auto"/>
                <w:color w:val="auto"/>
                <w:w w:val="78"/>
              </w:rPr>
              <w:t>:</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8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Three-month period ended September 30, 2025: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180" w:type="dxa"/>
            <w:vAlign w:val="bottom"/>
          </w:tcPr>
          <w:p>
            <w:pPr>
              <w:spacing w:after="0"/>
              <w:rPr>
                <w:sz w:val="20"/>
                <w:szCs w:val="20"/>
                <w:color w:val="auto"/>
              </w:rPr>
            </w:pPr>
          </w:p>
        </w:tc>
        <w:tc>
          <w:tcPr>
            <w:tcW w:w="1520" w:type="dxa"/>
            <w:vAlign w:val="bottom"/>
            <w:gridSpan w:val="2"/>
          </w:tcPr>
          <w:p>
            <w:pPr>
              <w:jc w:val="right"/>
              <w:ind w:right="391"/>
              <w:spacing w:after="0"/>
              <w:rPr>
                <w:sz w:val="20"/>
                <w:szCs w:val="20"/>
                <w:color w:val="auto"/>
              </w:rPr>
            </w:pPr>
            <w:r>
              <w:rPr>
                <w:rFonts w:ascii="Times New Roman" w:cs="Times New Roman" w:eastAsia="Times New Roman" w:hAnsi="Times New Roman"/>
                <w:sz w:val="18"/>
                <w:szCs w:val="18"/>
                <w:color w:val="auto"/>
              </w:rPr>
              <w:t>United States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w w:val="97"/>
              </w:rPr>
              <w:t>Non-United States</w:t>
            </w: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36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28,724</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3,425</w:t>
            </w:r>
          </w:p>
        </w:tc>
        <w:tc>
          <w:tcPr>
            <w:tcW w:w="180" w:type="dxa"/>
            <w:vAlign w:val="bottom"/>
          </w:tcPr>
          <w:p>
            <w:pPr>
              <w:spacing w:after="0"/>
              <w:rPr>
                <w:sz w:val="19"/>
                <w:szCs w:val="19"/>
                <w:color w:val="auto"/>
              </w:rPr>
            </w:pPr>
          </w:p>
        </w:tc>
        <w:tc>
          <w:tcPr>
            <w:tcW w:w="15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3,250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360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3"/>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488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Three-month period ended September 30, 2024:</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180" w:type="dxa"/>
            <w:vAlign w:val="bottom"/>
          </w:tcPr>
          <w:p>
            <w:pPr>
              <w:spacing w:after="0"/>
              <w:rPr>
                <w:sz w:val="20"/>
                <w:szCs w:val="20"/>
                <w:color w:val="auto"/>
              </w:rPr>
            </w:pPr>
          </w:p>
        </w:tc>
        <w:tc>
          <w:tcPr>
            <w:tcW w:w="1520" w:type="dxa"/>
            <w:vAlign w:val="bottom"/>
            <w:gridSpan w:val="2"/>
          </w:tcPr>
          <w:p>
            <w:pPr>
              <w:jc w:val="right"/>
              <w:ind w:right="391"/>
              <w:spacing w:after="0"/>
              <w:rPr>
                <w:sz w:val="20"/>
                <w:szCs w:val="20"/>
                <w:color w:val="auto"/>
              </w:rPr>
            </w:pPr>
            <w:r>
              <w:rPr>
                <w:rFonts w:ascii="Times New Roman" w:cs="Times New Roman" w:eastAsia="Times New Roman" w:hAnsi="Times New Roman"/>
                <w:sz w:val="18"/>
                <w:szCs w:val="18"/>
                <w:color w:val="auto"/>
              </w:rPr>
              <w:t>United States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w w:val="97"/>
              </w:rPr>
              <w:t>Non-United States</w:t>
            </w: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36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3,165</w:t>
            </w:r>
          </w:p>
        </w:tc>
        <w:tc>
          <w:tcPr>
            <w:tcW w:w="180" w:type="dxa"/>
            <w:vAlign w:val="bottom"/>
          </w:tcPr>
          <w:p>
            <w:pPr>
              <w:spacing w:after="0"/>
              <w:rPr>
                <w:sz w:val="19"/>
                <w:szCs w:val="19"/>
                <w:color w:val="auto"/>
              </w:rPr>
            </w:pPr>
          </w:p>
        </w:tc>
        <w:tc>
          <w:tcPr>
            <w:tcW w:w="15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2,567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360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3"/>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488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Nine-month period ended September 30, 2025: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180" w:type="dxa"/>
            <w:vAlign w:val="bottom"/>
          </w:tcPr>
          <w:p>
            <w:pPr>
              <w:spacing w:after="0"/>
              <w:rPr>
                <w:sz w:val="20"/>
                <w:szCs w:val="20"/>
                <w:color w:val="auto"/>
              </w:rPr>
            </w:pPr>
          </w:p>
        </w:tc>
        <w:tc>
          <w:tcPr>
            <w:tcW w:w="1520" w:type="dxa"/>
            <w:vAlign w:val="bottom"/>
            <w:gridSpan w:val="2"/>
          </w:tcPr>
          <w:p>
            <w:pPr>
              <w:jc w:val="right"/>
              <w:ind w:right="391"/>
              <w:spacing w:after="0"/>
              <w:rPr>
                <w:sz w:val="20"/>
                <w:szCs w:val="20"/>
                <w:color w:val="auto"/>
              </w:rPr>
            </w:pPr>
            <w:r>
              <w:rPr>
                <w:rFonts w:ascii="Times New Roman" w:cs="Times New Roman" w:eastAsia="Times New Roman" w:hAnsi="Times New Roman"/>
                <w:sz w:val="18"/>
                <w:szCs w:val="18"/>
                <w:color w:val="auto"/>
              </w:rPr>
              <w:t>United States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w w:val="97"/>
              </w:rPr>
              <w:t>Non-United States</w:t>
            </w: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36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132,134</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97,206</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34,928</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10,544</w:t>
            </w:r>
          </w:p>
        </w:tc>
        <w:tc>
          <w:tcPr>
            <w:tcW w:w="180" w:type="dxa"/>
            <w:vAlign w:val="bottom"/>
          </w:tcPr>
          <w:p>
            <w:pPr>
              <w:spacing w:after="0"/>
              <w:rPr>
                <w:sz w:val="19"/>
                <w:szCs w:val="19"/>
                <w:color w:val="auto"/>
              </w:rPr>
            </w:pPr>
          </w:p>
        </w:tc>
        <w:tc>
          <w:tcPr>
            <w:tcW w:w="15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9,601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360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2"/>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488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Nine-month period ended September 30, 2024:</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180" w:type="dxa"/>
            <w:vAlign w:val="bottom"/>
          </w:tcPr>
          <w:p>
            <w:pPr>
              <w:spacing w:after="0"/>
              <w:rPr>
                <w:sz w:val="20"/>
                <w:szCs w:val="20"/>
                <w:color w:val="auto"/>
              </w:rPr>
            </w:pPr>
          </w:p>
        </w:tc>
        <w:tc>
          <w:tcPr>
            <w:tcW w:w="1520" w:type="dxa"/>
            <w:vAlign w:val="bottom"/>
            <w:gridSpan w:val="2"/>
          </w:tcPr>
          <w:p>
            <w:pPr>
              <w:jc w:val="right"/>
              <w:ind w:right="391"/>
              <w:spacing w:after="0"/>
              <w:rPr>
                <w:sz w:val="20"/>
                <w:szCs w:val="20"/>
                <w:color w:val="auto"/>
              </w:rPr>
            </w:pPr>
            <w:r>
              <w:rPr>
                <w:rFonts w:ascii="Times New Roman" w:cs="Times New Roman" w:eastAsia="Times New Roman" w:hAnsi="Times New Roman"/>
                <w:sz w:val="18"/>
                <w:szCs w:val="18"/>
                <w:color w:val="auto"/>
              </w:rPr>
              <w:t>United States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w w:val="97"/>
              </w:rPr>
              <w:t>Non-United States</w:t>
            </w: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36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104,201</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57,326</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16,403</w:t>
            </w:r>
          </w:p>
        </w:tc>
        <w:tc>
          <w:tcPr>
            <w:tcW w:w="180" w:type="dxa"/>
            <w:vAlign w:val="bottom"/>
          </w:tcPr>
          <w:p>
            <w:pPr>
              <w:spacing w:after="0"/>
              <w:rPr>
                <w:sz w:val="19"/>
                <w:szCs w:val="19"/>
                <w:color w:val="auto"/>
              </w:rPr>
            </w:pPr>
          </w:p>
        </w:tc>
        <w:tc>
          <w:tcPr>
            <w:tcW w:w="15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11,412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360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2"/>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540" w:right="1820" w:hanging="5533"/>
        <w:spacing w:after="0" w:line="364" w:lineRule="auto"/>
        <w:tabs>
          <w:tab w:leader="none" w:pos="123"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classified to U.S. include shipments to U.S.-based prime contractors which in some cases may serve non-U.S. projects.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820"/>
          </w:cols>
          <w:pgMar w:left="320" w:top="526" w:right="7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management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tariffs, interest rates and supply chain disruptions affecting our business, revenues and earnings adversely; our reliance on certain key customers for a significant portion of our revenues; reductions or delays in U.S. and foreign military spending; our efforts to develop new products or new commercial applications for our products; potential disruptions in our supply of raw materials and components or material increases in their costs due to business conditions, new or additional tariffs, global conflicts or other factors not under our control; our resources being overwhelmed by our growth; breaches in information systems security and other disruptions in our information technology systems; our ability to recruit and retain top management and key personnel; the unique risks associated with our China operations; fluctuations in the price of oil and the resulting impact on the demand for downhole drilling; possible future declines in demand for the products that use our batteries or communications systems; safety risks, including the risk of fire inherent in the manufacture, use and transportation of Lithium batteries; variability in our quarterly and annual results and the price of our common stock; rising interest rates increasing the cost of our variable borrowings; purchases by our customers of product quantities not meeting the volume expectations in our supply agreements; the impact of pandemics that may arise, causing delays in the manufacture and delivery of our mission critical products to end customers; potential costs attributable to the warranties we supply with our products and services; our inability to comply with changes to the regulations for the shipment of our products; our entrance into new end-markets which could lead to additional financial exposure; negative publicity concerning Lithium-ion batteries; our exposure to foreign currency fluctuations; our ability to utilize our net operating loss carryforwards; the risk that we are unable to protect our proprietary and intellectual property; rules and procedures regarding contracting with the U.S. and foreign governments; possible impairments of our goodwill and other intangible assets; our ability to comply with government regulations including the use of “conflict minerals”; exposure to possible violations of the U.S. Foreign Corrupt Practices Act, the U.K. Bribery Act or other anti-corruption laws; known and unknown environmental matters; possible audits of our contracts by the U.S. and foreign governments and their respective defense agencies;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“foresee,” “could,” “likely,” or words of similar import are intended to identify forward-looking statements. For further discussion of certain of the matters described above and other risks and uncertainties, see Item 1A, “Risk Factors” in our Annual Report on Form 10-K for the year ended December 31, 2024.</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do not guarantee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to disclose new or updated information about risks, future events or other developments.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financial information in this MD&amp;A is presented in thousands of dollars, except for share and per share amounts, unless otherwise specified.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Ultralife Thin Cell®, Ultralife HiRate®, Ultralife &amp; design®, LithiumPower®, LithiumPower &amp; Design®, SMART CIRCUIT®, SMARTCIRCUIT®, SMART CIRCUIT</w:t>
      </w:r>
    </w:p>
    <w:p>
      <w:pPr>
        <w:spacing w:after="0" w:line="2" w:lineRule="exact"/>
        <w:rPr>
          <w:sz w:val="20"/>
          <w:szCs w:val="20"/>
          <w:color w:val="auto"/>
        </w:rPr>
      </w:pPr>
    </w:p>
    <w:p>
      <w:pPr>
        <w:jc w:val="both"/>
        <w:ind w:firstLine="7"/>
        <w:spacing w:after="0" w:line="250" w:lineRule="auto"/>
        <w:tabs>
          <w:tab w:leader="none" w:pos="2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SODIUMPOWER®, SODIUMPOWER (design)®, WE. ARE. POWER®, AMTI®, ABLE™, ACCUTRONICS™, ACCUPRO™, ENTELLION™, McDowell Research®, SWE DRILL-DATA®, SWE SEASAFE (&amp; DESIGN)®, SWE SEASAFE DIRECT®, SWE SOUTHWEST ELECTRONIC ENERGY CORP®, SWE Southwest Electronic Energy Group®, Excell Battery Group™ and Criterion Gauge™, POW-R BMS®, POW-R-BMS®, POW-R TOTE®. We have sales, operations and product development facilities in North America, Europe and Asia.</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strategic evolution, Ultralife has decided to undergo a comprehensive rebranding initiative that consolidates all sub-brands under a singular, unified Master Brand – Ultralife. This move reflects our commitment to clarity, consistency and amplified brand equity across all markets. By streamlining our global identity, we aim to strengthen customer recognition, enhance operational efficiency and better align to our customer’s needs with a singular, powerful brand narrative. To this end, the Accutronics, Southwest Electronic Energy, Excell Battery, McDowell Research and AMTI brands will no longer be promoted. The Electrochem brand will remain, but as a product brand on select primary cells. This transformation positions Ultralife for ongoing growth and stronger market impact as we continue to lead in mission critical battery and RF power solutions. This rebranding initiative will have a non-cash impact on the value of our tradename and trademark intangible assets which will be determined and recorded during our fourth quarter.</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segment contribution, as defined by gross profit less direct selling, general and administrative (“SG&amp;A”) and research and development expenses, is the best indicator of segment performance. As such, we report segment results at the segment contribution level. Refer to Note 11 in the notes to Consolidated Financial Statements in Item 1 of Part 1 of this Form 10-Q.</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Consolidated revenues of $43,371 for the three-month period ended September 30, 2025, increased by $7,677 or 21.5%, over $35,694 for the three-month period ended September 30, 2024, reflecting the inclusion of Electrochem sales of $6,797, and an increase in government/defense of 16.4%, partially offset by a decrease in commercial sales of 5.7% when excluding the 2025 sales of Electrochem.</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Gross profit was $9,619, or 22.2% of revenue, for the three-month period ending September 30, 2025, compared to $8,682, or 24.3% of revenue, for the same quarter a year ago. The 210-basis point decline primarily resulted from sales product mix, quality issues on some incoming components impacting manufacturing operations, and lower factory throughput at some of our operations.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Operating expenses were $10,570 for the three-month period ending September 30, 2025, compared to $8,171 for the three-month period ended September 30, 2024, reflecting the inclusion of Electrochem’s results and certain one-time, non-recurring costs, including a provision for the estimated costs of closing our Calgary facility by the end of 2025. Operating expenses for the 2025 three-month period were 24.4% of revenue compared to 22.9% of revenue for the year-earlier three-month period.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3" w:name="page24"/>
    <w:bookmarkEnd w:id="23"/>
    <w:p>
      <w:pPr>
        <w:jc w:val="both"/>
        <w:spacing w:after="0" w:line="277" w:lineRule="auto"/>
        <w:rPr>
          <w:sz w:val="20"/>
          <w:szCs w:val="20"/>
          <w:color w:val="auto"/>
        </w:rPr>
      </w:pPr>
      <w:r>
        <w:rPr>
          <w:rFonts w:ascii="Times New Roman" w:cs="Times New Roman" w:eastAsia="Times New Roman" w:hAnsi="Times New Roman"/>
          <w:sz w:val="18"/>
          <w:szCs w:val="18"/>
          <w:color w:val="auto"/>
        </w:rPr>
        <w:t>Operating (loss) income for the three-month period ended September 30, 2025, was ($951), or (2.2%) of revenues, compared to $511, or 1.4% of revenues, for the year-earlier period. The operating loss primarily resulted from the lower gross margin for our Battery &amp; Energy Products segment.</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Other expense for the third quarter of 2025 was $800 compared to $158 for the year-earlier quarter. The increased expense for the 2025 period primarily reflects the increase in interest expense relating to our acquisition of Electrochem on October 31, 2024.</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Net (loss) income attributable to Ultralife Corporation was ($1,220), or ($0.07) per share – basic and diluted, for the three-month period ended September 30, 2025, compared to $258, or $0.02 per share – basic and diluted, for the three-month period ended September 30, 2024.</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Adjusted EBITDA, defined as net income attributable to Ultralife Corporation before net interest expense, provision (benefit) for income taxes, depreciation and amortization, and stock-based compensation expense, plus/minus expenses/income that we do not consider reflective of our ongoing operations, amounted to $2,048, or 4.7% of revenues, for the third quarter of 2025, compared to $1,919, or 5.4% of revenues, for the third quarter of 2024. See the section “Adjusted EBITDA” on page 26 for a reconciliation of adjusted EBITDA to net income attributable to Ultralife Corporation.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intensifying our efforts to tackle the manufacturing inefficiencies as well as improve supply chain resiliency and rationalize our manufacturing operations. These actions are critical to ensuring we are best prepared to optimize the operating leverage of our business model as we advance several new products into qualification and production, and capitalize on an expanding pipeline of opportunities consisting primarily of large, multi-year programs. Our priorities remain converting long-term new product development efforts into revenue, advancing vertical integration in the oil &amp; gas segment, and maintaining a strong focus on operational efficiency initiatives to deliver sustainable profitable growth and maximizing the value of our global brand.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Periods Ended September 30, 2025 and September 30, 2024</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three-month period ending September 30, 2025 were $43,371, an increase of $7,677, or 21.5%, over $35,694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three-month period ended September 30, 2024. Overall, government/defense sales increased 16.4% and commercial sales decreased 5.7%, when excluding the 2025 sales of Electrochem.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Battery &amp; Energy Products revenues increased $7,417, or 22.8%, from $32,529 for the three-month period ended September 30, 2024 to $39,946 for the three-month period ended September 30, 2025. The revenue growth was primarily attributable to the inclusion of Electrochem. Excluding Electrochem, sales increased $620 or 1.9% year-over-year with government/defense sales increasing $1,907 or 19.0%, reflecting strong demand from a U.S.-based global prime, offset by a decrease in commercial sales of $1,287 or 5.7%, primarily reflecting declines of 10.4% in medical sales and 13.3% in oil and gas sales. Sales for the 2025 period were negatively impacted by quality issues on some critical incoming components that delayed sales into future periods.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Communications Systems sales increased $260, or 8.2%, from $3,165 for the three-month period ended September 30, 2024 to $3,425 for the three-month period ended September 30, 2025. Sales for the 2025 period were negatively impacted by delays in the timing of purchase orders likely reflecting the impact of the anticipated U.S. Government shutdown.</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$33,752 for the quarter ended September 30, 2025, an increase of $6,740, or 25.0%,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$27,012 reported for the same three-month period a year ago. Consolidated cost of products sold as a percentage of total revenue increased from 75.7% for the three-month period ended September 30, 2024 to 77.8% for the three-month period ended September 30, 2025. Correspondingly, consolidated gross margin decreased from 24.3% for the three-month period ended September 30, 2024, to 22.2% for the three-month period ended September 30, 2025, primarily reflecting unfavorable sales product mix for our Battery &amp; Energy Products segment, quality issues on some incoming components impacting manufacturing operations, and lower factory throughput at some of our operations.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third quarter of 2025 was $8,820, an increase of $773 or 9.6% from gross profit of $8,047 for the third quarter of 2024. Battery &amp; Energy Products’ gross margin of 22.1% decreased by 260-basis points from the 24.7% gross margin for the year-earlier period, primarily due to sales mix reflecting declines of 10.4% in medical battery sales and 13.3% in oil &amp; gas battery sales and manufacturing inefficiencies resulting from quality issues associated with some incoming raw materials that delayed sales into future periods.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third quarter of 2025 was $799 or 23.3% of revenues, compared to gross profit of $635 or 20.0% of revenues for the third quarter of 2024. Despite the 330-basis point increase, gross margin for the 2025 period was negatively impacted by the factory volume throughput impact of the sales achieved.</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three-month period ended September 30, 2025 were $10,570, an increase of $2,399 or 29.4%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$8,171 for the three-month period ended September 30, 2024. The increase is primarily attributable to the incurrence of $1,333 costs for Electrochem and $1,085 of one-time non-recurring costs to close our Calgary facility, costs related to our acquisition of Electrochem and the related transition to Ultralife systems and litigation expenses for our cyber insurance claim. Excluding these items, selling, general and administrative expenses declined 0.2% from the 2024 third quarter reflecting continued tight control over discretionary spending.</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Overall, operating expenses were 24.4% of revenue for the quarter ending September 30, 2025 compared to 22.9% of revenue for the quarter ended September 30, 2024. Amortization expense associated with intangible assets related to our acquisitions was $411 for the third quarter of 2025 ($380 in selling, general and administrative expenses and $31 in research and development costs), compared with $229 for the third quarter of 2024 ($204 in selling, general, and administrative expenses and $25 in research and development costs). Research and development costs were $2,855 for the three-month period ended September 30, 2025, an increase of $754 or 35.9%, from $2,101 for the three-month period ended September 30, 2024. The increase is attributable to the inclusion of Electrochem and higher new product development costs of 7.6% related to continued investment in our product offering as we aggressively pursue both government/defense and commercial opportunities. Excluding one-time non-recurring costs, selling, general, and administrative expenses were $6,630 for the three-month period ended September 30, 2025, an increase of $560 or 9.2% from $6,070 for the third quarter of 2024. The period-over-period increase was primarily attributable to the inclusion of Electrochem, and excluding Electrochem, these costs declined 1.3% from the year-earlier period.</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Other expense totaled $800 for the three-month period ended September 30, 2025 compared to $158 for the three-month period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Interest and financing expense increased $819, from $173 for the third quarter of 2024 to $992 for the comparable period in 2025 resulting from the financing of the Electrochem acquisition on October 31, 2024. Miscellaneous income amounted to $192 for the third quarter of 2025 compared to $15 for the third quarter of 2024, primarily attributable to foreign exchange gains and losses due to fluctuations in foreign currency exchange rates.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For the three-month period ended September 30, 2025, Ultralife recognized an income tax benefit of $504, comprised of a current tax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$19 and a deferred tax benefit of $485 which primarily represents non-cash charges for U.S. taxes which we expect will be fully offset by net operating loss carryforwards and other tax credits for the foreseeable future. This compares to a tax provision of $74 comprised of a current provision of $173 and a deferred tax benefit of $99 for the three-month period ended September 30, 2024. Our effective tax rate was 28.8% for the third quarter of 2025 as compared to 21.0% for the third quarter of 2024, primarily attributable to the geographic mix of our operating results. See Note 7 to the consolidated financial statements in Item 1 of Part I of this Form 10-Q for additional information regarding our income taxes.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Net (Loss) Income Attributable to Ultralife Corporation. </w:t>
      </w:r>
      <w:r>
        <w:rPr>
          <w:rFonts w:ascii="Times New Roman" w:cs="Times New Roman" w:eastAsia="Times New Roman" w:hAnsi="Times New Roman"/>
          <w:sz w:val="18"/>
          <w:szCs w:val="18"/>
          <w:color w:val="auto"/>
        </w:rPr>
        <w:t>Net loss attributable to Ultralife Corporation was ($1,220), or ($0.07) per share – basic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diluted, for the three-month period ended September 30, 2025, compared to net income of $258, or $0.02 per share – basic and diluted, for the three-month period ended September 30, 2024.</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Weighted average shares outstanding used to compute diluted earnings per share decreased from 16,874,057 for the third quarter of 2024 to 16,646,336 for the third quarter of 2025. The decrease is attributable to stock option exercises since the third quarter of 2024 as well as dilutive shares of 249,082 being added to basic weighted average shares for the 2024 period compared to none for the 2025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Nine-Month Periods Ended September 30, 2025 and September 30,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for the nine-month period ended September 30, 2025 were $142,678, an increase of $22,074, or 18.3%, over $120,604 for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nine-month period ended September 30, 2024. Overall, government/defense sales increased $7,377 or 15.9% and commercial sales increased $14,698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19.8%. Excluding Electrochem sales of $23,718 for the 2025 period, sales declined $1,644 or 1.4% with Communication Systems sales declining $5,859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35.7% and Battery &amp; Energy Products Sales increasing $4,215 or 4.0%.</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Battery &amp; Energy Products revenues increased $27,933, or 26.8%, from $104,201 for the nine-month period ended September 30, 2024 to $132,134 for the nine-month period ended September 30, 2025. The increase reflects sales of $23,718 for Electrochem and organic growth of $4,215 or 4.0% attributable to a $13,235 or 44.3% increase in government/defense sales and a $9,020 or 12.1% decrease in commercial sales when excluding the 2025 sales of Electrochem. The increase in government/defense sales primarily reflects continued strong demand from our largest U.S.-based global prime. The decrease in commercial sales was driven by a $6,553 or 22.6% decline in medical sales due to timing of purchases from OEM’s and a $4,419 or 15.5% decrease in oil &amp; gas sales due primarily to general economic and geo-political conditions.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Communications Systems revenues decreased $5,859 or 35.7%, from $16,403 for the nine-month period ended September 30, 2024 to $10,544 for the nine-month period ended September 30, 2025. This decrease was primarily attributable to 2024 shipments of integrated systems of amplifiers and radio vehicle mounts to a major international defense contractor under an ongoing allied country government/defense modernization program, and power systems to a U.S.-based global prime, magnified by delays in the timing of purchase orders during the first nine months of 2025 due in part to anticipation of the U.S. government shutdown.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$108,713 for the nine-month period ended September 30, 2025, an increase of $19,824,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22.3%, from the $88,889 reported for the same nine-month period a year ago. Consolidated cost of products sold as a percentage of total revenue increased from 73.7% for the nine-month period ended September 30, 2024 to 76.2% for the nine-month period ended September 30, 2025. Correspondingly, consolidated gross margin decreased from 26.3% for the nine-month period ended September 30, 2024, to 23.8% for the nine-month period ended September 30, 2025, primarily reflecting unfavorable sales product mix for our Battery &amp; Energy Products segment, quality issues on some incoming components impacting manufacturing operations, and lower factory throughput at some of our operations.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first nine months of 2025 was $31,095, an increase of $4,109 or 15.2% from gross profit of $26,986 for the first nine months of 2024. Battery &amp; Energy Products’ gross margin of 23.5% decreased by 240-basis points from the 25.9% gross margin for the year-earlier period, primarily due to sales mix reflecting declines of 22.6% in medical battery sales and 15.5% in oil &amp; gas battery sales and manufacturing inefficiencies including quality issues associated with some incoming raw materials that delayed sales into future periods.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first nine months of 2025 was $2,870 or 27.2% of revenues, compared to gross profit of $4,729 or 28.8% of revenues for the first nine months of 2024. Gross margin for the 2025 period was negatively impacted by the factory volume throughput impact of the sales achieved.</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nine-month period ended September 30, 2025 were $29,261, an increase of $6,037 or 26.0%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$23,224 for the nine-month period ended September 30, 2024. Excluding 2025 Electrochem and one-time M&amp;A and other non-recurring expenses of $4,497, operating expenses increased $1,540 or 6.6%. The increase is primarily attributable to an 18.6% increase in new product development costs related to continued investment in our product offering and a 5.6% increase in selling expenses to strengthen our sales and marketing leadership team to expedite organic growth and further leverage our global brand and resources. Both periods reflected continued tight control over discretionary spending.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 w:name="page27"/>
    <w:bookmarkEnd w:id="26"/>
    <w:p>
      <w:pPr>
        <w:jc w:val="both"/>
        <w:spacing w:after="0" w:line="250"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20.5% for the nine-month period ended September 30, 2025 compared to 19.3% for the nine-month period ended September 30, 2024. Amortization expense associated with intangible assets related to our acquisitions was $1,226 for the first nine months of 2025 ($1,134 in selling, general and administrative expenses and $92 in research and development costs), compared with $684 for the first nine months of 2024 ($609 in selling, general, and administrative expenses and $75 in research and development costs). Research and development costs were $7,577 for the nine-month period ended September 30, 2025, an increase of $1,723 or 29.4%, from $5,854 for the nine months ended September 30, 2024. Selling, general, and administrative expenses increased $4,314, or 24.8%, from $17,370 for the first nine months of 2024 to $21,684 for the first nine months of 2025. The period-over-period increase was primarily attributable to the inclusion of Electrochem, the strengthening of our sales and marketing leadership team to expedite organic growth and further leverage our global brand and resources, and certain one-time, non-recurring expenses which include costs to close our Calgary facility, costs related to our acquisition of Electrochem and the related transition to Ultralife systems and litigation expenses for our cyber insurance claim.</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Other expense totaled $2,896 for the nine-month period ended September 30, 2025 compared to $1,685 for the nine-month period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Interest and financing expense increased $1,905, or 171.5%, from $1,111 for the first nine months of 2024 to $3,016 for the comparable period in 2025 resulting from the financing of the Electrochem acquisition on October 31, 2024. Miscellaneous expense (income) amounted to ($120) for the first nine months of 2025 compared to ($426) for the first nine months of 2024, primarily attributable to a 2024 payment of $235 from our insurance carrier pertaining to a ransomware cyberattack experienced by the Company in the first quarter of 2023 and foreign exchange gains and losses due to fluctuations in foreign currency exchange rates.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income tax provision for the 2025 nine-month period was $306 compared to $1,630 for the 2024 nine-month period. Our effective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decreased to 16.9% from 20.9% for the 2024 period, primarily due to the geographic mix of our operating results. The income tax provision for the first nine months of 2025 is comprised of a $182 current provision for taxes expected to be paid on income primarily in foreign jurisdictions and a $124 deferred tax provision which primarily represents non-cash charges for U.S. income taxes that we expect will be fully offset by net operating loss carryforwards and other tax credits for the foreseeable future. For the comparable 2024 period, the income tax provision was comprised of a $335 current provision for taxes expected to be paid on income primarily in foreign jurisdictions and a $1,295 deferred tax provision which primarily represents non-cash charges for U.S. taxes that we expect will be fully offset by net operating loss carryforwards and other tax credits for the foreseeable future. See Note 7 to the consolidated financial statements in Item 1 of Part I of this Form 10-Q for additional information regarding our income taxes.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Ultralife. </w:t>
      </w:r>
      <w:r>
        <w:rPr>
          <w:rFonts w:ascii="Times New Roman" w:cs="Times New Roman" w:eastAsia="Times New Roman" w:hAnsi="Times New Roman"/>
          <w:sz w:val="18"/>
          <w:szCs w:val="18"/>
          <w:color w:val="auto"/>
        </w:rPr>
        <w:t>Net income attributable to Ultralife was $1,524, or $0.09 per share – basic and diluted for the nine-month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2025, compared to $6,118, or $0.37 per share – basic and diluted, for the nine-month period ended September 30, 2024.</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Weighted average shares outstanding used to compute diluted earnings per share decreased from 16,742,120 for the first nine months of 2024 to 16,698,915 for the first nine months of 2025. The decrease is attributable to stock option exercises since the third quarter of 2024, offset by a decrease in the average stock price used to compute diluted shares from $9.41 for the nine-month period ended September 30, 2024 to $6.77 for the nine-month period ended September 30, 2025. Accordingly diluted shares of 60,915 were added to basic weighted average shares in 2025 compared to 212,072 in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attributable to Ultralife Corporation before interest expense, provision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attributable to Ultralife Corporation, the most comparable financial measure under GAAP.</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income (loss). We believe that adjusted EBITDA permits a comparative assessment of our operating performance, relative to our performance based on our GAAP results, while eliminating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Corporation or other consolidated statement of operations data prepared in accordance with GAAP. Some of these limitations include, but are not limited to, the following:</w:t>
      </w:r>
    </w:p>
    <w:p>
      <w:pPr>
        <w:spacing w:after="0" w:line="181" w:lineRule="exact"/>
        <w:rPr>
          <w:sz w:val="20"/>
          <w:szCs w:val="20"/>
          <w:color w:val="auto"/>
        </w:rPr>
      </w:pPr>
    </w:p>
    <w:p>
      <w:pPr>
        <w:jc w:val="both"/>
        <w:ind w:left="1080" w:hanging="313"/>
        <w:spacing w:after="0" w:line="257"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0" w:lineRule="exact"/>
        <w:rPr>
          <w:rFonts w:ascii="Times New Roman" w:cs="Times New Roman" w:eastAsia="Times New Roman" w:hAnsi="Times New Roman"/>
          <w:sz w:val="18"/>
          <w:szCs w:val="18"/>
          <w:color w:val="auto"/>
        </w:rPr>
      </w:pPr>
    </w:p>
    <w:p>
      <w:pPr>
        <w:ind w:left="1080" w:hanging="313"/>
        <w:spacing w:after="0" w:line="277"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2" w:lineRule="exact"/>
        <w:rPr>
          <w:rFonts w:ascii="Times New Roman" w:cs="Times New Roman" w:eastAsia="Times New Roman" w:hAnsi="Times New Roman"/>
          <w:sz w:val="18"/>
          <w:szCs w:val="18"/>
          <w:color w:val="auto"/>
        </w:rPr>
      </w:pPr>
    </w:p>
    <w:p>
      <w:pPr>
        <w:jc w:val="both"/>
        <w:ind w:left="1080" w:hanging="313"/>
        <w:spacing w:after="0" w:line="26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6" w:lineRule="exact"/>
        <w:rPr>
          <w:rFonts w:ascii="Times New Roman" w:cs="Times New Roman" w:eastAsia="Times New Roman" w:hAnsi="Times New Roman"/>
          <w:sz w:val="18"/>
          <w:szCs w:val="18"/>
          <w:color w:val="auto"/>
        </w:rPr>
      </w:pPr>
    </w:p>
    <w:p>
      <w:pPr>
        <w:ind w:left="1080" w:hanging="313"/>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loss attributable to Ultralife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is calculated as follows for the periods presented: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4"/>
                <w:szCs w:val="24"/>
                <w:color w:val="auto"/>
              </w:rPr>
            </w:pPr>
          </w:p>
        </w:tc>
        <w:tc>
          <w:tcPr>
            <w:tcW w:w="23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98"/>
        </w:trPr>
        <w:tc>
          <w:tcPr>
            <w:tcW w:w="5980" w:type="dxa"/>
            <w:vAlign w:val="bottom"/>
          </w:tcPr>
          <w:p>
            <w:pPr>
              <w:spacing w:after="0"/>
              <w:rPr>
                <w:sz w:val="17"/>
                <w:szCs w:val="17"/>
                <w:color w:val="auto"/>
              </w:rPr>
            </w:pPr>
          </w:p>
        </w:tc>
        <w:tc>
          <w:tcPr>
            <w:tcW w:w="1280" w:type="dxa"/>
            <w:vAlign w:val="bottom"/>
            <w:tcBorders>
              <w:top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7"/>
                <w:szCs w:val="17"/>
                <w:color w:val="auto"/>
              </w:rPr>
            </w:pPr>
          </w:p>
        </w:tc>
        <w:tc>
          <w:tcPr>
            <w:tcW w:w="1220" w:type="dxa"/>
            <w:vAlign w:val="bottom"/>
            <w:tcBorders>
              <w:top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7"/>
                <w:szCs w:val="17"/>
                <w:color w:val="auto"/>
              </w:rPr>
            </w:pPr>
          </w:p>
        </w:tc>
      </w:tr>
      <w:tr>
        <w:trPr>
          <w:trHeight w:val="236"/>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7"/>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Ultralife Corporation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6,118</w:t>
            </w: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13"/>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w:t>
            </w:r>
          </w:p>
        </w:tc>
      </w:tr>
      <w:tr>
        <w:trPr>
          <w:trHeight w:val="213"/>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w:t>
            </w:r>
          </w:p>
        </w:tc>
      </w:tr>
      <w:tr>
        <w:trPr>
          <w:trHeight w:val="213"/>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r>
      <w:tr>
        <w:trPr>
          <w:trHeight w:val="213"/>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r>
        <w:trPr>
          <w:trHeight w:val="213"/>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Severance and other costs for plant closure</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and other non-recurring costs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27"/>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purchase accounting adjustments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September 30, 2025, cash totaled $9,260, as compared to $6,854 at December 31, 2024. The increase largely reflects cash generated by our operations during the period, partially offset by a reduction in our outstanding debt.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nine-month period ended September 30, 2025, cash generated from operations was $9,501, as compared to $13,590 generated for the nine-month period ended September 30, 2024. For the 2025 period, cash generated from operations was comprised of net income of $1,502 plus non-cash items totaling $5,213 for depreciation, amortization, stock-based compensation, and deferred taxes, partially offset by $2,786 attributable to working capital.</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2025 was $2,986 for capital expenditures, primarily reflecting investments in equipment for new products transitioning to higher-volume manufacturing.</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2025 was $3,989, representing a $4,063 reduction in our outstanding debt and $24 of debt issuance costs paid, partially offset by $98 in cash generated from employee stock option exercise proceeds during the period.</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continue to have significant U.S. net operating loss carryforwards available to utilize as an offset to future taxable income. See Note 7 to the consolidated financial statements in Item 1 of Part 1 of this Form 10-Q for additional information.</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Going forward, we expect positive operating cash flow and the availability of borrowings under our Revolving Credit Facility will be sufficient to meet our general funding requirements for the foreseeable future.</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provide flexibility in accessing the capital markets, on March 30, 2021, the Company filed a shelf registration statement on Form S-3 (File No. 333-254846) (the “Prior Registration Statement”) registering securities in an aggregate amount of $100,000,000. None of the $100,000,000 of registered securities were sold under the Prior Registration Statement (the “Unsold Securities”). Under the rules of the Securities and Exchange Commission (the “SEC”) the Prior Registration Statement was set to expire on April 2, 2024. Therefore, on March 29, 2024, the Company filed a new shelf registration statement on Form S-3 (File No. 333-278360) (the “New Registration Statement”) to replace the Prior Registration Statement. The New Registration Statement includes all $100,000,000 of the Unsold Securities registered on the Prior Registration Statement. The SEC declared the New Registration Statement effective May 7, 2024. Pursuant to Rule 415(a)(6) under Securities Act of 1933, as amended (the “Securities Act”), the offering of the Unsold Securities under the Prior Registration Statement was deemed terminated as of the date of effectiveness of the New Registration Statement. Upon the filing of an appropriate prospectus supplement or supplements under the New Registration Statement, we may offer and sell our securities from time to time in one or more offerings, at our discretion. We intend to use the net proceeds resulting from any sales of these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 differentiated products for attractive growth markets.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September 30, 2025, the Company had $50,937 outstanding on the Term Loan and no amounts outstanding on the Revolving Credit Facility. The Company was in full compliance with its debt covenants under the Revolving Credit Facility and Term Loan as of September 30,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we have made commitments to purchase approximately $677 of production machinery and equipment.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to the consolidated financial statements in our 2024 Annual Report on Form 10-K should be reviewed for a greater understanding of how our financial performance is recorded and reported.</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rebranding initiative mentioned above will have a non-cash impact on the value of our tradename and trademark intangible assets which will be determined and recorded during our fourth quarter.</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the first nine months of 2025, there were no significant changes in the manner in which our significant accounting policies were applied or in which related assumptions and estimates were developed.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President and Chief Executive Officer (principal executive officer) and our Chief Financial Officer and Treasurer (principal financial officer), has evaluated the effectiveness of our disclosure controls and procedures (as defined in Rule 13a-15(e) of the Exchange Act) as of the end of the period covered by this quarterly report. Management has concluded that our disclosure control and procedures were not effective as of September 30, 2025 because of the existing material weakness in our internal control over financial reporting as previously reported in our Annual Report on Form 10-K for the year ended December 31, 2024.</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Notwithstanding the material weakness identified, management believes that the Consolidated Financial Statements included in this Quarterly Report on Form 10-Q are fairly stated in all material respects in accordance with U.S. generally accepted accounting principles for each of the periods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Remediation Efforts to Address Material Weaknesses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2024, using the criteria set forth by the Committee of Sponsoring Organizations of the Treadway Commission (“COSO”) in Internal Control - Integrated Framework (2013). Based on our evaluation, management concluded that there is a material weakness in our internal control over financial reporting attributable to our need for additional accounting personnel to provide a full complement of accounting and reporting expertise commensurate with the growth of the Company both organic and through acquisitions. As a result of the material weakness identified, management concluded that our internal control over financial reporting was not effective as of December 31, 2024. The material weakness was not yet fully remediated as of September 30, 2025.</w:t>
      </w:r>
    </w:p>
    <w:p>
      <w:pPr>
        <w:spacing w:after="0" w:line="18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has taken the necessary steps to remediate our identified material weakness. The Company has significantly strengthened its finance and accounting team by adding a new oversight role and hiring additional highly experienced personnel including certified public accountants to augment the experience and expertise of our accounting team and provide for a full complement of resources commensurate with the Company’s continued growth. The actions taken include the naming of a Chief Accounting Officer with a backfill to the Corporate Controller role and filling the following positions: Director-Internal Audit &amp; Sox Compliance, Manager – Corporate Accounting, Manager – Corporate Reporting &amp; Consolidations, and Controller - Electrochem. We believe that this additional oversight, coupled with the additional personnel now hired, will allow us to execute improved business process controls more quickly and ensure a greater level of monitoring whether controls are adequately designed and operating effectively.</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Remediation will be deemed complete once our corrective actions are fully implemented and further evaluation is performed, including testing, to conclude that our internal control over financial reporting is effective.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continue our improvement in internal controls over financial reporting (as defined in Securities Exchange Act Rule 13a-15(f)) during the third quarter, we completed the re-organization of our Corporate Accounting organization and have appointed a Chief Accounting Officer, backfilled our Corporate Controller position and hired additional highly experienced CPA’s, MBA’s and other personnel, including a Director - Internal Audit &amp; Sox Compliance, Manager – Corporate Accounting and Manager – Corporate Reporting &amp; Consolidations. We believe that the reorganization and the additional resources will be a major step in strengthening our internal control over financial reporting as the Company continues to grow on a global basis.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00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2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08"/>
        </w:trPr>
        <w:tc>
          <w:tcPr>
            <w:tcW w:w="46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2"/>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2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Incorporated by Reference from</w:t>
            </w:r>
          </w:p>
        </w:tc>
      </w:tr>
      <w:tr>
        <w:trPr>
          <w:trHeight w:val="167"/>
        </w:trPr>
        <w:tc>
          <w:tcPr>
            <w:tcW w:w="460" w:type="dxa"/>
            <w:vAlign w:val="bottom"/>
          </w:tcPr>
          <w:p>
            <w:pPr>
              <w:spacing w:after="0"/>
              <w:rPr>
                <w:sz w:val="14"/>
                <w:szCs w:val="14"/>
                <w:color w:val="auto"/>
              </w:rPr>
            </w:pPr>
          </w:p>
        </w:tc>
        <w:tc>
          <w:tcPr>
            <w:tcW w:w="4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rPr>
              <w:t>31.1</w:t>
            </w:r>
          </w:p>
        </w:tc>
        <w:tc>
          <w:tcPr>
            <w:tcW w:w="15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320" w:type="dxa"/>
            <w:vAlign w:val="bottom"/>
            <w:tcBorders>
              <w:top w:val="single" w:sz="8" w:color="auto"/>
              <w:bottom w:val="single" w:sz="8" w:color="0000EE"/>
            </w:tcBorders>
            <w:gridSpan w:val="3"/>
          </w:tcPr>
          <w:p>
            <w:pPr>
              <w:spacing w:after="0" w:line="167" w:lineRule="exact"/>
              <w:rPr>
                <w:sz w:val="20"/>
                <w:szCs w:val="20"/>
                <w:color w:val="auto"/>
              </w:rPr>
            </w:pPr>
            <w:r>
              <w:rPr>
                <w:rFonts w:ascii="Times New Roman" w:cs="Times New Roman" w:eastAsia="Times New Roman" w:hAnsi="Times New Roman"/>
                <w:sz w:val="18"/>
                <w:szCs w:val="18"/>
                <w:color w:val="0000EE"/>
                <w:w w:val="98"/>
              </w:rPr>
              <w:t>Rule 13a-14(a) / 15d-14(a) CEO Certifications</w:t>
            </w:r>
          </w:p>
        </w:tc>
        <w:tc>
          <w:tcPr>
            <w:tcW w:w="18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rPr>
              <w:t>Filed herewith</w:t>
            </w:r>
          </w:p>
        </w:tc>
      </w:tr>
      <w:tr>
        <w:trPr>
          <w:trHeight w:val="193"/>
        </w:trPr>
        <w:tc>
          <w:tcPr>
            <w:tcW w:w="900" w:type="dxa"/>
            <w:vAlign w:val="bottom"/>
            <w:gridSpan w:val="2"/>
          </w:tcPr>
          <w:p>
            <w:pPr>
              <w:ind w:left="460"/>
              <w:spacing w:after="0" w:line="194" w:lineRule="exact"/>
              <w:rPr>
                <w:sz w:val="20"/>
                <w:szCs w:val="20"/>
                <w:color w:val="auto"/>
              </w:rPr>
            </w:pPr>
            <w:r>
              <w:rPr>
                <w:rFonts w:ascii="Times New Roman" w:cs="Times New Roman" w:eastAsia="Times New Roman" w:hAnsi="Times New Roman"/>
                <w:sz w:val="18"/>
                <w:szCs w:val="18"/>
                <w:color w:val="auto"/>
              </w:rPr>
              <w:t>31.2</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2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8"/>
              </w:rPr>
              <w:t>Rule 13a-14(a) / 15d-14(a) CFO Certifications</w:t>
            </w:r>
          </w:p>
        </w:tc>
        <w:tc>
          <w:tcPr>
            <w:tcW w:w="1840" w:type="dxa"/>
            <w:vAlign w:val="bottom"/>
            <w:gridSpan w:val="2"/>
          </w:tcPr>
          <w:p>
            <w:pPr>
              <w:spacing w:after="0"/>
              <w:rPr>
                <w:sz w:val="16"/>
                <w:szCs w:val="16"/>
                <w:color w:val="auto"/>
              </w:rPr>
            </w:pPr>
          </w:p>
        </w:tc>
        <w:tc>
          <w:tcPr>
            <w:tcW w:w="2880" w:type="dxa"/>
            <w:vAlign w:val="bottom"/>
            <w:gridSpan w:val="2"/>
          </w:tcPr>
          <w:p>
            <w:pPr>
              <w:ind w:left="300"/>
              <w:spacing w:after="0" w:line="194" w:lineRule="exact"/>
              <w:rPr>
                <w:sz w:val="20"/>
                <w:szCs w:val="20"/>
                <w:color w:val="auto"/>
              </w:rPr>
            </w:pPr>
            <w:r>
              <w:rPr>
                <w:rFonts w:ascii="Times New Roman" w:cs="Times New Roman" w:eastAsia="Times New Roman" w:hAnsi="Times New Roman"/>
                <w:sz w:val="18"/>
                <w:szCs w:val="18"/>
                <w:color w:val="auto"/>
              </w:rPr>
              <w:t>Filed herewith</w:t>
            </w:r>
          </w:p>
        </w:tc>
      </w:tr>
      <w:tr>
        <w:trPr>
          <w:trHeight w:val="193"/>
        </w:trPr>
        <w:tc>
          <w:tcPr>
            <w:tcW w:w="900" w:type="dxa"/>
            <w:vAlign w:val="bottom"/>
            <w:gridSpan w:val="2"/>
          </w:tcPr>
          <w:p>
            <w:pPr>
              <w:ind w:left="460"/>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16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Section 1350 Certifications</w:t>
            </w:r>
          </w:p>
        </w:tc>
        <w:tc>
          <w:tcPr>
            <w:tcW w:w="2880" w:type="dxa"/>
            <w:vAlign w:val="bottom"/>
            <w:gridSpan w:val="2"/>
          </w:tcPr>
          <w:p>
            <w:pPr>
              <w:ind w:left="300"/>
              <w:spacing w:after="0" w:line="194"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0"/>
        </w:trPr>
        <w:tc>
          <w:tcPr>
            <w:tcW w:w="4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215"/>
        </w:trPr>
        <w:tc>
          <w:tcPr>
            <w:tcW w:w="4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4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0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4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0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4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0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4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4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104</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2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2"/>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32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194"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September 30, 2025 and December 31, 2024, (ii) Consolidated Statements of Income (Loss) and Comprehensive Income (Loss) for the three and nine months ended September 30, 2025 and 2024, (iii) Consolidated Statements of Cash Flows for the nine months ended September 30, 2025 and 2024, (iv) Consolidated Statements of Changes in Stockholders’ Equity for the three and nine months ended September 30, 2025 and 2024, and (v) Notes to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2" w:name="page33"/>
    <w:bookmarkEnd w:id="3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ULTRALIFE CORPORATION</w:t>
            </w:r>
          </w:p>
        </w:tc>
      </w:tr>
      <w:tr>
        <w:trPr>
          <w:trHeight w:val="234"/>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(Registrant)</w:t>
            </w:r>
          </w:p>
        </w:tc>
      </w:tr>
      <w:tr>
        <w:trPr>
          <w:trHeight w:val="38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Date: November 17, 2025</w:t>
            </w:r>
          </w:p>
        </w:tc>
        <w:tc>
          <w:tcPr>
            <w:tcW w:w="5740" w:type="dxa"/>
            <w:vAlign w:val="bottom"/>
            <w:gridSpan w:val="5"/>
          </w:tcPr>
          <w:p>
            <w:pPr>
              <w:ind w:left="194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15"/>
        </w:trPr>
        <w:tc>
          <w:tcPr>
            <w:tcW w:w="4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98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Michael E. Manna</w:t>
            </w:r>
          </w:p>
        </w:tc>
        <w:tc>
          <w:tcPr>
            <w:tcW w:w="1520" w:type="dxa"/>
            <w:vAlign w:val="bottom"/>
          </w:tcPr>
          <w:p>
            <w:pPr>
              <w:spacing w:after="0"/>
              <w:rPr>
                <w:sz w:val="18"/>
                <w:szCs w:val="18"/>
                <w:color w:val="auto"/>
              </w:rPr>
            </w:pPr>
          </w:p>
        </w:tc>
      </w:tr>
      <w:tr>
        <w:trPr>
          <w:trHeight w:val="213"/>
        </w:trPr>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2"/>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8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Date: November 17, 2025</w:t>
            </w:r>
          </w:p>
        </w:tc>
        <w:tc>
          <w:tcPr>
            <w:tcW w:w="5740" w:type="dxa"/>
            <w:vAlign w:val="bottom"/>
            <w:gridSpan w:val="5"/>
          </w:tcPr>
          <w:p>
            <w:pPr>
              <w:ind w:left="194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5"/>
        </w:trPr>
        <w:tc>
          <w:tcPr>
            <w:tcW w:w="4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6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Philip A. Fain</w:t>
            </w:r>
          </w:p>
        </w:tc>
        <w:tc>
          <w:tcPr>
            <w:tcW w:w="1840" w:type="dxa"/>
            <w:vAlign w:val="bottom"/>
            <w:gridSpan w:val="2"/>
          </w:tcPr>
          <w:p>
            <w:pPr>
              <w:spacing w:after="0"/>
              <w:rPr>
                <w:sz w:val="18"/>
                <w:szCs w:val="18"/>
                <w:color w:val="auto"/>
              </w:rPr>
            </w:pPr>
          </w:p>
        </w:tc>
      </w:tr>
      <w:tr>
        <w:trPr>
          <w:trHeight w:val="213"/>
        </w:trPr>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3"/>
        </w:trPr>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2"/>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5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40"/>
        </w:trPr>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00" w:type="dxa"/>
            <w:vAlign w:val="bottom"/>
            <w:gridSpan w:val="3"/>
          </w:tcPr>
          <w:p>
            <w:pPr>
              <w:jc w:val="right"/>
              <w:ind w:right="411"/>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080"/>
          </w:cols>
          <w:pgMar w:left="320" w:top="571" w:right="4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Manna, certify that:</w:t>
      </w:r>
    </w:p>
    <w:p>
      <w:pPr>
        <w:spacing w:after="0" w:line="220" w:lineRule="exact"/>
        <w:rPr>
          <w:sz w:val="20"/>
          <w:szCs w:val="20"/>
          <w:color w:val="auto"/>
        </w:rPr>
      </w:pPr>
    </w:p>
    <w:p>
      <w:pPr>
        <w:ind w:left="640" w:hanging="63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20" w:hanging="633"/>
        <w:spacing w:after="0" w:line="27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Date: November 17, 2025</w:t>
            </w:r>
          </w:p>
        </w:tc>
        <w:tc>
          <w:tcPr>
            <w:tcW w:w="530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15"/>
        </w:trPr>
        <w:tc>
          <w:tcPr>
            <w:tcW w:w="4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23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Michael E. Manna</w:t>
            </w:r>
          </w:p>
        </w:tc>
        <w:tc>
          <w:tcPr>
            <w:tcW w:w="680" w:type="dxa"/>
            <w:vAlign w:val="bottom"/>
          </w:tcPr>
          <w:p>
            <w:pPr>
              <w:spacing w:after="0"/>
              <w:rPr>
                <w:sz w:val="18"/>
                <w:szCs w:val="18"/>
                <w:color w:val="auto"/>
              </w:rPr>
            </w:pPr>
          </w:p>
        </w:tc>
      </w:tr>
      <w:tr>
        <w:trPr>
          <w:trHeight w:val="232"/>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0" w:lineRule="exact"/>
        <w:rPr>
          <w:sz w:val="20"/>
          <w:szCs w:val="20"/>
          <w:color w:val="auto"/>
        </w:rPr>
      </w:pPr>
    </w:p>
    <w:p>
      <w:pPr>
        <w:ind w:left="640" w:hanging="63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20" w:hanging="633"/>
        <w:spacing w:after="0" w:line="27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Date: November 17, 2025</w:t>
            </w:r>
          </w:p>
        </w:tc>
        <w:tc>
          <w:tcPr>
            <w:tcW w:w="526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5"/>
        </w:trPr>
        <w:tc>
          <w:tcPr>
            <w:tcW w:w="4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20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Philip A. Fain</w:t>
            </w:r>
          </w:p>
        </w:tc>
        <w:tc>
          <w:tcPr>
            <w:tcW w:w="960" w:type="dxa"/>
            <w:vAlign w:val="bottom"/>
          </w:tcPr>
          <w:p>
            <w:pPr>
              <w:spacing w:after="0"/>
              <w:rPr>
                <w:sz w:val="18"/>
                <w:szCs w:val="18"/>
                <w:color w:val="auto"/>
              </w:rPr>
            </w:pPr>
          </w:p>
        </w:tc>
      </w:tr>
      <w:tr>
        <w:trPr>
          <w:trHeight w:val="232"/>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Chief Financial Officer and Treasurer</w:t>
            </w:r>
          </w:p>
        </w:tc>
      </w:tr>
    </w:tbl>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Quarterly Report on Form 10-Q for the quarter ended September 30, 2025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1"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Date: November 17, 2025</w:t>
            </w:r>
          </w:p>
        </w:tc>
        <w:tc>
          <w:tcPr>
            <w:tcW w:w="5300" w:type="dxa"/>
            <w:vAlign w:val="bottom"/>
            <w:gridSpan w:val="4"/>
          </w:tcPr>
          <w:p>
            <w:pPr>
              <w:ind w:left="194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15"/>
        </w:trPr>
        <w:tc>
          <w:tcPr>
            <w:tcW w:w="4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23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Michael E. Manna</w:t>
            </w:r>
          </w:p>
        </w:tc>
        <w:tc>
          <w:tcPr>
            <w:tcW w:w="680" w:type="dxa"/>
            <w:vAlign w:val="bottom"/>
          </w:tcPr>
          <w:p>
            <w:pPr>
              <w:spacing w:after="0"/>
              <w:rPr>
                <w:sz w:val="18"/>
                <w:szCs w:val="18"/>
                <w:color w:val="auto"/>
              </w:rPr>
            </w:pPr>
          </w:p>
        </w:tc>
      </w:tr>
      <w:tr>
        <w:trPr>
          <w:trHeight w:val="232"/>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38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Date: November 17, 2025</w:t>
            </w:r>
          </w:p>
        </w:tc>
        <w:tc>
          <w:tcPr>
            <w:tcW w:w="5300" w:type="dxa"/>
            <w:vAlign w:val="bottom"/>
            <w:gridSpan w:val="4"/>
          </w:tcPr>
          <w:p>
            <w:pPr>
              <w:ind w:left="194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5"/>
        </w:trPr>
        <w:tc>
          <w:tcPr>
            <w:tcW w:w="4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20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Philip A. Fain</w:t>
            </w:r>
          </w:p>
        </w:tc>
        <w:tc>
          <w:tcPr>
            <w:tcW w:w="1000" w:type="dxa"/>
            <w:vAlign w:val="bottom"/>
            <w:gridSpan w:val="2"/>
          </w:tcPr>
          <w:p>
            <w:pPr>
              <w:spacing w:after="0"/>
              <w:rPr>
                <w:sz w:val="18"/>
                <w:szCs w:val="18"/>
                <w:color w:val="auto"/>
              </w:rPr>
            </w:pPr>
          </w:p>
        </w:tc>
      </w:tr>
      <w:tr>
        <w:trPr>
          <w:trHeight w:val="232"/>
        </w:trPr>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8"/>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decimal"/>
      <w:start w:val="10"/>
    </w:lvl>
  </w:abstractNum>
  <w:abstractNum w:abstractNumId="11">
    <w:nsid w:val="7FDCC233"/>
    <w:multiLevelType w:val="hybridMultilevel"/>
    <w:lvl w:ilvl="0">
      <w:lvlJc w:val="left"/>
      <w:lvlText w:val="%1."/>
      <w:numFmt w:val="decimal"/>
      <w:start w:val="11"/>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amp;"/>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2025-11-17T16:34:06Z</dcterms:created>
  <dcterms:modified xsi:type="dcterms:W3CDTF">2025-11-17T16:34:06Z</dcterms:modified>
</cp:coreProperties>
</file>