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11"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2023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340" w:right="1900" w:hanging="3332"/>
        <w:spacing w:after="0" w:line="498" w:lineRule="auto"/>
        <w:tabs>
          <w:tab w:leader="none" w:pos="65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3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0-20852</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ULTRALIFE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08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Delaware</w:t>
            </w:r>
          </w:p>
        </w:tc>
        <w:tc>
          <w:tcPr>
            <w:tcW w:w="4600" w:type="dxa"/>
            <w:vAlign w:val="bottom"/>
          </w:tcPr>
          <w:p>
            <w:pPr>
              <w:jc w:val="center"/>
              <w:ind w:left="690"/>
              <w:spacing w:after="0"/>
              <w:rPr>
                <w:sz w:val="20"/>
                <w:szCs w:val="20"/>
                <w:color w:val="auto"/>
              </w:rPr>
            </w:pPr>
            <w:r>
              <w:rPr>
                <w:rFonts w:ascii="Arial" w:cs="Arial" w:eastAsia="Arial" w:hAnsi="Arial"/>
                <w:sz w:val="18"/>
                <w:szCs w:val="18"/>
                <w:b w:val="1"/>
                <w:bCs w:val="1"/>
                <w:color w:val="auto"/>
                <w:w w:val="89"/>
              </w:rPr>
              <w:t>16-1387013</w:t>
            </w:r>
          </w:p>
        </w:tc>
      </w:tr>
      <w:tr>
        <w:trPr>
          <w:trHeight w:val="230"/>
        </w:trPr>
        <w:tc>
          <w:tcPr>
            <w:tcW w:w="5080" w:type="dxa"/>
            <w:vAlign w:val="bottom"/>
          </w:tcPr>
          <w:p>
            <w:pPr>
              <w:jc w:val="center"/>
              <w:ind w:right="690"/>
              <w:spacing w:after="0"/>
              <w:rPr>
                <w:sz w:val="20"/>
                <w:szCs w:val="20"/>
                <w:color w:val="auto"/>
              </w:rPr>
            </w:pPr>
            <w:r>
              <w:rPr>
                <w:rFonts w:ascii="Arial" w:cs="Arial" w:eastAsia="Arial" w:hAnsi="Arial"/>
                <w:sz w:val="18"/>
                <w:szCs w:val="18"/>
                <w:color w:val="auto"/>
                <w:w w:val="92"/>
              </w:rPr>
              <w:t>(State or other jurisdiction of incorporation of organization)</w:t>
            </w:r>
          </w:p>
        </w:tc>
        <w:tc>
          <w:tcPr>
            <w:tcW w:w="4600" w:type="dxa"/>
            <w:vAlign w:val="bottom"/>
          </w:tcPr>
          <w:p>
            <w:pPr>
              <w:jc w:val="center"/>
              <w:ind w:left="69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08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2000 Technology Parkway Newark, New York 14513</w:t>
            </w:r>
          </w:p>
        </w:tc>
        <w:tc>
          <w:tcPr>
            <w:tcW w:w="4600" w:type="dxa"/>
            <w:vAlign w:val="bottom"/>
          </w:tcPr>
          <w:p>
            <w:pPr>
              <w:jc w:val="center"/>
              <w:ind w:left="650"/>
              <w:spacing w:after="0"/>
              <w:rPr>
                <w:sz w:val="20"/>
                <w:szCs w:val="20"/>
                <w:color w:val="auto"/>
              </w:rPr>
            </w:pPr>
            <w:r>
              <w:rPr>
                <w:rFonts w:ascii="Arial" w:cs="Arial" w:eastAsia="Arial" w:hAnsi="Arial"/>
                <w:sz w:val="18"/>
                <w:szCs w:val="18"/>
                <w:b w:val="1"/>
                <w:bCs w:val="1"/>
                <w:color w:val="auto"/>
                <w:w w:val="92"/>
              </w:rPr>
              <w:t>(315) 332-7100</w:t>
            </w:r>
          </w:p>
        </w:tc>
      </w:tr>
      <w:tr>
        <w:trPr>
          <w:trHeight w:val="230"/>
        </w:trPr>
        <w:tc>
          <w:tcPr>
            <w:tcW w:w="5080" w:type="dxa"/>
            <w:vAlign w:val="bottom"/>
          </w:tcPr>
          <w:p>
            <w:pPr>
              <w:jc w:val="center"/>
              <w:ind w:right="690"/>
              <w:spacing w:after="0"/>
              <w:rPr>
                <w:sz w:val="20"/>
                <w:szCs w:val="20"/>
                <w:color w:val="auto"/>
              </w:rPr>
            </w:pPr>
            <w:r>
              <w:rPr>
                <w:rFonts w:ascii="Arial" w:cs="Arial" w:eastAsia="Arial" w:hAnsi="Arial"/>
                <w:sz w:val="18"/>
                <w:szCs w:val="18"/>
                <w:color w:val="auto"/>
                <w:w w:val="92"/>
              </w:rPr>
              <w:t>(Address of principal executive offices) (Zip Code)</w:t>
            </w:r>
          </w:p>
        </w:tc>
        <w:tc>
          <w:tcPr>
            <w:tcW w:w="4600" w:type="dxa"/>
            <w:vAlign w:val="bottom"/>
          </w:tcPr>
          <w:p>
            <w:pPr>
              <w:jc w:val="center"/>
              <w:ind w:left="690"/>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688" w:right="339" w:bottom="1440" w:gutter="0" w:footer="0" w:header="0"/>
        </w:sectPr>
      </w:pPr>
    </w:p>
    <w:p>
      <w:pPr>
        <w:spacing w:after="0" w:line="221"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Common Stock, $0.10 par value per share</w:t>
      </w:r>
    </w:p>
    <w:p>
      <w:pPr>
        <w:spacing w:after="0" w:line="50"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ULBI</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NASDAQ</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(Name of each exchange on which registered)</w:t>
      </w:r>
    </w:p>
    <w:p>
      <w:pPr>
        <w:spacing w:after="0" w:line="222" w:lineRule="exact"/>
        <w:rPr>
          <w:sz w:val="24"/>
          <w:szCs w:val="24"/>
          <w:color w:val="auto"/>
        </w:rPr>
      </w:pPr>
    </w:p>
    <w:p>
      <w:pPr>
        <w:sectPr>
          <w:pgSz w:w="11900" w:h="16838" w:orient="portrait"/>
          <w:cols w:equalWidth="0" w:num="3">
            <w:col w:w="4260" w:space="720"/>
            <w:col w:w="2040" w:space="720"/>
            <w:col w:w="3500"/>
          </w:cols>
          <w:pgMar w:left="320" w:top="688" w:right="339" w:bottom="1440" w:gutter="0" w:footer="0" w:header="0"/>
          <w:type w:val="continuous"/>
        </w:sectPr>
      </w:pPr>
    </w:p>
    <w:p>
      <w:pPr>
        <w:spacing w:after="0" w:line="11"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8" w:right="339" w:bottom="1440" w:gutter="0" w:footer="0" w:header="0"/>
          <w:type w:val="continuous"/>
        </w:sectPr>
      </w:pPr>
    </w:p>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420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688" w:right="3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688" w:right="339" w:bottom="1440" w:gutter="0" w:footer="0" w:header="0"/>
          <w:type w:val="continuous"/>
        </w:sectPr>
      </w:pPr>
    </w:p>
    <w:p>
      <w:pPr>
        <w:spacing w:after="0" w:line="48" w:lineRule="exact"/>
        <w:rPr>
          <w:sz w:val="24"/>
          <w:szCs w:val="24"/>
          <w:color w:val="auto"/>
        </w:rPr>
      </w:pPr>
    </w:p>
    <w:p>
      <w:pPr>
        <w:ind w:left="56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688" w:right="339" w:bottom="1440" w:gutter="0" w:footer="0" w:header="0"/>
          <w:type w:val="continuous"/>
        </w:sectPr>
      </w:pPr>
    </w:p>
    <w:p>
      <w:pPr>
        <w:spacing w:after="0" w:line="293"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 of October 23, 2023, the registrant had 16,340,113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800" w:type="dxa"/>
            <w:vAlign w:val="bottom"/>
          </w:tcPr>
          <w:p>
            <w:pPr>
              <w:ind w:left="2620"/>
              <w:spacing w:after="0"/>
              <w:rPr>
                <w:sz w:val="20"/>
                <w:szCs w:val="20"/>
                <w:color w:val="auto"/>
              </w:rPr>
            </w:pPr>
            <w:r>
              <w:rPr>
                <w:rFonts w:ascii="Arial" w:cs="Arial" w:eastAsia="Arial" w:hAnsi="Arial"/>
                <w:sz w:val="18"/>
                <w:szCs w:val="18"/>
                <w:b w:val="1"/>
                <w:bCs w:val="1"/>
                <w:color w:val="auto"/>
              </w:rPr>
              <w:t>ULTRALIFE CORPORATION AND SUBSIDIARIES</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9800" w:type="dxa"/>
            <w:vAlign w:val="bottom"/>
          </w:tcPr>
          <w:p>
            <w:pPr>
              <w:ind w:left="4420"/>
              <w:spacing w:after="0"/>
              <w:rPr>
                <w:sz w:val="20"/>
                <w:szCs w:val="20"/>
                <w:color w:val="auto"/>
              </w:rPr>
            </w:pPr>
            <w:r>
              <w:rPr>
                <w:rFonts w:ascii="Arial" w:cs="Arial" w:eastAsia="Arial" w:hAnsi="Arial"/>
                <w:sz w:val="18"/>
                <w:szCs w:val="18"/>
                <w:b w:val="1"/>
                <w:bCs w:val="1"/>
                <w:color w:val="auto"/>
              </w:rPr>
              <w:t>INDEX</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92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520" w:type="dxa"/>
            <w:vAlign w:val="bottom"/>
            <w:gridSpan w:val="3"/>
          </w:tcPr>
          <w:p>
            <w:pPr>
              <w:ind w:left="60"/>
              <w:spacing w:after="0"/>
              <w:rPr>
                <w:sz w:val="20"/>
                <w:szCs w:val="20"/>
                <w:color w:val="auto"/>
              </w:rPr>
            </w:pPr>
            <w:r>
              <w:rPr>
                <w:rFonts w:ascii="Arial" w:cs="Arial" w:eastAsia="Arial" w:hAnsi="Arial"/>
                <w:sz w:val="18"/>
                <w:szCs w:val="18"/>
                <w:b w:val="1"/>
                <w:bCs w:val="1"/>
                <w:color w:val="auto"/>
              </w:rPr>
              <w:t>Page</w:t>
            </w:r>
          </w:p>
        </w:tc>
      </w:tr>
      <w:tr>
        <w:trPr>
          <w:trHeight w:val="21"/>
        </w:trPr>
        <w:tc>
          <w:tcPr>
            <w:tcW w:w="9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8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Financial Statements (unaudited):</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Balance Sheets as of September 30, 2023 and December 31, 2022</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20" w:type="dxa"/>
            <w:vAlign w:val="bottom"/>
            <w:shd w:val="clear" w:color="auto" w:fill="CCEEFF"/>
          </w:tcPr>
          <w:p>
            <w:pPr>
              <w:spacing w:after="0"/>
              <w:rPr>
                <w:sz w:val="17"/>
                <w:szCs w:val="17"/>
                <w:color w:val="auto"/>
              </w:rPr>
            </w:pPr>
          </w:p>
        </w:tc>
        <w:tc>
          <w:tcPr>
            <w:tcW w:w="98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Consolidated Statements of Income (Loss) and Comprehensive Income (Loss) for the Three and Nine-Month Periods Ended</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20" w:type="dxa"/>
            <w:vAlign w:val="bottom"/>
            <w:shd w:val="clear" w:color="auto" w:fill="CCEEFF"/>
          </w:tcPr>
          <w:p>
            <w:pPr>
              <w:spacing w:after="0"/>
              <w:rPr>
                <w:sz w:val="20"/>
                <w:szCs w:val="20"/>
                <w:color w:val="auto"/>
              </w:rPr>
            </w:pPr>
          </w:p>
        </w:tc>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2023 and September 30, 2022</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Consolidated Statements of Cash Flows for the Nine-Month Periods Ended September 30, 2023 and September 30, 2022</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20" w:type="dxa"/>
            <w:vAlign w:val="bottom"/>
            <w:shd w:val="clear" w:color="auto" w:fill="CCEEFF"/>
          </w:tcPr>
          <w:p>
            <w:pPr>
              <w:spacing w:after="0"/>
              <w:rPr>
                <w:sz w:val="17"/>
                <w:szCs w:val="17"/>
                <w:color w:val="auto"/>
              </w:rPr>
            </w:pPr>
          </w:p>
        </w:tc>
        <w:tc>
          <w:tcPr>
            <w:tcW w:w="98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Consolidated Statements of Changes in Shareholders’ Equity for the Three and Nine-Month Periods Ended September 30, 2023 and</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20" w:type="dxa"/>
            <w:vAlign w:val="bottom"/>
            <w:shd w:val="clear" w:color="auto" w:fill="CCEEFF"/>
          </w:tcPr>
          <w:p>
            <w:pPr>
              <w:spacing w:after="0"/>
              <w:rPr>
                <w:sz w:val="20"/>
                <w:szCs w:val="20"/>
                <w:color w:val="auto"/>
              </w:rPr>
            </w:pPr>
          </w:p>
        </w:tc>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2022</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to Consolidated Financial Statements (unaudited)</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Controls and Procedures</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8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OTHER INFORMATION</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Exhibits</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Signatures</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100" w:type="dxa"/>
            <w:vAlign w:val="bottom"/>
            <w:shd w:val="clear" w:color="auto" w:fill="CCEEFF"/>
          </w:tcPr>
          <w:p>
            <w:pPr>
              <w:spacing w:after="0"/>
              <w:rPr>
                <w:sz w:val="18"/>
                <w:szCs w:val="18"/>
                <w:color w:val="auto"/>
              </w:rPr>
            </w:pPr>
          </w:p>
        </w:tc>
      </w:tr>
      <w:tr>
        <w:trPr>
          <w:trHeight w:val="574"/>
        </w:trPr>
        <w:tc>
          <w:tcPr>
            <w:tcW w:w="92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rPr>
              <w:t>ULTRALIFE CORPORATION AND SUBSIDIARIES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88"/>
              </w:rPr>
              <w:t>(In Thousands except share amounts)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w w:val="96"/>
              </w:rPr>
              <w:t>Trade accounts receivable, net of allowance for expected credit losses of $287 and $303, respectively</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27,189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27,779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41,192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89,553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78,988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21,166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21,716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37,428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15,270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15,921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176,109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168,430</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00"/>
              <w:spacing w:after="0"/>
              <w:rPr>
                <w:sz w:val="20"/>
                <w:szCs w:val="20"/>
                <w:color w:val="auto"/>
              </w:rPr>
            </w:pPr>
            <w:r>
              <w:rPr>
                <w:rFonts w:ascii="Arial" w:cs="Arial" w:eastAsia="Arial" w:hAnsi="Arial"/>
                <w:sz w:val="18"/>
                <w:szCs w:val="18"/>
                <w:b w:val="1"/>
                <w:bCs w:val="1"/>
                <w:color w:val="auto"/>
              </w:rPr>
              <w:t>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benefits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28,913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Long-term debt,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24,108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19,310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52,027</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 par value $.10 per share; authorized 40,000,000 shares; issued – 20,746,546 shares at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September 30, 2023 and 20,570,710 shares at December 31, 2022; outstanding – 16,311,194 shares at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September 30, 2023 and 16,135,358 shares at December 31, 2022</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Capital in excess of par value</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188,852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187,405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(47,951)</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(4,176)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Treasury stock - at cost; 4,435,352 shares at September 30, 2023 and 4,435,352 shares at December 31,</w:t>
            </w:r>
          </w:p>
        </w:tc>
        <w:tc>
          <w:tcPr>
            <w:tcW w:w="14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(21,484)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(21,484)</w:t>
            </w: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Ultralife Corporation equity</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121,640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116,277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shareholders’ equity</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121,758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116,403</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00" w:type="dxa"/>
            <w:vAlign w:val="bottom"/>
            <w:gridSpan w:val="4"/>
          </w:tcPr>
          <w:p>
            <w:pPr>
              <w:jc w:val="center"/>
              <w:ind w:left="155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jc w:val="center"/>
              <w:ind w:left="3150"/>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2"/>
              </w:rPr>
              <w:t>Three-month period ended</w:t>
            </w:r>
          </w:p>
        </w:tc>
        <w:tc>
          <w:tcPr>
            <w:tcW w:w="160" w:type="dxa"/>
            <w:vAlign w:val="bottom"/>
          </w:tcPr>
          <w:p>
            <w:pPr>
              <w:spacing w:after="0"/>
              <w:rPr>
                <w:sz w:val="20"/>
                <w:szCs w:val="20"/>
                <w:color w:val="auto"/>
              </w:rPr>
            </w:pPr>
          </w:p>
        </w:tc>
        <w:tc>
          <w:tcPr>
            <w:tcW w:w="23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Nine-month period ended</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39,488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114,096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95,733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29,714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26,519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86,298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74,414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9,774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21,319</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1,869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1,896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5,770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15,982</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7,639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7,301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21,972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21,407</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2,135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5,826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financing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Miscellaneous income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(expense) income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1,688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1,303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income (loss) attributable to Ultralife Corporation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1,330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 attributable to Ultralife Corporation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 xml:space="preserve">Net income (loss) per share attributable to Ultralife common stockholders </w:t>
            </w:r>
            <w:r>
              <w:rPr>
                <w:rFonts w:ascii="Arial" w:cs="Arial" w:eastAsia="Arial" w:hAnsi="Arial"/>
                <w:sz w:val="18"/>
                <w:szCs w:val="18"/>
                <w:color w:val="auto"/>
                <w:w w:val="92"/>
              </w:rPr>
              <w:t>–</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line="194" w:lineRule="exact"/>
              <w:rPr>
                <w:sz w:val="20"/>
                <w:szCs w:val="20"/>
                <w:color w:val="auto"/>
              </w:rPr>
            </w:pPr>
            <w:r>
              <w:rPr>
                <w:rFonts w:ascii="Arial" w:cs="Arial" w:eastAsia="Arial" w:hAnsi="Arial"/>
                <w:sz w:val="18"/>
                <w:szCs w:val="18"/>
                <w:b w:val="1"/>
                <w:bCs w:val="1"/>
                <w:color w:val="auto"/>
              </w:rPr>
              <w:t>basic</w:t>
            </w:r>
          </w:p>
        </w:tc>
        <w:tc>
          <w:tcPr>
            <w:tcW w:w="160" w:type="dxa"/>
            <w:vAlign w:val="bottom"/>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 xml:space="preserve">Net income (loss) per share attributable to Ultralife common stockholders </w:t>
            </w:r>
            <w:r>
              <w:rPr>
                <w:rFonts w:ascii="Arial" w:cs="Arial" w:eastAsia="Arial" w:hAnsi="Arial"/>
                <w:sz w:val="18"/>
                <w:szCs w:val="18"/>
                <w:color w:val="auto"/>
                <w:w w:val="92"/>
              </w:rPr>
              <w:t>–</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line="194" w:lineRule="exact"/>
              <w:rPr>
                <w:sz w:val="20"/>
                <w:szCs w:val="20"/>
                <w:color w:val="auto"/>
              </w:rPr>
            </w:pPr>
            <w:r>
              <w:rPr>
                <w:rFonts w:ascii="Arial" w:cs="Arial" w:eastAsia="Arial" w:hAnsi="Arial"/>
                <w:sz w:val="18"/>
                <w:szCs w:val="18"/>
                <w:b w:val="1"/>
                <w:bCs w:val="1"/>
                <w:color w:val="auto"/>
              </w:rPr>
              <w:t>diluted</w:t>
            </w:r>
          </w:p>
        </w:tc>
        <w:tc>
          <w:tcPr>
            <w:tcW w:w="160" w:type="dxa"/>
            <w:vAlign w:val="bottom"/>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Weighted average shares outstanding </w:t>
            </w:r>
            <w:r>
              <w:rPr>
                <w:rFonts w:ascii="Arial" w:cs="Arial" w:eastAsia="Arial" w:hAnsi="Arial"/>
                <w:sz w:val="18"/>
                <w:szCs w:val="18"/>
                <w:color w:val="auto"/>
              </w:rPr>
              <w:t>–</w:t>
            </w:r>
            <w:r>
              <w:rPr>
                <w:rFonts w:ascii="Arial" w:cs="Arial" w:eastAsia="Arial" w:hAnsi="Arial"/>
                <w:sz w:val="18"/>
                <w:szCs w:val="18"/>
                <w:b w:val="1"/>
                <w:bCs w:val="1"/>
                <w:color w:val="auto"/>
              </w:rPr>
              <w:t xml:space="preserve"> basic</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16,238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16,133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Potential common shares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16,303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16,133</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Nine-month period ended</w:t>
            </w:r>
          </w:p>
        </w:tc>
      </w:tr>
      <w:tr>
        <w:trPr>
          <w:trHeight w:val="191"/>
        </w:trPr>
        <w:tc>
          <w:tcPr>
            <w:tcW w:w="80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6"/>
                <w:szCs w:val="16"/>
                <w:color w:val="auto"/>
              </w:rPr>
            </w:pP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4,316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2,282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2,450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Amortization of financing fees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(683)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(7,433)</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(8,714)</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(1,972)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(1,004)</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 and other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9,906</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(3,827)</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(1,396)</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(1,547)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(1,396)</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on revolving credit facility</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Payments on term loan facility</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(1,333)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withholdings on stock-based awards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0"/>
        </w:trPr>
        <w:tc>
          <w:tcPr>
            <w:tcW w:w="800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r>
      <w:tr>
        <w:trPr>
          <w:trHeight w:val="209"/>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INCREASE (DECREASE) IN CASH</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3,588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(3,362)</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8,413</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02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Capital</w:t>
            </w: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202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4"/>
              </w:rPr>
              <w:t>in Excess</w:t>
            </w:r>
          </w:p>
        </w:tc>
        <w:tc>
          <w:tcPr>
            <w:tcW w:w="24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Non-</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114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Number of</w:t>
            </w:r>
          </w:p>
        </w:tc>
        <w:tc>
          <w:tcPr>
            <w:tcW w:w="2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of Par</w:t>
            </w:r>
          </w:p>
        </w:tc>
        <w:tc>
          <w:tcPr>
            <w:tcW w:w="14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Comprehensive</w:t>
            </w:r>
          </w:p>
        </w:tc>
        <w:tc>
          <w:tcPr>
            <w:tcW w:w="11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86"/>
              </w:rPr>
              <w:t>Treasury</w:t>
            </w:r>
          </w:p>
        </w:tc>
        <w:tc>
          <w:tcPr>
            <w:tcW w:w="11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Controlling</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Income (Loss)</w:t>
            </w:r>
          </w:p>
        </w:tc>
        <w:tc>
          <w:tcPr>
            <w:tcW w:w="16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December 31,</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20,522,427</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186,518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117,743</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w w:val="98"/>
              </w:rPr>
              <w:t>Stock-based compensation –</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538</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Stock-based compensation -</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920" w:type="dxa"/>
            <w:vAlign w:val="bottom"/>
          </w:tcPr>
          <w:p>
            <w:pPr>
              <w:jc w:val="right"/>
              <w:spacing w:after="0"/>
              <w:rPr>
                <w:sz w:val="20"/>
                <w:szCs w:val="20"/>
                <w:color w:val="auto"/>
              </w:rPr>
            </w:pPr>
            <w:r>
              <w:rPr>
                <w:rFonts w:ascii="Arial" w:cs="Arial" w:eastAsia="Arial" w:hAnsi="Arial"/>
                <w:sz w:val="18"/>
                <w:szCs w:val="18"/>
                <w:color w:val="auto"/>
              </w:rPr>
              <w:t>6,664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(3,189)</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17"/>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300" w:type="dxa"/>
            <w:vAlign w:val="bottom"/>
          </w:tcPr>
          <w:p>
            <w:pPr>
              <w:spacing w:after="0" w:line="191" w:lineRule="exact"/>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September 30,</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9"/>
              </w:rPr>
              <w:t>20,568,210</w:t>
            </w:r>
          </w:p>
        </w:tc>
        <w:tc>
          <w:tcPr>
            <w:tcW w:w="220" w:type="dxa"/>
            <w:vAlign w:val="bottom"/>
          </w:tcPr>
          <w:p>
            <w:pPr>
              <w:spacing w:after="0"/>
              <w:rPr>
                <w:sz w:val="16"/>
                <w:szCs w:val="16"/>
                <w:color w:val="auto"/>
              </w:rPr>
            </w:pP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2,057</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187,181</w:t>
            </w: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(4,842)</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(47,727)</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(21,480)</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127</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115,316</w:t>
            </w:r>
          </w:p>
        </w:tc>
        <w:tc>
          <w:tcPr>
            <w:tcW w:w="0" w:type="dxa"/>
            <w:vAlign w:val="bottom"/>
          </w:tcPr>
          <w:p>
            <w:pPr>
              <w:spacing w:after="0"/>
              <w:rPr>
                <w:sz w:val="1"/>
                <w:szCs w:val="1"/>
                <w:color w:val="auto"/>
              </w:rPr>
            </w:pPr>
          </w:p>
        </w:tc>
      </w:tr>
      <w:tr>
        <w:trPr>
          <w:trHeight w:val="194"/>
        </w:trPr>
        <w:tc>
          <w:tcPr>
            <w:tcW w:w="2300" w:type="dxa"/>
            <w:vAlign w:val="bottom"/>
          </w:tcPr>
          <w:p>
            <w:pPr>
              <w:ind w:left="180"/>
              <w:spacing w:after="0" w:line="194" w:lineRule="exact"/>
              <w:rPr>
                <w:sz w:val="20"/>
                <w:szCs w:val="20"/>
                <w:color w:val="auto"/>
              </w:rPr>
            </w:pPr>
            <w:r>
              <w:rPr>
                <w:rFonts w:ascii="Arial" w:cs="Arial" w:eastAsia="Arial" w:hAnsi="Arial"/>
                <w:sz w:val="18"/>
                <w:szCs w:val="18"/>
                <w:b w:val="1"/>
                <w:bCs w:val="1"/>
                <w:color w:val="auto"/>
              </w:rPr>
              <w:t>2022</w:t>
            </w: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December 31,</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180"/>
              <w:spacing w:after="0"/>
              <w:rPr>
                <w:sz w:val="20"/>
                <w:szCs w:val="20"/>
                <w:color w:val="auto"/>
              </w:rPr>
            </w:pPr>
            <w:r>
              <w:rPr>
                <w:rFonts w:ascii="Arial" w:cs="Arial" w:eastAsia="Arial" w:hAnsi="Arial"/>
                <w:sz w:val="18"/>
                <w:szCs w:val="18"/>
                <w:b w:val="1"/>
                <w:bCs w:val="1"/>
                <w:color w:val="auto"/>
              </w:rPr>
              <w:t>2022</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20,570,710</w:t>
            </w:r>
          </w:p>
        </w:tc>
        <w:tc>
          <w:tcPr>
            <w:tcW w:w="220" w:type="dxa"/>
            <w:vAlign w:val="bottom"/>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2,057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187,405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(3,750)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(47,951)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(21,484)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116,403</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Stock option exercises</w:t>
            </w:r>
          </w:p>
        </w:tc>
        <w:tc>
          <w:tcPr>
            <w:tcW w:w="920" w:type="dxa"/>
            <w:vAlign w:val="bottom"/>
          </w:tcPr>
          <w:p>
            <w:pPr>
              <w:jc w:val="right"/>
              <w:spacing w:after="0"/>
              <w:rPr>
                <w:sz w:val="20"/>
                <w:szCs w:val="20"/>
                <w:color w:val="auto"/>
              </w:rPr>
            </w:pPr>
            <w:r>
              <w:rPr>
                <w:rFonts w:ascii="Arial" w:cs="Arial" w:eastAsia="Arial" w:hAnsi="Arial"/>
                <w:sz w:val="18"/>
                <w:szCs w:val="18"/>
                <w:color w:val="auto"/>
              </w:rPr>
              <w:t>175,836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Stock-based compensation –</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w w:val="99"/>
              </w:rPr>
              <w:t>Stock-based compensation -</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7"/>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300" w:type="dxa"/>
            <w:vAlign w:val="bottom"/>
          </w:tcPr>
          <w:p>
            <w:pPr>
              <w:spacing w:after="0" w:line="191" w:lineRule="exact"/>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September 30,</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9"/>
              </w:rPr>
              <w:t>20,746,546</w:t>
            </w:r>
          </w:p>
        </w:tc>
        <w:tc>
          <w:tcPr>
            <w:tcW w:w="220" w:type="dxa"/>
            <w:vAlign w:val="bottom"/>
          </w:tcPr>
          <w:p>
            <w:pPr>
              <w:spacing w:after="0"/>
              <w:rPr>
                <w:sz w:val="16"/>
                <w:szCs w:val="16"/>
                <w:color w:val="auto"/>
              </w:rPr>
            </w:pP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2,075</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188,852</w:t>
            </w: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(4,176)</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(43,627)</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(21,484)</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118</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121,758</w:t>
            </w:r>
          </w:p>
        </w:tc>
        <w:tc>
          <w:tcPr>
            <w:tcW w:w="0" w:type="dxa"/>
            <w:vAlign w:val="bottom"/>
          </w:tcPr>
          <w:p>
            <w:pPr>
              <w:spacing w:after="0"/>
              <w:rPr>
                <w:sz w:val="1"/>
                <w:szCs w:val="1"/>
                <w:color w:val="auto"/>
              </w:rPr>
            </w:pPr>
          </w:p>
        </w:tc>
      </w:tr>
      <w:tr>
        <w:trPr>
          <w:trHeight w:val="194"/>
        </w:trPr>
        <w:tc>
          <w:tcPr>
            <w:tcW w:w="2300" w:type="dxa"/>
            <w:vAlign w:val="bottom"/>
          </w:tcPr>
          <w:p>
            <w:pPr>
              <w:ind w:left="180"/>
              <w:spacing w:after="0" w:line="194" w:lineRule="exact"/>
              <w:rPr>
                <w:sz w:val="20"/>
                <w:szCs w:val="20"/>
                <w:color w:val="auto"/>
              </w:rPr>
            </w:pPr>
            <w:r>
              <w:rPr>
                <w:rFonts w:ascii="Arial" w:cs="Arial" w:eastAsia="Arial" w:hAnsi="Arial"/>
                <w:sz w:val="18"/>
                <w:szCs w:val="18"/>
                <w:b w:val="1"/>
                <w:bCs w:val="1"/>
                <w:color w:val="auto"/>
              </w:rPr>
              <w:t>2023</w:t>
            </w: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June 30, 2022</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20,567,460</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2,057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186,999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(3,151)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(47,488)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(21,480)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117,067</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Stock option exercises</w:t>
            </w:r>
          </w:p>
        </w:tc>
        <w:tc>
          <w:tcPr>
            <w:tcW w:w="920" w:type="dxa"/>
            <w:vAlign w:val="bottom"/>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Stock-based compensation –</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w w:val="99"/>
              </w:rPr>
              <w:t>Stock-based compensation -</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(1,691)</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7"/>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300" w:type="dxa"/>
            <w:vAlign w:val="bottom"/>
          </w:tcPr>
          <w:p>
            <w:pPr>
              <w:spacing w:after="0" w:line="191" w:lineRule="exact"/>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September 30,</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9"/>
              </w:rPr>
              <w:t>20,568,210</w:t>
            </w:r>
          </w:p>
        </w:tc>
        <w:tc>
          <w:tcPr>
            <w:tcW w:w="220" w:type="dxa"/>
            <w:vAlign w:val="bottom"/>
          </w:tcPr>
          <w:p>
            <w:pPr>
              <w:spacing w:after="0"/>
              <w:rPr>
                <w:sz w:val="16"/>
                <w:szCs w:val="16"/>
                <w:color w:val="auto"/>
              </w:rPr>
            </w:pP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2,057</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187,181</w:t>
            </w: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(4,842)</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(47,727)</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(21,480)</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127</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115,316</w:t>
            </w:r>
          </w:p>
        </w:tc>
        <w:tc>
          <w:tcPr>
            <w:tcW w:w="0" w:type="dxa"/>
            <w:vAlign w:val="bottom"/>
          </w:tcPr>
          <w:p>
            <w:pPr>
              <w:spacing w:after="0"/>
              <w:rPr>
                <w:sz w:val="1"/>
                <w:szCs w:val="1"/>
                <w:color w:val="auto"/>
              </w:rPr>
            </w:pPr>
          </w:p>
        </w:tc>
      </w:tr>
      <w:tr>
        <w:trPr>
          <w:trHeight w:val="194"/>
        </w:trPr>
        <w:tc>
          <w:tcPr>
            <w:tcW w:w="2300" w:type="dxa"/>
            <w:vAlign w:val="bottom"/>
          </w:tcPr>
          <w:p>
            <w:pPr>
              <w:ind w:left="180"/>
              <w:spacing w:after="0" w:line="194" w:lineRule="exact"/>
              <w:rPr>
                <w:sz w:val="20"/>
                <w:szCs w:val="20"/>
                <w:color w:val="auto"/>
              </w:rPr>
            </w:pPr>
            <w:r>
              <w:rPr>
                <w:rFonts w:ascii="Arial" w:cs="Arial" w:eastAsia="Arial" w:hAnsi="Arial"/>
                <w:sz w:val="18"/>
                <w:szCs w:val="18"/>
                <w:b w:val="1"/>
                <w:bCs w:val="1"/>
                <w:color w:val="auto"/>
              </w:rPr>
              <w:t>2022</w:t>
            </w: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June 30, 2023</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20,586,045</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2,059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187,758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(3,846)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(44,957)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(21,484)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119,675</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Stock option exercises</w:t>
            </w:r>
          </w:p>
        </w:tc>
        <w:tc>
          <w:tcPr>
            <w:tcW w:w="920" w:type="dxa"/>
            <w:vAlign w:val="bottom"/>
          </w:tcPr>
          <w:p>
            <w:pPr>
              <w:jc w:val="right"/>
              <w:spacing w:after="0"/>
              <w:rPr>
                <w:sz w:val="20"/>
                <w:szCs w:val="20"/>
                <w:color w:val="auto"/>
              </w:rPr>
            </w:pPr>
            <w:r>
              <w:rPr>
                <w:rFonts w:ascii="Arial" w:cs="Arial" w:eastAsia="Arial" w:hAnsi="Arial"/>
                <w:sz w:val="18"/>
                <w:szCs w:val="18"/>
                <w:color w:val="auto"/>
              </w:rPr>
              <w:t>160,501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963</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Stock-based compensation –</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w w:val="99"/>
              </w:rPr>
              <w:t>Stock-based compensation -</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restricted stock</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7"/>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300" w:type="dxa"/>
            <w:vAlign w:val="bottom"/>
          </w:tcPr>
          <w:p>
            <w:pPr>
              <w:spacing w:after="0" w:line="191" w:lineRule="exact"/>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September 30,</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9"/>
              </w:rPr>
              <w:t>20,746,546</w:t>
            </w:r>
          </w:p>
        </w:tc>
        <w:tc>
          <w:tcPr>
            <w:tcW w:w="220" w:type="dxa"/>
            <w:vAlign w:val="bottom"/>
          </w:tcPr>
          <w:p>
            <w:pPr>
              <w:spacing w:after="0"/>
              <w:rPr>
                <w:sz w:val="16"/>
                <w:szCs w:val="16"/>
                <w:color w:val="auto"/>
              </w:rPr>
            </w:pP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2,075</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188,852</w:t>
            </w:r>
          </w:p>
        </w:tc>
        <w:tc>
          <w:tcPr>
            <w:tcW w:w="240" w:type="dxa"/>
            <w:vAlign w:val="bottom"/>
            <w:vMerge w:val="restart"/>
          </w:tcPr>
          <w:p>
            <w:pPr>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(4,176)</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(43,627)</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(21,484)</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118</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121,758</w:t>
            </w:r>
          </w:p>
        </w:tc>
        <w:tc>
          <w:tcPr>
            <w:tcW w:w="0" w:type="dxa"/>
            <w:vAlign w:val="bottom"/>
          </w:tcPr>
          <w:p>
            <w:pPr>
              <w:spacing w:after="0"/>
              <w:rPr>
                <w:sz w:val="1"/>
                <w:szCs w:val="1"/>
                <w:color w:val="auto"/>
              </w:rPr>
            </w:pPr>
          </w:p>
        </w:tc>
      </w:tr>
      <w:tr>
        <w:trPr>
          <w:trHeight w:val="194"/>
        </w:trPr>
        <w:tc>
          <w:tcPr>
            <w:tcW w:w="2300" w:type="dxa"/>
            <w:vAlign w:val="bottom"/>
          </w:tcPr>
          <w:p>
            <w:pPr>
              <w:ind w:left="180"/>
              <w:spacing w:after="0" w:line="194" w:lineRule="exact"/>
              <w:rPr>
                <w:sz w:val="20"/>
                <w:szCs w:val="20"/>
                <w:color w:val="auto"/>
              </w:rPr>
            </w:pPr>
            <w:r>
              <w:rPr>
                <w:rFonts w:ascii="Arial" w:cs="Arial" w:eastAsia="Arial" w:hAnsi="Arial"/>
                <w:sz w:val="18"/>
                <w:szCs w:val="18"/>
                <w:b w:val="1"/>
                <w:bCs w:val="1"/>
                <w:color w:val="auto"/>
              </w:rPr>
              <w:t>2023</w:t>
            </w: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consolidated financial statements of Ultralife Corporation and its subsidiaries (the “Company” or “Ultralife”) have been prepared in accordance with generally accepted accounting principles in the United States of America (“GAAP”) for interim financial information and with the instructions to Rule 8-03 of Regulation S-X. Accordingly, they do not include all the information and 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2022.</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December 31, 2022 consolidated balance sheet information referenced herein was derived from audited financial statements but does not include all disclosures required by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quarter ended June 30, 2023, in consultation with third party experts, the Company completed an analysis to determine and verify its eligibility for the Employee Retention Credit (“ERC”), which is a refundable tax credit against certain employment taxes under Section 2301 of the Coronavirus Aid, Relief, and Economic Security Act of 2020 (“CARES Act”) and the American Rescue Plan of 2021, and filed the necessary amended payroll tax forms with the Internal Revenue Service to claim a refund for the credit. The ERC refund receivable of $1,544 is included in prepaid expenses and other current assets on our consolidated balance sheet as of September 30, 2023, and the benefit is recognized as other income on our consolidated statement of income for the nine-month period ended September 30,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Financial Accounting Standards Board (“FASB”) issued ASU 2016-13, “Financial Instruments – Credit Losses (Topic 326) – Measurement of Credit Losses on Financial Instruments”,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was effective for the Company for fiscal years, and interim periods within those fiscal years, beginning after December 15, 2022. The adoption of this new accounting standard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13, 2021, Ultralife, Southwest Electronic Energy Corporation, a Texas corporation and wholly owned subsidiary of Ultralife (“SWE”), CLB, INC., a Texas corporation and wholly owned subsidiary of SWE (“CLB”), Ultralife Excell Holding Corp., a Delaware corporation and wholly owned subsidiary of Ultralife (“UEHC”), Ultralife Canada Holding Corp., a Delaware corporation and wholly owned subsidiary of UEHC (“UCHC”), and Excell Battery Corporation USA, a Texas corporation and wholly owned subsidiary of UEHC (“Excell USA”), as borrowers, entered into the Second Amendment Agreement with KeyBank National Association (“KeyBank” or the “Bank”), as lender and administrative agent, to amend the Credit and Security Agreement dated May 31, 2017 as amended by the First Amendment Agreement by and among Ultralife, SWE, CLB and KeyBank dated May 1, 2019 (the “Credit Agreement”). On November 28, 2022, Ultralife, SWE, CLB, UEHC, UCHC, Excell USA, and Excell Battery Canada ULC, a British Columbia unlimited liability corporation and wholly owned subsidiary of UCHC (“Excell Canada”), entered into that certain Third Amendment Agreement with KeyBank, to further amend the Credit Agreement to, among other things, facilitate the joinder of Excell Canada as a guarantor under the Credit Agreement and to replace the LIBOR benchmark thereunder with SOFR (the “Third Amendment Agreement”, and together with the Second Amendment Agreement and the Credit Agreement, the “Amended Credit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The Amended Credit Agreement, among other things, provides for a 5-year, $10,000 senior secured term loan (the “Term Loan Facility”) and extends the term of the $30,000 senior secured revolving credit facility (the “Revolving Credit Facility”, and together with the Term Loan Facility, the “Amended Credit Facilities”) through May 30, 2025. Up to six months prior to May 30, 2025, the Revolving Credit Facility may be increased to $50,000 with the Bank’s concurrence.</w:t>
      </w:r>
    </w:p>
    <w:p>
      <w:pPr>
        <w:spacing w:after="0" w:line="18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As of September 30, 2023, the Company had $6,667 outstanding principal on the Term Loan Facility, $2,000 of which is included in current portion of long-term debt on the balance sheet, and $19,580 outstanding on the Revolving Credit Facility. As of September 30, 2023, total unamortized debt issuance costs of $139, including placement, renewal and legal fees associated with the Amended Credit Agreement, are classified as a reduction of long-term debt on the balance sheet. Debt issuance costs are amortized to interest expense over the term of the Amended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remaining availability under the Revolving Credit Facility is subject to certain borrowing base limits based on trade receivables and inventories.</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required to repay the borrowings under the Term Loan Facility in equal consecutive monthly payments commencing on February 1, 2022, in arrears, together with applicable interest. All unpaid principal and accrued and unpaid interest with respect to the Term Loan Facility is due and payable in full on January 1, 2027. All unpaid principal and accrued and unpaid interest with respect to the Revolving Credit Facility is due and payable in full on May 30, 2025. The Company may voluntarily prepay principal amounts outstanding at any time subject to certain restrictions.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to the customary affirmative and negative covenants, the Company must maintain a Consolidated Senior Leverage Ratio, as defined in the Amended Credit Agreement, of equal to or less than 3.5 to 1.0 for the fiscal quarters ending December 31, 2022 and March 31, 2023, and equal to or less than 3.0 to 1.0 for the fiscal quarters ending June 30, 2023 and thereafter. The Company was in full compliance with its covenants under the Amended Credit Agreement as of September 30,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Amended Credit Facilities are secured by substantially all the assets of the Company and its subsidiaries.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effectiveness of the Third Amendment Agreement, interest accrues on outstanding indebtedness under the Amended Credit Facilities at the Daily Simple SOFR Rate, plus an index spread adjustment of 0.10%, plus the applicable margin. The applicable margin ranges from 185 to 215 basis points and is determined based on the Company’s senior leverage ratio.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fee of 0.15% to 0.25% based on the average daily unused availability under the Revolving Credit Facility.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Payments must be made by the Company to the extent borrowings exceed the maximum amount then permitted to be drawn on the Amended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principal repayment obligations on our Amended Credit Facilities as of September 30, 2023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2024</w:t>
            </w:r>
          </w:p>
        </w:tc>
        <w:tc>
          <w:tcPr>
            <w:tcW w:w="6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21,580</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2026</w:t>
            </w:r>
          </w:p>
        </w:tc>
        <w:tc>
          <w:tcPr>
            <w:tcW w:w="6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6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6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49"/>
        </w:trPr>
        <w:tc>
          <w:tcPr>
            <w:tcW w:w="300" w:type="dxa"/>
            <w:vAlign w:val="bottom"/>
          </w:tcPr>
          <w:p>
            <w:pPr>
              <w:spacing w:after="0"/>
              <w:rPr>
                <w:sz w:val="21"/>
                <w:szCs w:val="21"/>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6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Pr>
          <w:p>
            <w:pPr>
              <w:spacing w:after="0"/>
              <w:rPr>
                <w:sz w:val="21"/>
                <w:szCs w:val="21"/>
                <w:color w:val="auto"/>
              </w:rPr>
            </w:pPr>
          </w:p>
        </w:tc>
      </w:tr>
      <w:tr>
        <w:trPr>
          <w:trHeight w:val="413"/>
        </w:trPr>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600" w:type="dxa"/>
            <w:vAlign w:val="bottom"/>
          </w:tcPr>
          <w:p>
            <w:pPr>
              <w:jc w:val="right"/>
              <w:ind w:right="4150"/>
              <w:spacing w:after="0"/>
              <w:rPr>
                <w:sz w:val="20"/>
                <w:szCs w:val="20"/>
                <w:color w:val="auto"/>
              </w:rPr>
            </w:pPr>
            <w:r>
              <w:rPr>
                <w:rFonts w:ascii="Arial" w:cs="Arial" w:eastAsia="Arial" w:hAnsi="Arial"/>
                <w:sz w:val="18"/>
                <w:szCs w:val="18"/>
                <w:color w:val="auto"/>
              </w:rPr>
              <w:t>6</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tcPr>
          <w:p>
            <w:pPr>
              <w:spacing w:after="0"/>
              <w:rPr>
                <w:sz w:val="10"/>
                <w:szCs w:val="10"/>
                <w:color w:val="auto"/>
              </w:rPr>
            </w:pPr>
          </w:p>
        </w:tc>
        <w:tc>
          <w:tcPr>
            <w:tcW w:w="66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8" w:name="page9"/>
    <w:bookmarkEnd w:id="8"/>
    <w:p>
      <w:pPr>
        <w:ind w:left="340" w:hanging="332"/>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Basic earnings (loss) per share (“EPS”) is computed by dividing net income (loss) attributable to Ultralife by the weighted average shares outstanding during the period. Diluted EPS includes the dilutive effect of securities, if any, and is calculated using the treasury stock method.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three-month period ended September 30, 2023, there were 677,029 outstanding stock options and 2,500 unvested restricted stock awards included in the calculation of diluted weighted average shares outstanding, as such securities were dilutive, resulting in 65,275 potential common shares included in the calculation of diluted EPS. There were 411,583 outstanding stock options for the three-month period ended September 30, 2023 not included in EPS as the effect would be anti-dilutive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comparable three-month period ended September 30, 2022, there no were no outstanding stock awards included in the calculation of diluted weighted average shares outstanding and no potential common shares included in the calculation of diluted EPS, as no securities were dilutive. There were 1,202,076 outstanding stock options and 5,000 unvested restricted stock awards for the three-month period ended September 30, 2022 not included in EPS as the effect would be anti-dilutive.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nine-month period ended September 30, 2023, there were 22,165 outstanding stock options and 2,500 unvested restricted stock awards included in the calculation of diluted weighted average shares outstanding, as such securities were dilutive, resulting in 2,441 potential common shares included in the calculation of diluted EPS. There were 1,066,447 outstanding stock options for the nine-month periods ended September 30, 2023 not included in EPS as the effect would be anti-dilutive.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comparable nine-month period ended September 30, 2022, there were 128,665 outstanding stock options and 5,000 unvested restricted stock awards included in the calculation of diluted EPS, resulting in 22,203 potential common shares included in the calculation of diluted EPS. There were 1,073,411 outstanding stock options for the nine-month period ended September 30, 2022 not included in EPS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640" w:firstLine="8"/>
        <w:spacing w:after="0" w:line="530" w:lineRule="auto"/>
        <w:tabs>
          <w:tab w:leader="none" w:pos="324"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SUPPLEMENTAL BALANCE SHEET INFORMATION Fair Value Measurements and Disclosures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financial instruments approximated their carrying values at September 30, 2023 and December 31, 2022. The fair value of cash, accounts receivable, accounts payable, accrued liabilities, and the current portion of long-term debt approximates carrying value due to the short-term nature of these instruments.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w:t>
            </w: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60" w:type="dxa"/>
            <w:vAlign w:val="bottom"/>
            <w:gridSpan w:val="2"/>
          </w:tcPr>
          <w:p>
            <w:pPr>
              <w:spacing w:after="0"/>
              <w:rPr>
                <w:sz w:val="20"/>
                <w:szCs w:val="20"/>
                <w:color w:val="auto"/>
              </w:rPr>
            </w:pPr>
            <w:r>
              <w:rPr>
                <w:rFonts w:ascii="Arial" w:cs="Arial" w:eastAsia="Arial" w:hAnsi="Arial"/>
                <w:sz w:val="18"/>
                <w:szCs w:val="18"/>
                <w:color w:val="auto"/>
              </w:rPr>
              <w:t>The composition of the Company’s cash was as follows:</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September 30,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Restricted cash</w:t>
            </w:r>
          </w:p>
        </w:tc>
        <w:tc>
          <w:tcPr>
            <w:tcW w:w="1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r>
      <w:tr>
        <w:trPr>
          <w:trHeight w:val="230"/>
        </w:trPr>
        <w:tc>
          <w:tcPr>
            <w:tcW w:w="300" w:type="dxa"/>
            <w:vAlign w:val="bottom"/>
          </w:tcPr>
          <w:p>
            <w:pPr>
              <w:spacing w:after="0"/>
              <w:rPr>
                <w:sz w:val="19"/>
                <w:szCs w:val="19"/>
                <w:color w:val="auto"/>
              </w:rPr>
            </w:pPr>
          </w:p>
        </w:tc>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100" w:type="dxa"/>
            <w:vAlign w:val="bottom"/>
            <w:shd w:val="clear" w:color="auto" w:fill="CCEEFF"/>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and December 31, 2022, restricted cash included $78 and $79, respectively, of euro-denominated deposits withheld by the Dutch tax authorities and third-party VAT representatives in connection with a previously utilized logistics arrangement in the Netherlands. Restricted cash is included as a component of the cash balance for purposes of the consolidated statements of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Inventories,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stated at the lower of cost or net realizable value, net of obsolescence reserves, with cost determined under the first-in, first-out (FIFO)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 The composition of inventories, net was: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8"/>
          </w:tcPr>
          <w:p>
            <w:pPr>
              <w:jc w:val="center"/>
              <w:ind w:right="5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gridSpan w:val="2"/>
          </w:tcPr>
          <w:p>
            <w:pPr>
              <w:jc w:val="center"/>
              <w:ind w:left="45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2022</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31,516</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29,200</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4,342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10,776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46,634</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41,192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Major classes of property, plant and equipment consisted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8"/>
          </w:tcPr>
          <w:p>
            <w:pPr>
              <w:jc w:val="center"/>
              <w:ind w:right="5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gridSpan w:val="2"/>
          </w:tcPr>
          <w:p>
            <w:pPr>
              <w:jc w:val="center"/>
              <w:ind w:left="45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2022</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15,934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15,572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57,164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63,981</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2,822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86,709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92,660</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(65,543)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(70,944)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 w:type="dxa"/>
            <w:vAlign w:val="bottom"/>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21,166</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21,716</w:t>
            </w:r>
          </w:p>
        </w:tc>
        <w:tc>
          <w:tcPr>
            <w:tcW w:w="10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gridSpan w:val="2"/>
          </w:tcPr>
          <w:p>
            <w:pPr>
              <w:spacing w:after="0"/>
              <w:rPr>
                <w:sz w:val="20"/>
                <w:szCs w:val="20"/>
                <w:color w:val="auto"/>
              </w:rPr>
            </w:pPr>
            <w:r>
              <w:rPr>
                <w:rFonts w:ascii="Arial" w:cs="Arial" w:eastAsia="Arial" w:hAnsi="Arial"/>
                <w:sz w:val="18"/>
                <w:szCs w:val="18"/>
                <w:color w:val="auto"/>
              </w:rPr>
              <w:t>Depreciation expense for property, plant and equipment was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Three-month period ended</w:t>
            </w:r>
          </w:p>
        </w:tc>
        <w:tc>
          <w:tcPr>
            <w:tcW w:w="100" w:type="dxa"/>
            <w:vAlign w:val="bottom"/>
          </w:tcPr>
          <w:p>
            <w:pPr>
              <w:spacing w:after="0"/>
              <w:rPr>
                <w:sz w:val="24"/>
                <w:szCs w:val="24"/>
                <w:color w:val="auto"/>
              </w:rPr>
            </w:pPr>
          </w:p>
        </w:tc>
        <w:tc>
          <w:tcPr>
            <w:tcW w:w="2540" w:type="dxa"/>
            <w:vAlign w:val="bottom"/>
            <w:gridSpan w:val="12"/>
          </w:tcPr>
          <w:p>
            <w:pPr>
              <w:ind w:left="240"/>
              <w:spacing w:after="0"/>
              <w:rPr>
                <w:sz w:val="20"/>
                <w:szCs w:val="20"/>
                <w:color w:val="auto"/>
              </w:rPr>
            </w:pPr>
            <w:r>
              <w:rPr>
                <w:rFonts w:ascii="Arial" w:cs="Arial" w:eastAsia="Arial" w:hAnsi="Arial"/>
                <w:sz w:val="18"/>
                <w:szCs w:val="18"/>
                <w:b w:val="1"/>
                <w:bCs w:val="1"/>
                <w:color w:val="auto"/>
              </w:rPr>
              <w:t>Nine-month period ended</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gridSpan w:val="6"/>
          </w:tcPr>
          <w:p>
            <w:pPr>
              <w:jc w:val="right"/>
              <w:ind w:right="80"/>
              <w:spacing w:after="0" w:line="191" w:lineRule="exact"/>
              <w:rPr>
                <w:sz w:val="20"/>
                <w:szCs w:val="20"/>
                <w:color w:val="auto"/>
              </w:rPr>
            </w:pPr>
            <w:r>
              <w:rPr>
                <w:rFonts w:ascii="Arial" w:cs="Arial" w:eastAsia="Arial" w:hAnsi="Arial"/>
                <w:sz w:val="18"/>
                <w:szCs w:val="18"/>
                <w:b w:val="1"/>
                <w:bCs w:val="1"/>
                <w:color w:val="auto"/>
                <w:w w:val="87"/>
              </w:rPr>
              <w:t>September 30,</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4"/>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815</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2,282</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activity by segment for the nine-month period ended September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Battery &amp;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Energy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Communications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Products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Systems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2022</w:t>
            </w:r>
          </w:p>
        </w:tc>
        <w:tc>
          <w:tcPr>
            <w:tcW w:w="1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37,428</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30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2023</w:t>
            </w:r>
          </w:p>
        </w:tc>
        <w:tc>
          <w:tcPr>
            <w:tcW w:w="15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25,864</w:t>
            </w: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37,357</w:t>
            </w:r>
          </w:p>
        </w:tc>
        <w:tc>
          <w:tcPr>
            <w:tcW w:w="100" w:type="dxa"/>
            <w:vAlign w:val="bottom"/>
            <w:shd w:val="clear" w:color="auto" w:fill="CCEEFF"/>
          </w:tcPr>
          <w:p>
            <w:pPr>
              <w:spacing w:after="0"/>
              <w:rPr>
                <w:sz w:val="21"/>
                <w:szCs w:val="21"/>
                <w:color w:val="auto"/>
              </w:rPr>
            </w:pPr>
          </w:p>
        </w:tc>
        <w:tc>
          <w:tcPr>
            <w:tcW w:w="280" w:type="dxa"/>
            <w:vAlign w:val="bottom"/>
          </w:tcPr>
          <w:p>
            <w:pPr>
              <w:spacing w:after="0"/>
              <w:rPr>
                <w:sz w:val="21"/>
                <w:szCs w:val="21"/>
                <w:color w:val="auto"/>
              </w:rPr>
            </w:pPr>
          </w:p>
        </w:tc>
      </w:tr>
      <w:tr>
        <w:trPr>
          <w:trHeight w:val="413"/>
        </w:trPr>
        <w:tc>
          <w:tcPr>
            <w:tcW w:w="300" w:type="dxa"/>
            <w:vAlign w:val="bottom"/>
          </w:tcPr>
          <w:p>
            <w:pPr>
              <w:spacing w:after="0"/>
              <w:rPr>
                <w:sz w:val="24"/>
                <w:szCs w:val="24"/>
                <w:color w:val="auto"/>
              </w:rPr>
            </w:pPr>
          </w:p>
        </w:tc>
        <w:tc>
          <w:tcPr>
            <w:tcW w:w="406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Intangible Assets, Net</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40" w:type="dxa"/>
            <w:vAlign w:val="bottom"/>
            <w:gridSpan w:val="2"/>
          </w:tcPr>
          <w:p>
            <w:pPr>
              <w:spacing w:after="0"/>
              <w:rPr>
                <w:sz w:val="20"/>
                <w:szCs w:val="20"/>
                <w:color w:val="auto"/>
              </w:rPr>
            </w:pPr>
            <w:r>
              <w:rPr>
                <w:rFonts w:ascii="Arial" w:cs="Arial" w:eastAsia="Arial" w:hAnsi="Arial"/>
                <w:sz w:val="18"/>
                <w:szCs w:val="18"/>
                <w:color w:val="auto"/>
              </w:rPr>
              <w:t>The composition of other intangible assets was: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at September 30, 2023</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Amortization</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12,989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Patents and technology</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5,260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Trademarks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40" w:type="dxa"/>
            <w:vAlign w:val="bottom"/>
            <w:gridSpan w:val="2"/>
          </w:tcPr>
          <w:p>
            <w:pPr>
              <w:ind w:left="280"/>
              <w:spacing w:after="0"/>
              <w:rPr>
                <w:sz w:val="20"/>
                <w:szCs w:val="20"/>
                <w:color w:val="auto"/>
              </w:rPr>
            </w:pPr>
            <w:r>
              <w:rPr>
                <w:rFonts w:ascii="Arial" w:cs="Arial" w:eastAsia="Arial" w:hAnsi="Arial"/>
                <w:sz w:val="18"/>
                <w:szCs w:val="18"/>
                <w:color w:val="auto"/>
              </w:rPr>
              <w:t>Total other intangible assets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28,084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12,814</w:t>
            </w:r>
          </w:p>
        </w:tc>
        <w:tc>
          <w:tcPr>
            <w:tcW w:w="160" w:type="dxa"/>
            <w:vAlign w:val="bottom"/>
          </w:tcPr>
          <w:p>
            <w:pPr>
              <w:spacing w:after="0"/>
              <w:rPr>
                <w:sz w:val="18"/>
                <w:szCs w:val="18"/>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15,270</w:t>
            </w:r>
          </w:p>
        </w:tc>
        <w:tc>
          <w:tcPr>
            <w:tcW w:w="10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at December 31, 2022</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Amortization</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09"/>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12,970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Patents and technology</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Trademarks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40" w:type="dxa"/>
            <w:vAlign w:val="bottom"/>
            <w:gridSpan w:val="2"/>
          </w:tcPr>
          <w:p>
            <w:pPr>
              <w:ind w:left="280"/>
              <w:spacing w:after="0"/>
              <w:rPr>
                <w:sz w:val="20"/>
                <w:szCs w:val="20"/>
                <w:color w:val="auto"/>
              </w:rPr>
            </w:pPr>
            <w:r>
              <w:rPr>
                <w:rFonts w:ascii="Arial" w:cs="Arial" w:eastAsia="Arial" w:hAnsi="Arial"/>
                <w:sz w:val="18"/>
                <w:szCs w:val="18"/>
                <w:color w:val="auto"/>
              </w:rPr>
              <w:t>Total other intangible assets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28,060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12,139</w:t>
            </w:r>
          </w:p>
        </w:tc>
        <w:tc>
          <w:tcPr>
            <w:tcW w:w="160" w:type="dxa"/>
            <w:vAlign w:val="bottom"/>
          </w:tcPr>
          <w:p>
            <w:pPr>
              <w:spacing w:after="0"/>
              <w:rPr>
                <w:sz w:val="18"/>
                <w:szCs w:val="18"/>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15,921</w:t>
            </w:r>
          </w:p>
        </w:tc>
        <w:tc>
          <w:tcPr>
            <w:tcW w:w="10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change in the cost of total intangible assets from December 31, 2022 to September 30, 2023 is the effect of foreign currency translations.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Amortization expense for other intangible assets was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2"/>
              </w:rPr>
              <w:t>Three-month period ended</w:t>
            </w:r>
          </w:p>
        </w:tc>
        <w:tc>
          <w:tcPr>
            <w:tcW w:w="160" w:type="dxa"/>
            <w:vAlign w:val="bottom"/>
          </w:tcPr>
          <w:p>
            <w:pPr>
              <w:spacing w:after="0"/>
              <w:rPr>
                <w:sz w:val="24"/>
                <w:szCs w:val="24"/>
                <w:color w:val="auto"/>
              </w:rPr>
            </w:pPr>
          </w:p>
        </w:tc>
        <w:tc>
          <w:tcPr>
            <w:tcW w:w="2380" w:type="dxa"/>
            <w:vAlign w:val="bottom"/>
            <w:gridSpan w:val="5"/>
          </w:tcPr>
          <w:p>
            <w:pPr>
              <w:ind w:left="80"/>
              <w:spacing w:after="0"/>
              <w:rPr>
                <w:sz w:val="20"/>
                <w:szCs w:val="20"/>
                <w:color w:val="auto"/>
              </w:rPr>
            </w:pPr>
            <w:r>
              <w:rPr>
                <w:rFonts w:ascii="Arial" w:cs="Arial" w:eastAsia="Arial" w:hAnsi="Arial"/>
                <w:sz w:val="18"/>
                <w:szCs w:val="18"/>
                <w:b w:val="1"/>
                <w:bCs w:val="1"/>
                <w:color w:val="auto"/>
              </w:rPr>
              <w:t>Nine-month period ended</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included in: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Total amortization expense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5.  STOCK-BASED COMPENSATION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5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w w:val="95"/>
              </w:rPr>
              <w:t>We recorded non-cash stock compensation expense in each period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2"/>
              </w:rPr>
              <w:t>Three-month period ended</w:t>
            </w:r>
          </w:p>
        </w:tc>
        <w:tc>
          <w:tcPr>
            <w:tcW w:w="160" w:type="dxa"/>
            <w:vAlign w:val="bottom"/>
          </w:tcPr>
          <w:p>
            <w:pPr>
              <w:spacing w:after="0"/>
              <w:rPr>
                <w:sz w:val="24"/>
                <w:szCs w:val="24"/>
                <w:color w:val="auto"/>
              </w:rPr>
            </w:pPr>
          </w:p>
        </w:tc>
        <w:tc>
          <w:tcPr>
            <w:tcW w:w="2380" w:type="dxa"/>
            <w:vAlign w:val="bottom"/>
            <w:gridSpan w:val="5"/>
          </w:tcPr>
          <w:p>
            <w:pPr>
              <w:ind w:left="80"/>
              <w:spacing w:after="0"/>
              <w:rPr>
                <w:sz w:val="20"/>
                <w:szCs w:val="20"/>
                <w:color w:val="auto"/>
              </w:rPr>
            </w:pPr>
            <w:r>
              <w:rPr>
                <w:rFonts w:ascii="Arial" w:cs="Arial" w:eastAsia="Arial" w:hAnsi="Arial"/>
                <w:sz w:val="18"/>
                <w:szCs w:val="18"/>
                <w:b w:val="1"/>
                <w:bCs w:val="1"/>
                <w:color w:val="auto"/>
              </w:rPr>
              <w:t>Nine-month period ended</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Restricted stock</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413"/>
        </w:trPr>
        <w:tc>
          <w:tcPr>
            <w:tcW w:w="5980" w:type="dxa"/>
            <w:vAlign w:val="bottom"/>
            <w:tcBorders>
              <w:top w:val="single" w:sz="8" w:color="CCEEFF"/>
            </w:tcBorders>
          </w:tcPr>
          <w:p>
            <w:pPr>
              <w:ind w:left="5580"/>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September 30, 2023, there was $314 of total unrecognized compensation cost related to outstanding stock options, which is expected to be recognized over a weighted average period of 0.9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nine-month period ended September 30, 2023:</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r>
      <w:tr>
        <w:trPr>
          <w:trHeight w:val="234"/>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20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Intrinsic Value</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1,425,693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12,500</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(204,891)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Forfeited or expired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(144,690)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5.01</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2023</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1,088,612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4580" w:type="dxa"/>
            <w:vAlign w:val="bottom"/>
            <w:gridSpan w:val="2"/>
          </w:tcPr>
          <w:p>
            <w:pPr>
              <w:spacing w:after="0" w:line="196" w:lineRule="exact"/>
              <w:rPr>
                <w:sz w:val="20"/>
                <w:szCs w:val="20"/>
                <w:color w:val="auto"/>
              </w:rPr>
            </w:pPr>
            <w:r>
              <w:rPr>
                <w:rFonts w:ascii="Arial" w:cs="Arial" w:eastAsia="Arial" w:hAnsi="Arial"/>
                <w:sz w:val="18"/>
                <w:szCs w:val="18"/>
                <w:color w:val="auto"/>
              </w:rPr>
              <w:t>Vested and expected to vest at September 30, 2023</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1,009,489</w:t>
            </w:r>
          </w:p>
        </w:tc>
        <w:tc>
          <w:tcPr>
            <w:tcW w:w="140" w:type="dxa"/>
            <w:vAlign w:val="bottom"/>
          </w:tcPr>
          <w:p>
            <w:pPr>
              <w:spacing w:after="0"/>
              <w:rPr>
                <w:sz w:val="17"/>
                <w:szCs w:val="17"/>
                <w:color w:val="auto"/>
              </w:rPr>
            </w:pP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7.20</w:t>
            </w:r>
          </w:p>
        </w:tc>
        <w:tc>
          <w:tcPr>
            <w:tcW w:w="1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3.37</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2,598</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at September 30, 2023</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703,529</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7.79</w:t>
            </w:r>
          </w:p>
        </w:tc>
        <w:tc>
          <w:tcPr>
            <w:tcW w:w="13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2.36</w:t>
            </w:r>
          </w:p>
        </w:tc>
        <w:tc>
          <w:tcPr>
            <w:tcW w:w="3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received from stock option exercises under our stock-based compensation plans for the three-month periods ended September 30, 2023 and September 30, 2022 was $979 and $3, respectively. Cash received from stock option exercises under our stock-based compensation plans for the nine-month periods ended September 30, 2023 and September 30, 2022 was $1,041 and $116, respectively.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Outstanding restricted shares vest in equal annual installments over three (3) years. Unrecognized compensation cost related to outstanding restricted shares at September 30, 2023 was $0.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effective tax rate for the nine-month periods ended September 30, 2023 and September 30, 2022 was 28.1% and 259.1%, respectively. The period-over-period change was primarily attributable to the geographic mix of our operating results and the larger impact of discrete adjustments in the prior year.</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we have domestic net operating loss (“NOL”) carryforwards of $40,952, which expire 2025 through 2035, and domestic tax credits of $2,600, which expire 2028 through 2042, available to reduce future taxable income. As of September 30, 2023, management has concluded it is more likely than not that these domestic NOL and credit carryforwards will be fully utilized.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for certain past operations in the U.K., we continue to report a valuation allowance for NOL carryforwards of approximately $10,000, nearly all of which can be carried forward indefinitely. Utilization of the net operating losses may be limited due to the change in the past U.K. operation and cannot currently be used to reduce taxable income at our other U.K. subsidiary, Accutronics Ltd. There are no other deferred tax assets related to the past U.K.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we have not recognized a valuation allowance against our other foreign deferred tax assets, as realization is considered to be more likely than not.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 Company maintains its assertion that all foreign earnings will be indefinitely reinvested in those operations, other than earnings generated in the U.K.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unrecognized tax benefits related to uncertain tax positions at September 30, 2023 and December 31, 2022.</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result of our operations, we file income tax returns in various jurisdictions including U.S. federal, U.S. state and foreign jurisdictions. We are routinely subject to examination by taxing authorities in these various jurisdictions. Our U.S. tax matters for 2019-2022 remain subject to IRS examination. Our U.S. tax matters for 2005-2007 and 2011-2015 also remain subject to IRS examination due to the remaining availability of net operating loss carryforwards generated in those years. Our U.S. tax matters for 2005-2007 and 2011-2022 remain subject to examination by various state and local tax jurisdictions. Our tax matters for the years 2013 through 2022 remain subject to examination by the respective foreign tax jurisdiction authorities.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ind w:left="340" w:hanging="332"/>
        <w:spacing w:after="0"/>
        <w:tabs>
          <w:tab w:leader="none" w:pos="3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operating leases predominantly for operating facilities. As of September 30, 2023, the remaining lease terms on our operating leases range from approximately one (1) year to eight (8) years. Lease terms include renewal options reasonably certain of exercise. There is no transfer of title or option to purchase the leased assets upon expiration. There are no residual value guarantees or material restrictive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current and prior-year comparative periods were as follows:</w:t>
      </w:r>
    </w:p>
    <w:p>
      <w:pPr>
        <w:spacing w:after="0" w:line="221"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Nine months ended</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220" w:type="dxa"/>
            <w:vAlign w:val="bottom"/>
          </w:tcPr>
          <w:p>
            <w:pPr>
              <w:spacing w:after="0"/>
              <w:rPr>
                <w:sz w:val="16"/>
                <w:szCs w:val="16"/>
                <w:color w:val="auto"/>
              </w:rPr>
            </w:pPr>
          </w:p>
        </w:tc>
        <w:tc>
          <w:tcPr>
            <w:tcW w:w="11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6"/>
                <w:szCs w:val="16"/>
                <w:color w:val="auto"/>
              </w:rPr>
            </w:pPr>
          </w:p>
        </w:tc>
        <w:tc>
          <w:tcPr>
            <w:tcW w:w="118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180" w:type="dxa"/>
            <w:vAlign w:val="bottom"/>
          </w:tcPr>
          <w:p>
            <w:pPr>
              <w:spacing w:after="0"/>
              <w:rPr>
                <w:sz w:val="16"/>
                <w:szCs w:val="16"/>
                <w:color w:val="auto"/>
              </w:rPr>
            </w:pPr>
          </w:p>
        </w:tc>
        <w:tc>
          <w:tcPr>
            <w:tcW w:w="11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Variable lease cost</w:t>
            </w:r>
          </w:p>
        </w:tc>
        <w:tc>
          <w:tcPr>
            <w:tcW w:w="1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cost</w:t>
            </w:r>
          </w:p>
        </w:tc>
        <w:tc>
          <w:tcPr>
            <w:tcW w:w="18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4"/>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gridSpan w:val="14"/>
          </w:tcPr>
          <w:p>
            <w:pPr>
              <w:jc w:val="right"/>
              <w:ind w:right="480"/>
              <w:spacing w:after="0"/>
              <w:rPr>
                <w:sz w:val="20"/>
                <w:szCs w:val="20"/>
                <w:color w:val="auto"/>
              </w:rPr>
            </w:pPr>
            <w:r>
              <w:rPr>
                <w:rFonts w:ascii="Arial" w:cs="Arial" w:eastAsia="Arial" w:hAnsi="Arial"/>
                <w:sz w:val="18"/>
                <w:szCs w:val="18"/>
                <w:b w:val="1"/>
                <w:bCs w:val="1"/>
                <w:color w:val="auto"/>
                <w:w w:val="91"/>
              </w:rPr>
              <w:t>Nine-month period ended September 30,</w:t>
            </w:r>
          </w:p>
        </w:tc>
      </w:tr>
      <w:tr>
        <w:trPr>
          <w:trHeight w:val="210"/>
        </w:trPr>
        <w:tc>
          <w:tcPr>
            <w:tcW w:w="3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30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7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1"/>
              </w:rPr>
              <w:t>Operating cash flows used in operating leases</w:t>
            </w:r>
          </w:p>
        </w:tc>
        <w:tc>
          <w:tcPr>
            <w:tcW w:w="1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72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25"/>
        </w:trPr>
        <w:tc>
          <w:tcPr>
            <w:tcW w:w="7500" w:type="dxa"/>
            <w:vAlign w:val="bottom"/>
            <w:gridSpan w:val="4"/>
          </w:tcPr>
          <w:p>
            <w:pPr>
              <w:spacing w:after="0"/>
              <w:rPr>
                <w:sz w:val="20"/>
                <w:szCs w:val="20"/>
                <w:color w:val="auto"/>
              </w:rPr>
            </w:pPr>
            <w:r>
              <w:rPr>
                <w:rFonts w:ascii="Arial" w:cs="Arial" w:eastAsia="Arial" w:hAnsi="Arial"/>
                <w:sz w:val="18"/>
                <w:szCs w:val="18"/>
                <w:color w:val="auto"/>
              </w:rPr>
              <w:t>Supplemental consolidated balance sheet information related to leases was as follows: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3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tcPr>
          <w:p>
            <w:pPr>
              <w:jc w:val="right"/>
              <w:ind w:right="450"/>
              <w:spacing w:after="0"/>
              <w:rPr>
                <w:sz w:val="20"/>
                <w:szCs w:val="20"/>
                <w:color w:val="auto"/>
              </w:rPr>
            </w:pPr>
            <w:r>
              <w:rPr>
                <w:rFonts w:ascii="Arial" w:cs="Arial" w:eastAsia="Arial" w:hAnsi="Arial"/>
                <w:sz w:val="18"/>
                <w:szCs w:val="18"/>
                <w:b w:val="1"/>
                <w:bCs w:val="1"/>
                <w:color w:val="auto"/>
              </w:rPr>
              <w:t>Balance sheet classification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December 31, 2022</w:t>
            </w: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right-of-use asset</w:t>
            </w:r>
          </w:p>
        </w:tc>
        <w:tc>
          <w:tcPr>
            <w:tcW w:w="3480" w:type="dxa"/>
            <w:vAlign w:val="bottom"/>
            <w:gridSpan w:val="2"/>
          </w:tcPr>
          <w:p>
            <w:pPr>
              <w:ind w:left="100"/>
              <w:spacing w:after="0"/>
              <w:rPr>
                <w:sz w:val="20"/>
                <w:szCs w:val="20"/>
                <w:color w:val="auto"/>
              </w:rPr>
            </w:pPr>
            <w:r>
              <w:rPr>
                <w:rFonts w:ascii="Arial" w:cs="Arial" w:eastAsia="Arial" w:hAnsi="Arial"/>
                <w:sz w:val="18"/>
                <w:szCs w:val="18"/>
                <w:color w:val="auto"/>
              </w:rPr>
              <w:t>Other noncurrent assets</w:t>
            </w:r>
          </w:p>
        </w:tc>
        <w:tc>
          <w:tcPr>
            <w:tcW w:w="4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5"/>
          </w:tcPr>
          <w:p>
            <w:pPr>
              <w:jc w:val="right"/>
              <w:ind w:right="220"/>
              <w:spacing w:after="0"/>
              <w:rPr>
                <w:sz w:val="20"/>
                <w:szCs w:val="20"/>
                <w:color w:val="auto"/>
              </w:rPr>
            </w:pPr>
            <w:r>
              <w:rPr>
                <w:rFonts w:ascii="Arial" w:cs="Arial" w:eastAsia="Arial" w:hAnsi="Arial"/>
                <w:sz w:val="18"/>
                <w:szCs w:val="18"/>
                <w:color w:val="auto"/>
              </w:rPr>
              <w:t>1,914</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60" w:type="dxa"/>
            <w:vAlign w:val="bottom"/>
            <w:gridSpan w:val="4"/>
          </w:tcPr>
          <w:p>
            <w:pPr>
              <w:jc w:val="right"/>
              <w:ind w:right="160"/>
              <w:spacing w:after="0"/>
              <w:rPr>
                <w:sz w:val="20"/>
                <w:szCs w:val="20"/>
                <w:color w:val="auto"/>
              </w:rPr>
            </w:pPr>
            <w:r>
              <w:rPr>
                <w:rFonts w:ascii="Arial" w:cs="Arial" w:eastAsia="Arial" w:hAnsi="Arial"/>
                <w:sz w:val="18"/>
                <w:szCs w:val="18"/>
                <w:color w:val="auto"/>
              </w:rPr>
              <w:t>2,187</w:t>
            </w:r>
          </w:p>
        </w:tc>
      </w:tr>
      <w:tr>
        <w:trPr>
          <w:trHeight w:val="216"/>
        </w:trPr>
        <w:tc>
          <w:tcPr>
            <w:tcW w:w="4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operating lease liability</w:t>
            </w:r>
          </w:p>
        </w:tc>
        <w:tc>
          <w:tcPr>
            <w:tcW w:w="3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Accrued expenses and other current liabilities</w:t>
            </w: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793</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895</w:t>
            </w:r>
          </w:p>
        </w:tc>
      </w:tr>
      <w:tr>
        <w:trPr>
          <w:trHeight w:val="216"/>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liability, net of current portion</w:t>
            </w:r>
          </w:p>
        </w:tc>
        <w:tc>
          <w:tcPr>
            <w:tcW w:w="3480" w:type="dxa"/>
            <w:vAlign w:val="bottom"/>
            <w:gridSpan w:val="2"/>
          </w:tcPr>
          <w:p>
            <w:pPr>
              <w:ind w:left="10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1,087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1,307</w:t>
            </w:r>
          </w:p>
        </w:tc>
        <w:tc>
          <w:tcPr>
            <w:tcW w:w="160" w:type="dxa"/>
            <w:vAlign w:val="bottom"/>
          </w:tcPr>
          <w:p>
            <w:pPr>
              <w:spacing w:after="0"/>
              <w:rPr>
                <w:sz w:val="18"/>
                <w:szCs w:val="18"/>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lease liability</w:t>
            </w:r>
          </w:p>
        </w:tc>
        <w:tc>
          <w:tcPr>
            <w:tcW w:w="1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1,880</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2,202</w:t>
            </w:r>
          </w:p>
        </w:tc>
      </w:tr>
      <w:tr>
        <w:trPr>
          <w:trHeight w:val="216"/>
        </w:trPr>
        <w:tc>
          <w:tcPr>
            <w:tcW w:w="4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r>
      <w:tr>
        <w:trPr>
          <w:trHeight w:val="216"/>
        </w:trPr>
        <w:tc>
          <w:tcPr>
            <w:tcW w:w="4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r>
      <w:tr>
        <w:trPr>
          <w:trHeight w:val="432"/>
        </w:trPr>
        <w:tc>
          <w:tcPr>
            <w:tcW w:w="3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80" w:type="dxa"/>
            <w:vAlign w:val="bottom"/>
            <w:gridSpan w:val="2"/>
          </w:tcPr>
          <w:p>
            <w:pPr>
              <w:jc w:val="right"/>
              <w:ind w:right="169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Future minimum lease payments as of September 30, 2023 are as follows:</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Maturity of operating lease liabilities</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33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2024</w:t>
            </w:r>
          </w:p>
        </w:tc>
        <w:tc>
          <w:tcPr>
            <w:tcW w:w="3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2026</w:t>
            </w:r>
          </w:p>
        </w:tc>
        <w:tc>
          <w:tcPr>
            <w:tcW w:w="3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3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Less: Imputed interest</w:t>
            </w:r>
          </w:p>
        </w:tc>
        <w:tc>
          <w:tcPr>
            <w:tcW w:w="3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r>
      <w:tr>
        <w:trPr>
          <w:trHeight w:val="209"/>
        </w:trPr>
        <w:tc>
          <w:tcPr>
            <w:tcW w:w="20" w:type="dxa"/>
            <w:vAlign w:val="bottom"/>
          </w:tcPr>
          <w:p>
            <w:pPr>
              <w:spacing w:after="0"/>
              <w:rPr>
                <w:sz w:val="18"/>
                <w:szCs w:val="18"/>
                <w:color w:val="auto"/>
              </w:rPr>
            </w:pPr>
          </w:p>
        </w:tc>
        <w:tc>
          <w:tcPr>
            <w:tcW w:w="57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Present value of remaining lease payments</w:t>
            </w:r>
          </w:p>
        </w:tc>
        <w:tc>
          <w:tcPr>
            <w:tcW w:w="33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7580" w:firstLine="8"/>
        <w:spacing w:after="0" w:line="500" w:lineRule="auto"/>
        <w:tabs>
          <w:tab w:leader="none" w:pos="324"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 Purchase Commitments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we have made commitments to purchase approximately $925 of production machinery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nine months of 2023 and 2022 were as follows:</w:t>
      </w:r>
    </w:p>
    <w:p>
      <w:pPr>
        <w:spacing w:after="0" w:line="180"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328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w w:val="90"/>
              </w:rPr>
              <w:t>Nine-month period ended September 30,</w:t>
            </w: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warranty obligations – beginning</w:t>
            </w:r>
          </w:p>
        </w:tc>
        <w:tc>
          <w:tcPr>
            <w:tcW w:w="1060" w:type="dxa"/>
            <w:vAlign w:val="bottom"/>
            <w:shd w:val="clear" w:color="auto" w:fill="CCEEFF"/>
          </w:tcPr>
          <w:p>
            <w:pPr>
              <w:jc w:val="right"/>
              <w:ind w:right="93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r>
      <w:tr>
        <w:trPr>
          <w:trHeight w:val="20"/>
        </w:trPr>
        <w:tc>
          <w:tcPr>
            <w:tcW w:w="20" w:type="dxa"/>
            <w:vAlign w:val="bottom"/>
          </w:tcPr>
          <w:p>
            <w:pPr>
              <w:spacing w:after="0" w:line="20" w:lineRule="exact"/>
              <w:rPr>
                <w:sz w:val="1"/>
                <w:szCs w:val="1"/>
                <w:color w:val="auto"/>
              </w:rPr>
            </w:pPr>
          </w:p>
        </w:tc>
        <w:tc>
          <w:tcPr>
            <w:tcW w:w="7380" w:type="dxa"/>
            <w:vAlign w:val="bottom"/>
            <w:tcBorders>
              <w:right w:val="single" w:sz="8" w:color="CCEEFF"/>
            </w:tcBorders>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400" w:type="dxa"/>
            <w:vAlign w:val="bottom"/>
            <w:gridSpan w:val="2"/>
          </w:tcPr>
          <w:p>
            <w:pPr>
              <w:spacing w:after="0"/>
              <w:rPr>
                <w:sz w:val="20"/>
                <w:szCs w:val="20"/>
                <w:color w:val="auto"/>
              </w:rPr>
            </w:pPr>
            <w:r>
              <w:rPr>
                <w:rFonts w:ascii="Arial" w:cs="Arial" w:eastAsia="Arial" w:hAnsi="Arial"/>
                <w:sz w:val="18"/>
                <w:szCs w:val="18"/>
                <w:color w:val="auto"/>
              </w:rPr>
              <w:t>Accrued warranty obligations – ending</w:t>
            </w:r>
          </w:p>
        </w:tc>
        <w:tc>
          <w:tcPr>
            <w:tcW w:w="1060" w:type="dxa"/>
            <w:vAlign w:val="bottom"/>
          </w:tcPr>
          <w:p>
            <w:pPr>
              <w:jc w:val="right"/>
              <w:ind w:right="93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Legal Matters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jc w:val="both"/>
        <w:ind w:right="20"/>
        <w:spacing w:after="0" w:line="286" w:lineRule="auto"/>
        <w:rPr>
          <w:sz w:val="20"/>
          <w:szCs w:val="20"/>
          <w:color w:val="auto"/>
        </w:rPr>
      </w:pPr>
      <w:r>
        <w:rPr>
          <w:rFonts w:ascii="Arial" w:cs="Arial" w:eastAsia="Arial" w:hAnsi="Arial"/>
          <w:sz w:val="17"/>
          <w:szCs w:val="17"/>
          <w:color w:val="auto"/>
        </w:rPr>
        <w:t>Separately priced extended warranty contracts are offered on certain Communications Systems products for a duration of up to eight (8) years. Extended warranties are treated as separate performance obligations and recognized to revenue evenly over the term of the respective contract. Revenue not yet recognized on extended warranty contracts is recorded as deferred revenue on the consolidated balance sheet.</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September 30, 2023, there was deferred revenue on extended warranty contracts of $1,121, comprised of $193 expected to be recognized as revenue within one (1) year and classified as accrued expenses and other current liabilities on our consolidated balance sheet, and $928 expected to be recognized as revenue over the remaining duration of the respective contracts and classified as other noncurrent liabilities on our consolidated balance sheet.</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2022, there was deferred revenue on extended warranty contracts of $682, comprised of $119 expected to be recognized as revenue within one (1) year and classified as accrued expenses and other current liabilities on our consolidated balance sheet, and $563 expected to be recognized as revenue over the remaining duration of the respective contracts and classified as other noncurrent liabilities on our consolidated balance sheet.</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and December 31, 2022, the Company had no other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BUSINESS SEGMENT INFORMATION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Arial" w:cs="Arial" w:eastAsia="Arial" w:hAnsi="Arial"/>
                <w:sz w:val="18"/>
                <w:szCs w:val="18"/>
                <w:b w:val="1"/>
                <w:bCs w:val="1"/>
                <w:color w:val="auto"/>
              </w:rPr>
              <w:t>Three-month period ended September 30, 2023:</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Energy</w:t>
            </w:r>
          </w:p>
        </w:tc>
        <w:tc>
          <w:tcPr>
            <w:tcW w:w="16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5"/>
              </w:rPr>
              <w:t>Communications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Systems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31,919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39,488</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Segment contribution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2,046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(7,639)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2,135</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Income tax provision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1,330</w:t>
            </w:r>
          </w:p>
        </w:tc>
      </w:tr>
      <w:tr>
        <w:trPr>
          <w:trHeight w:val="418"/>
        </w:trPr>
        <w:tc>
          <w:tcPr>
            <w:tcW w:w="4600" w:type="dxa"/>
            <w:vAlign w:val="bottom"/>
          </w:tcPr>
          <w:p>
            <w:pPr>
              <w:spacing w:after="0"/>
              <w:rPr>
                <w:sz w:val="20"/>
                <w:szCs w:val="20"/>
                <w:color w:val="auto"/>
              </w:rPr>
            </w:pPr>
            <w:r>
              <w:rPr>
                <w:rFonts w:ascii="Arial" w:cs="Arial" w:eastAsia="Arial" w:hAnsi="Arial"/>
                <w:sz w:val="18"/>
                <w:szCs w:val="18"/>
                <w:b w:val="1"/>
                <w:bCs w:val="1"/>
                <w:color w:val="auto"/>
              </w:rPr>
              <w:t>Three-month period ended September 30, 2022:</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Energy</w:t>
            </w:r>
          </w:p>
        </w:tc>
        <w:tc>
          <w:tcPr>
            <w:tcW w:w="16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5"/>
              </w:rPr>
              <w:t>Communications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Systems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28,583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33,234</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Segment contribution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(7,301)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(586)</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Income tax benefit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Net loss attributable to Ultralife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r>
      <w:tr>
        <w:trPr>
          <w:trHeight w:val="418"/>
        </w:trPr>
        <w:tc>
          <w:tcPr>
            <w:tcW w:w="460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Nine-month period ended September 30, 2023:</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Energy</w:t>
            </w:r>
          </w:p>
        </w:tc>
        <w:tc>
          <w:tcPr>
            <w:tcW w:w="1640" w:type="dxa"/>
            <w:vAlign w:val="bottom"/>
            <w:gridSpan w:val="4"/>
          </w:tcPr>
          <w:p>
            <w:pPr>
              <w:ind w:left="120"/>
              <w:spacing w:after="0"/>
              <w:rPr>
                <w:sz w:val="20"/>
                <w:szCs w:val="20"/>
                <w:color w:val="auto"/>
              </w:rPr>
            </w:pPr>
            <w:r>
              <w:rPr>
                <w:rFonts w:ascii="Arial" w:cs="Arial" w:eastAsia="Arial" w:hAnsi="Arial"/>
                <w:sz w:val="18"/>
                <w:szCs w:val="18"/>
                <w:b w:val="1"/>
                <w:bCs w:val="1"/>
                <w:color w:val="auto"/>
              </w:rPr>
              <w:t>Communications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Systems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94,250</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114,096</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Segment contribution</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21,783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6,015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(21,972)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5,826</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Income tax provision</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(1,688)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(1,688)</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4,324</w:t>
            </w:r>
          </w:p>
        </w:tc>
      </w:tr>
      <w:tr>
        <w:trPr>
          <w:trHeight w:val="418"/>
        </w:trPr>
        <w:tc>
          <w:tcPr>
            <w:tcW w:w="4560" w:type="dxa"/>
            <w:vAlign w:val="bottom"/>
          </w:tcPr>
          <w:p>
            <w:pPr>
              <w:spacing w:after="0"/>
              <w:rPr>
                <w:sz w:val="20"/>
                <w:szCs w:val="20"/>
                <w:color w:val="auto"/>
              </w:rPr>
            </w:pPr>
            <w:r>
              <w:rPr>
                <w:rFonts w:ascii="Arial" w:cs="Arial" w:eastAsia="Arial" w:hAnsi="Arial"/>
                <w:sz w:val="18"/>
                <w:szCs w:val="18"/>
                <w:b w:val="1"/>
                <w:bCs w:val="1"/>
                <w:color w:val="auto"/>
              </w:rPr>
              <w:t>Nine-month period ended September 30, 2022:</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Battery &amp;</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Energy</w:t>
            </w:r>
          </w:p>
        </w:tc>
        <w:tc>
          <w:tcPr>
            <w:tcW w:w="1640" w:type="dxa"/>
            <w:vAlign w:val="bottom"/>
            <w:gridSpan w:val="4"/>
          </w:tcPr>
          <w:p>
            <w:pPr>
              <w:ind w:left="120"/>
              <w:spacing w:after="0"/>
              <w:rPr>
                <w:sz w:val="20"/>
                <w:szCs w:val="20"/>
                <w:color w:val="auto"/>
              </w:rPr>
            </w:pPr>
            <w:r>
              <w:rPr>
                <w:rFonts w:ascii="Arial" w:cs="Arial" w:eastAsia="Arial" w:hAnsi="Arial"/>
                <w:sz w:val="18"/>
                <w:szCs w:val="18"/>
                <w:b w:val="1"/>
                <w:bCs w:val="1"/>
                <w:color w:val="auto"/>
              </w:rPr>
              <w:t>Communications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Products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Systems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87,873</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95,733</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Segment contribution</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19,217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(21,407)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Income tax benefit</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418"/>
        </w:trPr>
        <w:tc>
          <w:tcPr>
            <w:tcW w:w="4560" w:type="dxa"/>
            <w:vAlign w:val="bottom"/>
          </w:tcPr>
          <w:p>
            <w:pPr>
              <w:spacing w:after="0"/>
              <w:rPr>
                <w:sz w:val="24"/>
                <w:szCs w:val="24"/>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tables disaggregate our business segment revenues by major source and geography.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Commercial and Government/Defense Revenue Information:</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5240" w:type="dxa"/>
            <w:vAlign w:val="bottom"/>
            <w:gridSpan w:val="3"/>
          </w:tcPr>
          <w:p>
            <w:pPr>
              <w:ind w:left="340"/>
              <w:spacing w:after="0"/>
              <w:rPr>
                <w:sz w:val="20"/>
                <w:szCs w:val="20"/>
                <w:color w:val="auto"/>
              </w:rPr>
            </w:pPr>
            <w:r>
              <w:rPr>
                <w:rFonts w:ascii="Arial" w:cs="Arial" w:eastAsia="Arial" w:hAnsi="Arial"/>
                <w:sz w:val="18"/>
                <w:szCs w:val="18"/>
                <w:color w:val="auto"/>
              </w:rPr>
              <w:t>Three-month period ended September 30, 2023:</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8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Government/</w:t>
            </w:r>
          </w:p>
        </w:tc>
      </w:tr>
      <w:tr>
        <w:trPr>
          <w:trHeight w:val="230"/>
        </w:trPr>
        <w:tc>
          <w:tcPr>
            <w:tcW w:w="8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5"/>
              </w:rPr>
              <w:t>Revenue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Defense</w:t>
            </w:r>
          </w:p>
        </w:tc>
        <w:tc>
          <w:tcPr>
            <w:tcW w:w="160" w:type="dxa"/>
            <w:vAlign w:val="bottom"/>
          </w:tcPr>
          <w:p>
            <w:pPr>
              <w:spacing w:after="0"/>
              <w:rPr>
                <w:sz w:val="20"/>
                <w:szCs w:val="20"/>
                <w:color w:val="auto"/>
              </w:rPr>
            </w:pPr>
          </w:p>
        </w:tc>
      </w:tr>
      <w:tr>
        <w:trPr>
          <w:trHeight w:val="209"/>
        </w:trPr>
        <w:tc>
          <w:tcPr>
            <w:tcW w:w="840" w:type="dxa"/>
            <w:vAlign w:val="bottom"/>
          </w:tcPr>
          <w:p>
            <w:pPr>
              <w:spacing w:after="0"/>
              <w:rPr>
                <w:sz w:val="18"/>
                <w:szCs w:val="18"/>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31,919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7,769</w:t>
            </w:r>
          </w:p>
        </w:tc>
      </w:tr>
      <w:tr>
        <w:trPr>
          <w:trHeight w:val="216"/>
        </w:trPr>
        <w:tc>
          <w:tcPr>
            <w:tcW w:w="8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Communications Systems</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7,569</w:t>
            </w:r>
          </w:p>
        </w:tc>
        <w:tc>
          <w:tcPr>
            <w:tcW w:w="2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7,569</w:t>
            </w:r>
          </w:p>
        </w:tc>
      </w:tr>
      <w:tr>
        <w:trPr>
          <w:trHeight w:val="20"/>
        </w:trPr>
        <w:tc>
          <w:tcPr>
            <w:tcW w:w="8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840" w:type="dxa"/>
            <w:vAlign w:val="bottom"/>
          </w:tcPr>
          <w:p>
            <w:pPr>
              <w:spacing w:after="0"/>
              <w:rPr>
                <w:sz w:val="19"/>
                <w:szCs w:val="19"/>
                <w:color w:val="auto"/>
              </w:rPr>
            </w:pPr>
          </w:p>
        </w:tc>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39,488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15,338</w:t>
            </w:r>
          </w:p>
        </w:tc>
      </w:tr>
      <w:tr>
        <w:trPr>
          <w:trHeight w:val="20"/>
        </w:trPr>
        <w:tc>
          <w:tcPr>
            <w:tcW w:w="840" w:type="dxa"/>
            <w:vAlign w:val="bottom"/>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8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r>
              <w:rPr>
                <w:rFonts w:ascii="Arial" w:cs="Arial" w:eastAsia="Arial" w:hAnsi="Arial"/>
                <w:sz w:val="18"/>
                <w:szCs w:val="18"/>
                <w:i w:val="1"/>
                <w:iCs w:val="1"/>
                <w:color w:val="auto"/>
              </w:rPr>
              <w:t>%</w:t>
            </w:r>
          </w:p>
        </w:tc>
        <w:tc>
          <w:tcPr>
            <w:tcW w:w="2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39</w:t>
            </w:r>
            <w:r>
              <w:rPr>
                <w:rFonts w:ascii="Arial" w:cs="Arial" w:eastAsia="Arial" w:hAnsi="Arial"/>
                <w:sz w:val="18"/>
                <w:szCs w:val="18"/>
                <w:i w:val="1"/>
                <w:iCs w:val="1"/>
                <w:color w:val="auto"/>
              </w:rPr>
              <w:t>%</w:t>
            </w:r>
          </w:p>
        </w:tc>
      </w:tr>
      <w:tr>
        <w:trPr>
          <w:trHeight w:val="418"/>
        </w:trPr>
        <w:tc>
          <w:tcPr>
            <w:tcW w:w="5240" w:type="dxa"/>
            <w:vAlign w:val="bottom"/>
            <w:gridSpan w:val="3"/>
          </w:tcPr>
          <w:p>
            <w:pPr>
              <w:ind w:left="340"/>
              <w:spacing w:after="0"/>
              <w:rPr>
                <w:sz w:val="20"/>
                <w:szCs w:val="20"/>
                <w:color w:val="auto"/>
              </w:rPr>
            </w:pPr>
            <w:r>
              <w:rPr>
                <w:rFonts w:ascii="Arial" w:cs="Arial" w:eastAsia="Arial" w:hAnsi="Arial"/>
                <w:sz w:val="18"/>
                <w:szCs w:val="18"/>
                <w:color w:val="auto"/>
              </w:rPr>
              <w:t>Three-month period ended September 30, 2022:</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8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Government/</w:t>
            </w:r>
          </w:p>
        </w:tc>
      </w:tr>
      <w:tr>
        <w:trPr>
          <w:trHeight w:val="230"/>
        </w:trPr>
        <w:tc>
          <w:tcPr>
            <w:tcW w:w="8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5"/>
              </w:rPr>
              <w:t>Revenue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Defense</w:t>
            </w:r>
          </w:p>
        </w:tc>
        <w:tc>
          <w:tcPr>
            <w:tcW w:w="16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28,583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22,878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5,705</w:t>
            </w:r>
          </w:p>
        </w:tc>
      </w:tr>
      <w:tr>
        <w:trPr>
          <w:trHeight w:val="216"/>
        </w:trPr>
        <w:tc>
          <w:tcPr>
            <w:tcW w:w="84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Communications Systems</w:t>
            </w:r>
          </w:p>
        </w:tc>
        <w:tc>
          <w:tcPr>
            <w:tcW w:w="2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4,651</w:t>
            </w:r>
          </w:p>
        </w:tc>
        <w:tc>
          <w:tcPr>
            <w:tcW w:w="2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4,651</w:t>
            </w:r>
          </w:p>
        </w:tc>
      </w:tr>
      <w:tr>
        <w:trPr>
          <w:trHeight w:val="20"/>
        </w:trPr>
        <w:tc>
          <w:tcPr>
            <w:tcW w:w="8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840" w:type="dxa"/>
            <w:vAlign w:val="bottom"/>
          </w:tcPr>
          <w:p>
            <w:pPr>
              <w:spacing w:after="0"/>
              <w:rPr>
                <w:sz w:val="19"/>
                <w:szCs w:val="19"/>
                <w:color w:val="auto"/>
              </w:rPr>
            </w:pPr>
          </w:p>
        </w:tc>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33,234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22,878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10,356</w:t>
            </w:r>
          </w:p>
        </w:tc>
      </w:tr>
      <w:tr>
        <w:trPr>
          <w:trHeight w:val="20"/>
        </w:trPr>
        <w:tc>
          <w:tcPr>
            <w:tcW w:w="840" w:type="dxa"/>
            <w:vAlign w:val="bottom"/>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8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r>
              <w:rPr>
                <w:rFonts w:ascii="Arial" w:cs="Arial" w:eastAsia="Arial" w:hAnsi="Arial"/>
                <w:sz w:val="18"/>
                <w:szCs w:val="18"/>
                <w:i w:val="1"/>
                <w:iCs w:val="1"/>
                <w:color w:val="auto"/>
              </w:rPr>
              <w:t>%</w:t>
            </w:r>
          </w:p>
        </w:tc>
        <w:tc>
          <w:tcPr>
            <w:tcW w:w="2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i w:val="1"/>
                <w:iCs w:val="1"/>
                <w:color w:val="auto"/>
              </w:rPr>
              <w:t>%</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Nine-month period ended September 30, 2023:</w:t>
      </w:r>
    </w:p>
    <w:p>
      <w:pPr>
        <w:sectPr>
          <w:pgSz w:w="11900" w:h="16838" w:orient="portrait"/>
          <w:cols w:equalWidth="0" w:num="1">
            <w:col w:w="10380"/>
          </w:cols>
          <w:pgMar w:left="320" w:top="584"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Battery &amp; Energy Products</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Communications Systems</w:t>
      </w:r>
    </w:p>
    <w:p>
      <w:pPr>
        <w:spacing w:after="0" w:line="4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Nine-month period ended September 30, 2022:</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Battery &amp; Energy Products</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Communications Systems</w:t>
      </w:r>
    </w:p>
    <w:p>
      <w:pPr>
        <w:spacing w:after="0" w:line="4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500" w:type="dxa"/>
            <w:vAlign w:val="bottom"/>
            <w:gridSpan w:val="4"/>
          </w:tcPr>
          <w:p>
            <w:pPr>
              <w:jc w:val="center"/>
              <w:ind w:right="38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50"/>
              <w:spacing w:after="0"/>
              <w:rPr>
                <w:sz w:val="20"/>
                <w:szCs w:val="20"/>
                <w:color w:val="auto"/>
              </w:rPr>
            </w:pPr>
            <w:r>
              <w:rPr>
                <w:rFonts w:ascii="Arial" w:cs="Arial" w:eastAsia="Arial" w:hAnsi="Arial"/>
                <w:sz w:val="18"/>
                <w:szCs w:val="18"/>
                <w:color w:val="auto"/>
                <w:w w:val="90"/>
              </w:rPr>
              <w:t>Government/</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500" w:type="dxa"/>
            <w:vAlign w:val="bottom"/>
            <w:gridSpan w:val="4"/>
          </w:tcPr>
          <w:p>
            <w:pPr>
              <w:jc w:val="center"/>
              <w:ind w:right="400"/>
              <w:spacing w:after="0"/>
              <w:rPr>
                <w:sz w:val="20"/>
                <w:szCs w:val="20"/>
                <w:color w:val="auto"/>
              </w:rPr>
            </w:pPr>
            <w:r>
              <w:rPr>
                <w:rFonts w:ascii="Arial" w:cs="Arial" w:eastAsia="Arial" w:hAnsi="Arial"/>
                <w:sz w:val="18"/>
                <w:szCs w:val="18"/>
                <w:color w:val="auto"/>
                <w:w w:val="85"/>
              </w:rPr>
              <w:t>Revenue</w:t>
            </w:r>
          </w:p>
        </w:tc>
        <w:tc>
          <w:tcPr>
            <w:tcW w:w="200" w:type="dxa"/>
            <w:vAlign w:val="bottom"/>
          </w:tcPr>
          <w:p>
            <w:pPr>
              <w:spacing w:after="0"/>
              <w:rPr>
                <w:sz w:val="20"/>
                <w:szCs w:val="20"/>
                <w:color w:val="auto"/>
              </w:rPr>
            </w:pPr>
          </w:p>
        </w:tc>
        <w:tc>
          <w:tcPr>
            <w:tcW w:w="1560" w:type="dxa"/>
            <w:vAlign w:val="bottom"/>
            <w:gridSpan w:val="2"/>
          </w:tcPr>
          <w:p>
            <w:pPr>
              <w:jc w:val="right"/>
              <w:ind w:right="47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20"/>
                <w:szCs w:val="20"/>
                <w:color w:val="auto"/>
              </w:rPr>
            </w:pPr>
          </w:p>
        </w:tc>
        <w:tc>
          <w:tcPr>
            <w:tcW w:w="1480" w:type="dxa"/>
            <w:vAlign w:val="bottom"/>
            <w:gridSpan w:val="2"/>
          </w:tcPr>
          <w:p>
            <w:pPr>
              <w:jc w:val="center"/>
              <w:ind w:right="250"/>
              <w:spacing w:after="0"/>
              <w:rPr>
                <w:sz w:val="20"/>
                <w:szCs w:val="20"/>
                <w:color w:val="auto"/>
              </w:rPr>
            </w:pPr>
            <w:r>
              <w:rPr>
                <w:rFonts w:ascii="Arial" w:cs="Arial" w:eastAsia="Arial" w:hAnsi="Arial"/>
                <w:sz w:val="18"/>
                <w:szCs w:val="18"/>
                <w:color w:val="auto"/>
                <w:w w:val="86"/>
              </w:rPr>
              <w:t>Defense</w:t>
            </w:r>
          </w:p>
        </w:tc>
        <w:tc>
          <w:tcPr>
            <w:tcW w:w="0" w:type="dxa"/>
            <w:vAlign w:val="bottom"/>
          </w:tcPr>
          <w:p>
            <w:pPr>
              <w:spacing w:after="0"/>
              <w:rPr>
                <w:sz w:val="1"/>
                <w:szCs w:val="1"/>
                <w:color w:val="auto"/>
              </w:rPr>
            </w:pPr>
          </w:p>
        </w:tc>
      </w:tr>
      <w:tr>
        <w:trPr>
          <w:trHeight w:val="195"/>
        </w:trPr>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94,250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73,319</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20,931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19,846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19,846</w:t>
            </w:r>
          </w:p>
        </w:tc>
        <w:tc>
          <w:tcPr>
            <w:tcW w:w="0" w:type="dxa"/>
            <w:vAlign w:val="bottom"/>
          </w:tcPr>
          <w:p>
            <w:pPr>
              <w:spacing w:after="0"/>
              <w:rPr>
                <w:sz w:val="1"/>
                <w:szCs w:val="1"/>
                <w:color w:val="auto"/>
              </w:rPr>
            </w:pPr>
          </w:p>
        </w:tc>
      </w:tr>
      <w:tr>
        <w:trPr>
          <w:trHeight w:val="210"/>
        </w:trPr>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114,096</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73,319</w:t>
            </w:r>
          </w:p>
        </w:tc>
        <w:tc>
          <w:tcPr>
            <w:tcW w:w="26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i w:val="1"/>
                <w:iCs w:val="1"/>
                <w:color w:val="auto"/>
                <w:w w:val="87"/>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i w:val="1"/>
                <w:iCs w:val="1"/>
                <w:color w:val="auto"/>
                <w:w w:val="87"/>
              </w:rPr>
              <w:t>%</w:t>
            </w:r>
          </w:p>
        </w:tc>
        <w:tc>
          <w:tcPr>
            <w:tcW w:w="0" w:type="dxa"/>
            <w:vAlign w:val="bottom"/>
          </w:tcPr>
          <w:p>
            <w:pPr>
              <w:spacing w:after="0" w:line="20" w:lineRule="exact"/>
              <w:rPr>
                <w:sz w:val="1"/>
                <w:szCs w:val="1"/>
                <w:color w:val="auto"/>
              </w:rPr>
            </w:pPr>
          </w:p>
        </w:tc>
      </w:tr>
      <w:tr>
        <w:trPr>
          <w:trHeight w:val="211"/>
        </w:trPr>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35"/>
        </w:trPr>
        <w:tc>
          <w:tcPr>
            <w:tcW w:w="200" w:type="dxa"/>
            <w:vAlign w:val="bottom"/>
          </w:tcPr>
          <w:p>
            <w:pPr>
              <w:spacing w:after="0"/>
              <w:rPr>
                <w:sz w:val="24"/>
                <w:szCs w:val="24"/>
                <w:color w:val="auto"/>
              </w:rPr>
            </w:pPr>
          </w:p>
        </w:tc>
        <w:tc>
          <w:tcPr>
            <w:tcW w:w="1500" w:type="dxa"/>
            <w:vAlign w:val="bottom"/>
            <w:gridSpan w:val="4"/>
          </w:tcPr>
          <w:p>
            <w:pPr>
              <w:jc w:val="center"/>
              <w:ind w:right="38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250"/>
              <w:spacing w:after="0"/>
              <w:rPr>
                <w:sz w:val="20"/>
                <w:szCs w:val="20"/>
                <w:color w:val="auto"/>
              </w:rPr>
            </w:pPr>
            <w:r>
              <w:rPr>
                <w:rFonts w:ascii="Arial" w:cs="Arial" w:eastAsia="Arial" w:hAnsi="Arial"/>
                <w:sz w:val="18"/>
                <w:szCs w:val="18"/>
                <w:color w:val="auto"/>
                <w:w w:val="90"/>
              </w:rPr>
              <w:t>Government/</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500" w:type="dxa"/>
            <w:vAlign w:val="bottom"/>
            <w:gridSpan w:val="4"/>
          </w:tcPr>
          <w:p>
            <w:pPr>
              <w:jc w:val="center"/>
              <w:ind w:right="400"/>
              <w:spacing w:after="0"/>
              <w:rPr>
                <w:sz w:val="20"/>
                <w:szCs w:val="20"/>
                <w:color w:val="auto"/>
              </w:rPr>
            </w:pPr>
            <w:r>
              <w:rPr>
                <w:rFonts w:ascii="Arial" w:cs="Arial" w:eastAsia="Arial" w:hAnsi="Arial"/>
                <w:sz w:val="18"/>
                <w:szCs w:val="18"/>
                <w:color w:val="auto"/>
                <w:w w:val="85"/>
              </w:rPr>
              <w:t>Revenue</w:t>
            </w:r>
          </w:p>
        </w:tc>
        <w:tc>
          <w:tcPr>
            <w:tcW w:w="200" w:type="dxa"/>
            <w:vAlign w:val="bottom"/>
          </w:tcPr>
          <w:p>
            <w:pPr>
              <w:spacing w:after="0"/>
              <w:rPr>
                <w:sz w:val="20"/>
                <w:szCs w:val="20"/>
                <w:color w:val="auto"/>
              </w:rPr>
            </w:pPr>
          </w:p>
        </w:tc>
        <w:tc>
          <w:tcPr>
            <w:tcW w:w="1560" w:type="dxa"/>
            <w:vAlign w:val="bottom"/>
            <w:gridSpan w:val="2"/>
          </w:tcPr>
          <w:p>
            <w:pPr>
              <w:jc w:val="right"/>
              <w:ind w:right="47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20"/>
                <w:szCs w:val="20"/>
                <w:color w:val="auto"/>
              </w:rPr>
            </w:pPr>
          </w:p>
        </w:tc>
        <w:tc>
          <w:tcPr>
            <w:tcW w:w="1480" w:type="dxa"/>
            <w:vAlign w:val="bottom"/>
            <w:gridSpan w:val="2"/>
          </w:tcPr>
          <w:p>
            <w:pPr>
              <w:jc w:val="center"/>
              <w:ind w:right="250"/>
              <w:spacing w:after="0"/>
              <w:rPr>
                <w:sz w:val="20"/>
                <w:szCs w:val="20"/>
                <w:color w:val="auto"/>
              </w:rPr>
            </w:pPr>
            <w:r>
              <w:rPr>
                <w:rFonts w:ascii="Arial" w:cs="Arial" w:eastAsia="Arial" w:hAnsi="Arial"/>
                <w:sz w:val="18"/>
                <w:szCs w:val="18"/>
                <w:color w:val="auto"/>
                <w:w w:val="86"/>
              </w:rPr>
              <w:t>Defense</w:t>
            </w:r>
          </w:p>
        </w:tc>
        <w:tc>
          <w:tcPr>
            <w:tcW w:w="0" w:type="dxa"/>
            <w:vAlign w:val="bottom"/>
          </w:tcPr>
          <w:p>
            <w:pPr>
              <w:spacing w:after="0"/>
              <w:rPr>
                <w:sz w:val="1"/>
                <w:szCs w:val="1"/>
                <w:color w:val="auto"/>
              </w:rPr>
            </w:pPr>
          </w:p>
        </w:tc>
      </w:tr>
      <w:tr>
        <w:trPr>
          <w:trHeight w:val="195"/>
        </w:trPr>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87,873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70,154</w:t>
            </w:r>
          </w:p>
        </w:tc>
        <w:tc>
          <w:tcPr>
            <w:tcW w:w="26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17,719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7,860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7,860</w:t>
            </w:r>
          </w:p>
        </w:tc>
        <w:tc>
          <w:tcPr>
            <w:tcW w:w="0" w:type="dxa"/>
            <w:vAlign w:val="bottom"/>
          </w:tcPr>
          <w:p>
            <w:pPr>
              <w:spacing w:after="0"/>
              <w:rPr>
                <w:sz w:val="1"/>
                <w:szCs w:val="1"/>
                <w:color w:val="auto"/>
              </w:rPr>
            </w:pPr>
          </w:p>
        </w:tc>
      </w:tr>
      <w:tr>
        <w:trPr>
          <w:trHeight w:val="210"/>
        </w:trPr>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95,733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70,154</w:t>
            </w:r>
          </w:p>
        </w:tc>
        <w:tc>
          <w:tcPr>
            <w:tcW w:w="26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i w:val="1"/>
                <w:iCs w:val="1"/>
                <w:color w:val="auto"/>
                <w:w w:val="87"/>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i w:val="1"/>
                <w:iCs w:val="1"/>
                <w:color w:val="auto"/>
                <w:w w:val="87"/>
              </w:rPr>
              <w:t>%</w:t>
            </w:r>
          </w:p>
        </w:tc>
        <w:tc>
          <w:tcPr>
            <w:tcW w:w="0" w:type="dxa"/>
            <w:vAlign w:val="bottom"/>
          </w:tcPr>
          <w:p>
            <w:pPr>
              <w:spacing w:after="0" w:line="20" w:lineRule="exact"/>
              <w:rPr>
                <w:sz w:val="1"/>
                <w:szCs w:val="1"/>
                <w:color w:val="auto"/>
              </w:rPr>
            </w:pPr>
          </w:p>
        </w:tc>
      </w:tr>
      <w:tr>
        <w:trPr>
          <w:trHeight w:val="211"/>
        </w:trPr>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0" w:type="dxa"/>
            <w:vAlign w:val="bottom"/>
          </w:tcPr>
          <w:p>
            <w:pPr>
              <w:spacing w:after="0"/>
              <w:rPr>
                <w:sz w:val="24"/>
                <w:szCs w:val="24"/>
                <w:color w:val="auto"/>
              </w:rPr>
            </w:pPr>
          </w:p>
        </w:tc>
        <w:tc>
          <w:tcPr>
            <w:tcW w:w="1300" w:type="dxa"/>
            <w:vAlign w:val="bottom"/>
          </w:tcPr>
          <w:p>
            <w:pPr>
              <w:jc w:val="right"/>
              <w:ind w:right="93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-2134235</wp:posOffset>
            </wp:positionV>
            <wp:extent cx="606044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-1851025</wp:posOffset>
            </wp:positionV>
            <wp:extent cx="606044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60440" cy="16319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-856615</wp:posOffset>
            </wp:positionV>
            <wp:extent cx="606044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-574040</wp:posOffset>
            </wp:positionV>
            <wp:extent cx="606044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60440" cy="16256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68580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520" w:space="720"/>
            <w:col w:w="5140"/>
          </w:cols>
          <w:pgMar w:left="320" w:top="584" w:right="11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U.S. and Non-U.S. Revenue Information</w:t>
      </w:r>
      <w:r>
        <w:rPr>
          <w:rFonts w:ascii="Arial" w:cs="Arial" w:eastAsia="Arial" w:hAnsi="Arial"/>
          <w:sz w:val="29"/>
          <w:szCs w:val="29"/>
          <w:u w:val="single" w:color="auto"/>
          <w:color w:val="auto"/>
          <w:vertAlign w:val="superscript"/>
        </w:rPr>
        <w:t>1</w:t>
      </w:r>
      <w:r>
        <w:rPr>
          <w:rFonts w:ascii="Arial" w:cs="Arial" w:eastAsia="Arial" w:hAnsi="Arial"/>
          <w:sz w:val="18"/>
          <w:szCs w:val="18"/>
          <w:u w:val="single" w:color="auto"/>
          <w:color w:val="auto"/>
        </w:rPr>
        <w:t>:</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Three-month period ended September 30, 2023:</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Battery &amp; Energy Products</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Communications Systems</w:t>
      </w:r>
    </w:p>
    <w:p>
      <w:pPr>
        <w:spacing w:after="0" w:line="4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Three-month period ended September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1420" w:type="dxa"/>
            <w:vAlign w:val="bottom"/>
            <w:gridSpan w:val="3"/>
          </w:tcPr>
          <w:p>
            <w:pPr>
              <w:jc w:val="center"/>
              <w:ind w:right="440"/>
              <w:spacing w:after="0"/>
              <w:rPr>
                <w:sz w:val="20"/>
                <w:szCs w:val="20"/>
                <w:color w:val="auto"/>
              </w:rPr>
            </w:pPr>
            <w:r>
              <w:rPr>
                <w:rFonts w:ascii="Arial" w:cs="Arial" w:eastAsia="Arial" w:hAnsi="Arial"/>
                <w:sz w:val="18"/>
                <w:szCs w:val="18"/>
                <w:color w:val="auto"/>
                <w:w w:val="94"/>
              </w:rPr>
              <w:t>Total</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420" w:type="dxa"/>
            <w:vAlign w:val="bottom"/>
            <w:gridSpan w:val="3"/>
          </w:tcPr>
          <w:p>
            <w:pPr>
              <w:jc w:val="center"/>
              <w:ind w:right="440"/>
              <w:spacing w:after="0"/>
              <w:rPr>
                <w:sz w:val="20"/>
                <w:szCs w:val="20"/>
                <w:color w:val="auto"/>
              </w:rPr>
            </w:pPr>
            <w:r>
              <w:rPr>
                <w:rFonts w:ascii="Arial" w:cs="Arial" w:eastAsia="Arial" w:hAnsi="Arial"/>
                <w:sz w:val="18"/>
                <w:szCs w:val="18"/>
                <w:color w:val="auto"/>
                <w:w w:val="85"/>
              </w:rPr>
              <w:t>Revenue</w:t>
            </w:r>
          </w:p>
        </w:tc>
        <w:tc>
          <w:tcPr>
            <w:tcW w:w="200" w:type="dxa"/>
            <w:vAlign w:val="bottom"/>
          </w:tcPr>
          <w:p>
            <w:pPr>
              <w:spacing w:after="0"/>
              <w:rPr>
                <w:sz w:val="20"/>
                <w:szCs w:val="20"/>
                <w:color w:val="auto"/>
              </w:rPr>
            </w:pPr>
          </w:p>
        </w:tc>
        <w:tc>
          <w:tcPr>
            <w:tcW w:w="1580" w:type="dxa"/>
            <w:vAlign w:val="bottom"/>
            <w:gridSpan w:val="2"/>
          </w:tcPr>
          <w:p>
            <w:pPr>
              <w:jc w:val="right"/>
              <w:ind w:right="430"/>
              <w:spacing w:after="0"/>
              <w:rPr>
                <w:sz w:val="20"/>
                <w:szCs w:val="20"/>
                <w:color w:val="auto"/>
              </w:rPr>
            </w:pPr>
            <w:r>
              <w:rPr>
                <w:rFonts w:ascii="Arial" w:cs="Arial" w:eastAsia="Arial" w:hAnsi="Arial"/>
                <w:sz w:val="18"/>
                <w:szCs w:val="18"/>
                <w:color w:val="auto"/>
                <w:w w:val="96"/>
              </w:rPr>
              <w:t>United States</w:t>
            </w:r>
          </w:p>
        </w:tc>
        <w:tc>
          <w:tcPr>
            <w:tcW w:w="100" w:type="dxa"/>
            <w:vAlign w:val="bottom"/>
          </w:tcPr>
          <w:p>
            <w:pPr>
              <w:spacing w:after="0"/>
              <w:rPr>
                <w:sz w:val="20"/>
                <w:szCs w:val="20"/>
                <w:color w:val="auto"/>
              </w:rPr>
            </w:pPr>
          </w:p>
        </w:tc>
        <w:tc>
          <w:tcPr>
            <w:tcW w:w="1560" w:type="dxa"/>
            <w:vAlign w:val="bottom"/>
            <w:gridSpan w:val="2"/>
          </w:tcPr>
          <w:p>
            <w:pPr>
              <w:jc w:val="right"/>
              <w:ind w:right="150"/>
              <w:spacing w:after="0"/>
              <w:rPr>
                <w:sz w:val="20"/>
                <w:szCs w:val="20"/>
                <w:color w:val="auto"/>
              </w:rPr>
            </w:pPr>
            <w:r>
              <w:rPr>
                <w:rFonts w:ascii="Arial" w:cs="Arial" w:eastAsia="Arial" w:hAnsi="Arial"/>
                <w:sz w:val="18"/>
                <w:szCs w:val="18"/>
                <w:color w:val="auto"/>
                <w:w w:val="88"/>
              </w:rPr>
              <w:t>Non-United States</w:t>
            </w:r>
          </w:p>
        </w:tc>
        <w:tc>
          <w:tcPr>
            <w:tcW w:w="0" w:type="dxa"/>
            <w:vAlign w:val="bottom"/>
          </w:tcPr>
          <w:p>
            <w:pPr>
              <w:spacing w:after="0"/>
              <w:rPr>
                <w:sz w:val="1"/>
                <w:szCs w:val="1"/>
                <w:color w:val="auto"/>
              </w:rPr>
            </w:pPr>
          </w:p>
        </w:tc>
      </w:tr>
      <w:tr>
        <w:trPr>
          <w:trHeight w:val="195"/>
        </w:trPr>
        <w:tc>
          <w:tcPr>
            <w:tcW w:w="28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31,919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15,926</w:t>
            </w:r>
          </w:p>
        </w:tc>
        <w:tc>
          <w:tcPr>
            <w:tcW w:w="26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15,993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7,569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170"/>
              <w:spacing w:after="0"/>
              <w:rPr>
                <w:sz w:val="20"/>
                <w:szCs w:val="20"/>
                <w:color w:val="auto"/>
              </w:rPr>
            </w:pPr>
            <w:r>
              <w:rPr>
                <w:rFonts w:ascii="Arial" w:cs="Arial" w:eastAsia="Arial" w:hAnsi="Arial"/>
                <w:sz w:val="18"/>
                <w:szCs w:val="18"/>
                <w:color w:val="auto"/>
              </w:rPr>
              <w:t>4,348</w:t>
            </w:r>
          </w:p>
        </w:tc>
        <w:tc>
          <w:tcPr>
            <w:tcW w:w="100" w:type="dxa"/>
            <w:vAlign w:val="bottom"/>
          </w:tcPr>
          <w:p>
            <w:pPr>
              <w:spacing w:after="0"/>
              <w:rPr>
                <w:sz w:val="20"/>
                <w:szCs w:val="20"/>
                <w:color w:val="auto"/>
              </w:rPr>
            </w:pP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09"/>
        </w:trPr>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39,488</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20,274</w:t>
            </w:r>
          </w:p>
        </w:tc>
        <w:tc>
          <w:tcPr>
            <w:tcW w:w="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i w:val="1"/>
                <w:iCs w:val="1"/>
                <w:color w:val="auto"/>
                <w:w w:val="87"/>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i w:val="1"/>
                <w:iCs w:val="1"/>
                <w:color w:val="auto"/>
                <w:w w:val="87"/>
              </w:rPr>
              <w:t>%</w:t>
            </w:r>
          </w:p>
        </w:tc>
        <w:tc>
          <w:tcPr>
            <w:tcW w:w="0" w:type="dxa"/>
            <w:vAlign w:val="bottom"/>
          </w:tcPr>
          <w:p>
            <w:pPr>
              <w:spacing w:after="0" w:line="20" w:lineRule="exact"/>
              <w:rPr>
                <w:sz w:val="1"/>
                <w:szCs w:val="1"/>
                <w:color w:val="auto"/>
              </w:rPr>
            </w:pPr>
          </w:p>
        </w:tc>
      </w:tr>
      <w:tr>
        <w:trPr>
          <w:trHeight w:val="211"/>
        </w:trPr>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-591185</wp:posOffset>
            </wp:positionV>
            <wp:extent cx="606044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-308610</wp:posOffset>
            </wp:positionV>
            <wp:extent cx="606044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571" w:lineRule="exact"/>
        <w:rPr>
          <w:sz w:val="20"/>
          <w:szCs w:val="20"/>
          <w:color w:val="auto"/>
        </w:rPr>
      </w:pPr>
    </w:p>
    <w:p>
      <w:pPr>
        <w:sectPr>
          <w:pgSz w:w="11900" w:h="16838" w:orient="portrait"/>
          <w:cols w:equalWidth="0" w:num="2">
            <w:col w:w="4520" w:space="720"/>
            <w:col w:w="5140"/>
          </w:cols>
          <w:pgMar w:left="320" w:top="584" w:right="1199" w:bottom="1440" w:gutter="0" w:footer="0" w:header="0"/>
        </w:sectPr>
      </w:pPr>
    </w:p>
    <w:p>
      <w:pPr>
        <w:spacing w:after="0" w:line="48"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Total</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5"/>
              </w:rPr>
              <w:t>Revenue</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Non-United States</w:t>
            </w:r>
          </w:p>
        </w:tc>
        <w:tc>
          <w:tcPr>
            <w:tcW w:w="16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Battery &amp; Energy Products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28,583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15,150</w:t>
            </w:r>
          </w:p>
        </w:tc>
      </w:tr>
      <w:tr>
        <w:trPr>
          <w:trHeight w:val="216"/>
        </w:trPr>
        <w:tc>
          <w:tcPr>
            <w:tcW w:w="66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Communications Systems</w:t>
            </w: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4,651</w:t>
            </w:r>
          </w:p>
        </w:tc>
        <w:tc>
          <w:tcPr>
            <w:tcW w:w="2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1,104</w:t>
            </w:r>
          </w:p>
        </w:tc>
      </w:tr>
      <w:tr>
        <w:trPr>
          <w:trHeight w:val="20"/>
        </w:trPr>
        <w:tc>
          <w:tcPr>
            <w:tcW w:w="6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16,254</w:t>
            </w:r>
          </w:p>
        </w:tc>
      </w:tr>
      <w:tr>
        <w:trPr>
          <w:trHeight w:val="20"/>
        </w:trPr>
        <w:tc>
          <w:tcPr>
            <w:tcW w:w="660" w:type="dxa"/>
            <w:vAlign w:val="bottom"/>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6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i w:val="1"/>
                <w:iCs w:val="1"/>
                <w:color w:val="auto"/>
              </w:rPr>
              <w:t>%</w:t>
            </w:r>
          </w:p>
        </w:tc>
        <w:tc>
          <w:tcPr>
            <w:tcW w:w="1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49</w:t>
            </w:r>
            <w:r>
              <w:rPr>
                <w:rFonts w:ascii="Arial" w:cs="Arial" w:eastAsia="Arial" w:hAnsi="Arial"/>
                <w:sz w:val="18"/>
                <w:szCs w:val="18"/>
                <w:i w:val="1"/>
                <w:iCs w:val="1"/>
                <w:color w:val="auto"/>
              </w:rPr>
              <w:t>%</w:t>
            </w:r>
          </w:p>
        </w:tc>
      </w:tr>
      <w:tr>
        <w:trPr>
          <w:trHeight w:val="418"/>
        </w:trPr>
        <w:tc>
          <w:tcPr>
            <w:tcW w:w="5060" w:type="dxa"/>
            <w:vAlign w:val="bottom"/>
            <w:gridSpan w:val="2"/>
          </w:tcPr>
          <w:p>
            <w:pPr>
              <w:spacing w:after="0"/>
              <w:rPr>
                <w:sz w:val="20"/>
                <w:szCs w:val="20"/>
                <w:color w:val="auto"/>
              </w:rPr>
            </w:pPr>
            <w:r>
              <w:rPr>
                <w:rFonts w:ascii="Arial" w:cs="Arial" w:eastAsia="Arial" w:hAnsi="Arial"/>
                <w:sz w:val="18"/>
                <w:szCs w:val="18"/>
                <w:color w:val="auto"/>
              </w:rPr>
              <w:t>Nine-month period ended September 30, 2023:</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Total</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5"/>
              </w:rPr>
              <w:t>Revenue</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Non-United States</w:t>
            </w:r>
          </w:p>
        </w:tc>
        <w:tc>
          <w:tcPr>
            <w:tcW w:w="16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Battery &amp; Energy Products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94,250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47,162</w:t>
            </w:r>
          </w:p>
        </w:tc>
      </w:tr>
      <w:tr>
        <w:trPr>
          <w:trHeight w:val="216"/>
        </w:trPr>
        <w:tc>
          <w:tcPr>
            <w:tcW w:w="66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Communications Systems</w:t>
            </w: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19,846</w:t>
            </w:r>
          </w:p>
        </w:tc>
        <w:tc>
          <w:tcPr>
            <w:tcW w:w="2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11,170</w:t>
            </w:r>
          </w:p>
        </w:tc>
        <w:tc>
          <w:tcPr>
            <w:tcW w:w="1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8,676</w:t>
            </w:r>
          </w:p>
        </w:tc>
      </w:tr>
      <w:tr>
        <w:trPr>
          <w:trHeight w:val="20"/>
        </w:trPr>
        <w:tc>
          <w:tcPr>
            <w:tcW w:w="6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114,096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58,258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55,838</w:t>
            </w:r>
          </w:p>
        </w:tc>
      </w:tr>
      <w:tr>
        <w:trPr>
          <w:trHeight w:val="20"/>
        </w:trPr>
        <w:tc>
          <w:tcPr>
            <w:tcW w:w="660" w:type="dxa"/>
            <w:vAlign w:val="bottom"/>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6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i w:val="1"/>
                <w:iCs w:val="1"/>
                <w:color w:val="auto"/>
              </w:rPr>
              <w:t>%</w:t>
            </w:r>
          </w:p>
        </w:tc>
        <w:tc>
          <w:tcPr>
            <w:tcW w:w="1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49</w:t>
            </w:r>
            <w:r>
              <w:rPr>
                <w:rFonts w:ascii="Arial" w:cs="Arial" w:eastAsia="Arial" w:hAnsi="Arial"/>
                <w:sz w:val="18"/>
                <w:szCs w:val="18"/>
                <w:i w:val="1"/>
                <w:iCs w:val="1"/>
                <w:color w:val="auto"/>
              </w:rPr>
              <w:t>%</w:t>
            </w:r>
          </w:p>
        </w:tc>
      </w:tr>
      <w:tr>
        <w:trPr>
          <w:trHeight w:val="418"/>
        </w:trPr>
        <w:tc>
          <w:tcPr>
            <w:tcW w:w="5060" w:type="dxa"/>
            <w:vAlign w:val="bottom"/>
            <w:gridSpan w:val="2"/>
          </w:tcPr>
          <w:p>
            <w:pPr>
              <w:spacing w:after="0"/>
              <w:rPr>
                <w:sz w:val="20"/>
                <w:szCs w:val="20"/>
                <w:color w:val="auto"/>
              </w:rPr>
            </w:pPr>
            <w:r>
              <w:rPr>
                <w:rFonts w:ascii="Arial" w:cs="Arial" w:eastAsia="Arial" w:hAnsi="Arial"/>
                <w:sz w:val="18"/>
                <w:szCs w:val="18"/>
                <w:color w:val="auto"/>
              </w:rPr>
              <w:t>Nine-month period ended September 30, 2022:</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Total</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5"/>
              </w:rPr>
              <w:t>Revenue</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Non-United States</w:t>
            </w:r>
          </w:p>
        </w:tc>
        <w:tc>
          <w:tcPr>
            <w:tcW w:w="16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Battery &amp; Energy Products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41,303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46,570</w:t>
            </w:r>
          </w:p>
        </w:tc>
      </w:tr>
      <w:tr>
        <w:trPr>
          <w:trHeight w:val="216"/>
        </w:trPr>
        <w:tc>
          <w:tcPr>
            <w:tcW w:w="66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Communications Systems</w:t>
            </w: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7,860</w:t>
            </w:r>
          </w:p>
        </w:tc>
        <w:tc>
          <w:tcPr>
            <w:tcW w:w="2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6,609</w:t>
            </w:r>
          </w:p>
        </w:tc>
        <w:tc>
          <w:tcPr>
            <w:tcW w:w="1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1,251</w:t>
            </w:r>
          </w:p>
        </w:tc>
      </w:tr>
      <w:tr>
        <w:trPr>
          <w:trHeight w:val="20"/>
        </w:trPr>
        <w:tc>
          <w:tcPr>
            <w:tcW w:w="6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95,733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47,912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47,821</w:t>
            </w:r>
          </w:p>
        </w:tc>
      </w:tr>
      <w:tr>
        <w:trPr>
          <w:trHeight w:val="20"/>
        </w:trPr>
        <w:tc>
          <w:tcPr>
            <w:tcW w:w="660" w:type="dxa"/>
            <w:vAlign w:val="bottom"/>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6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r>
              <w:rPr>
                <w:rFonts w:ascii="Arial" w:cs="Arial" w:eastAsia="Arial" w:hAnsi="Arial"/>
                <w:sz w:val="18"/>
                <w:szCs w:val="18"/>
                <w:i w:val="1"/>
                <w:iCs w:val="1"/>
                <w:color w:val="auto"/>
              </w:rPr>
              <w:t>%</w:t>
            </w:r>
          </w:p>
        </w:tc>
        <w:tc>
          <w:tcPr>
            <w:tcW w:w="1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50</w:t>
            </w:r>
            <w:r>
              <w:rPr>
                <w:rFonts w:ascii="Arial" w:cs="Arial" w:eastAsia="Arial" w:hAnsi="Arial"/>
                <w:sz w:val="18"/>
                <w:szCs w:val="18"/>
                <w:i w:val="1"/>
                <w:iCs w:val="1"/>
                <w:color w:val="auto"/>
              </w:rPr>
              <w:t>%</w:t>
            </w:r>
          </w:p>
        </w:tc>
      </w:tr>
    </w:tbl>
    <w:p>
      <w:pPr>
        <w:spacing w:after="0" w:line="187" w:lineRule="exact"/>
        <w:rPr>
          <w:sz w:val="20"/>
          <w:szCs w:val="20"/>
          <w:color w:val="auto"/>
        </w:rPr>
      </w:pPr>
    </w:p>
    <w:p>
      <w:pPr>
        <w:ind w:left="5540" w:right="1280" w:hanging="5532"/>
        <w:spacing w:after="0" w:line="367" w:lineRule="auto"/>
        <w:tabs>
          <w:tab w:leader="none" w:pos="126"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Sales classified to U.S. include shipments to U.S.-based prime contractors which in some cases may serve non-U.S. projects.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320" w:top="584" w:right="11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changes in economic conditions including inflation and supply chain disruptions affecting our business, revenues and earnings adversely; the continued impact of COVID-19 causing delays in the manufacture and delivery of our mission critical products to end customers; our reliance on certain key customers; our efforts to develop new commercial applications for our products; reduced U.S. and foreign military spending including the uncertainty associated with government budget approvals; the unique risks associated with our China operations; breaches in information systems security and other disruptions in our information technology systems; potential disruptions in our supply of raw materials and components; fluctuations in the price of oil and the resulting impact on the demand for downhole drilling; our ability to retain top management and key personnel; our resources being overwhelmed by our growth; possible future declines in demand for the products that use our batteries or communications systems; safety risks, including the risk of fire; variability in our quarterly and annual results and the price of our common stock; rising interest rates increasing the cost of our variable borrowings; purchases by our customers of product quantities not meeting the volume expectations in our supply agreements; potential costs attributable to the warranties we supply with our products and services; our inability to comply with changes to the regulations for the shipment of our products; our ability to utilize our net operating loss carryforwards; our entrance into new end-markets which could lead to additional financial exposure; negative publicity concerning Lithium-ion batteries; possible impairments of our goodwill and other intangible assets; our exposure to foreign currency fluctuations;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known and unknown environmental matters; possible audits of our contracts by the U.S. and foreign governments and their respective defense agencies; our ability to comply with government regulations regarding the use of “conflict minerals”;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“seek,” “project,” “intend,” “plan,” “may,” “will,” “should,” “would,” “could,” or words of similar import are intended to identify forward-looking statements. For further discussion of certain of the matters described above and other risks and uncertainties, see Item 1A, “Risk Factors” in our Annual Report on Form 10-K for the year ended December 31, 2022.</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Given these risks and uncertainties, you are cautioned not to place undue reliance on these forward-looking statements. Comparisons of results for current and any prior periods are not intended to express any future trends or indications of future performance, unless expressed as such, and should only be viewed as historical data.</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required by law, we disclaim any obligation to update any risk factors or to publicly announce the results of any revisions to any of the forward looking statements in this report to reflect new information or risks, future events or other developments.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the consolidated financial statements and notes thereto in Part I, Item 1 of this Form 10-Q, and the consolidated financial statements and notes thereto and risk factors in our Annual Report on Form 10-K for the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financial information in this MD&amp;A is presented in thousands of dollars, except for share and per share amounts, unless otherwise specified.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related to those product lines. We continually evaluate ways to grow, including the design, development and sale of new products, expansion of our sales force to penetrate new markets and territories, as well as seeking opportunities to expand through acquisitions.</w:t>
      </w:r>
    </w:p>
    <w:p>
      <w:pPr>
        <w:spacing w:after="0" w:line="19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sell our products worldwide through a variety of trade channels, including original equipment manufacturers (“OEMs”), industrial and defense supply distributors, and directly to U.S. and foreign defense departments. We enjoy strong name recognition in our markets under our Ultralife® Batteries, Lithium Power®, McDowell Research®, AMTI</w:t>
      </w:r>
      <w:r>
        <w:rPr>
          <w:rFonts w:ascii="Arial" w:cs="Arial" w:eastAsia="Arial" w:hAnsi="Arial"/>
          <w:sz w:val="29"/>
          <w:szCs w:val="29"/>
          <w:color w:val="auto"/>
          <w:vertAlign w:val="superscript"/>
        </w:rPr>
        <w:t>TM</w:t>
      </w:r>
      <w:r>
        <w:rPr>
          <w:rFonts w:ascii="Arial" w:cs="Arial" w:eastAsia="Arial" w:hAnsi="Arial"/>
          <w:sz w:val="18"/>
          <w:szCs w:val="18"/>
          <w:color w:val="auto"/>
        </w:rPr>
        <w:t>, ABLE</w:t>
      </w:r>
      <w:r>
        <w:rPr>
          <w:rFonts w:ascii="Arial" w:cs="Arial" w:eastAsia="Arial" w:hAnsi="Arial"/>
          <w:sz w:val="29"/>
          <w:szCs w:val="29"/>
          <w:color w:val="auto"/>
          <w:vertAlign w:val="superscript"/>
        </w:rPr>
        <w:t>TM</w:t>
      </w:r>
      <w:r>
        <w:rPr>
          <w:rFonts w:ascii="Arial" w:cs="Arial" w:eastAsia="Arial" w:hAnsi="Arial"/>
          <w:sz w:val="18"/>
          <w:szCs w:val="18"/>
          <w:color w:val="auto"/>
        </w:rPr>
        <w:t>, ACCUTRONICS™, ACCUPRO™, ENTELLION™, SWE Southwest Electronic Energy Group™, SWE DRILL-DATA™, SWE SEASAFE™, Excell Battery Group™ and Criterion Gauge™ brands. We have sales, operations and product development facilities in North America, Europe and Asia.</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10 in the notes to consolidated financial statements.)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revenues of $39,488 for the three-month period ended September 30, 2023, increased by $6,254 or 18.8%, over $33,234 for the three-month period ended September 30, 2022, reflecting increases in government/defense sales of 48.1% and commercial sales of 5.6%. Sales for our Battery &amp; Energy Products segment increased 11.7% from $28,583 for the third quarter of 2022 to $31,919 for the third quarter of 2023, and sales for our Communications Systems segment increased 62.7% from $4,651 to $7,569.</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was $9,774, or 24.8% of revenue, for the three-month period ended September 30, 2023, compared to $6,715, or 20.2% of revenue, for the same quarter a year ago. The 460-basis point improvement primarily resulted from higher factory volume leading to greater cost absorption, efficiencies associated with improved level-loading of production and price realization.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increased to $7,639 for the three-month period ended September 30, 2023, compared to $7,301 for the three-month period ended September 30, 2022. The increase of $338 or 4.6% was primarily attributable to higher variable compensation, including Officer and Executive Team bonuses and salesforce commissions, and insurance costs in the 2023 period. Operating expenses represented 19.3% of revenues compared to 22.0% of revenues for the year-earlier period.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income for the three-month period ended September 30, 2023 was $2,135, or 5.4% of revenues, compared to a loss of $586 for the year-earlier period. The increase in operating income resulted from the 18.8% increase in revenues leveraged by the 460-basis point improvement in gross margin and the 270-basis point improvement in operating expenses to revenues ratio.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Net income attributable to Ultralife Corporation was $1,330 or $0.08 per share – basic and diluted on a GAAP basis, compared to a net loss of $239 or $0.01 per share – basic and diluted for the third quarter of 2022. Adjusted EPS was $0.10 - basic and diluted for the third quarter of 2023, compared to a loss $0.03 - basic and diluted for the 2022 period. Adjusted EPS excludes the provision for deferred taxes of $357 which primarily represents non-cash charges for U.S. taxes that we expect will be fully offset by net operating loss carryforwards and other tax credits for the foreseeable future. See the section “Adjusted EPS” on Page 24 for a reconciliation of adjusted EPS to EPS.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Adjusted EBITDA, defined as net income (loss) attributable to Ultralife Corporation before net interest expense, provision (benefit) for income taxes, depreciation and amortization, and stock-based compensation expense, plus/minus expenses/income that we do not consider reflective of our ongoing operations, amounted to $3,480, or 8.8% of revenues, for the third quarter of 2023, compared to $1,255 or 3.8% of revenues, for the third quarter of 2022. See the section “Adjusted EBITDA” on Page 23 for a reconciliation of adjusted EBITDA to net income attributable to Ultralife Corporation.</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we close out 2023 with a strong backlog, we are well positioned to continue profitable growth and to generate incremental cashflow to reduce our acquisition debt and further invest in our businesses, including new product development, strategic capital expenditures and accretive acquisitions.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September 30, 2023 and September 30, 2022</w:t>
      </w:r>
    </w:p>
    <w:p>
      <w:pPr>
        <w:spacing w:after="0" w:line="22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for the three-month period ended September 30, 2023 were $39,488, an increase of $6,254, or 18.8%, over $33,234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three-month period ended September 30, 2022. Overall, government/defense sales increased 48.1% and commercial sales increased 5.6%.</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Battery &amp; Energy Products revenues increased $3,336, or 11.7%, from $28,583 for the three-month period ended September 30, 2022 to $31,919 for the three-month period ended September 30, 2023, reflecting increases of $1,272 or 5.6% in commercial sales and $2,064 or 36.2% in government/defense sales. The increase in commercial sales was driven by a $2,488 or 37.9% increase in medical sales reflecting an increased demand for our batteries used in ventilators, respirators, infusion pumps and other medical devices, partially offset by a $1,216 or 7.5% decrease in industrial and other commercial sales primarily attributable to 9-Volt and our new Thionyl Chloride and thin cell battery cells for which sales are expected to rebound in future periods based on the timing of purchase orders placed by our customers.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Communications Systems sales increased $2,918, or 62.7%, from $4,651 for the three-month period ended September 30, 2022 to $7,569 for the three-month period ended September 30, 2023. The increase was primarily attributable to shipments of vehicle-amplifier adaptor orders to a global defense contractor for the U.S. Army and of integrated systems of amplifiers and radio vehicle mounts to a major international defense contractor for an ongoing allied country government/defense modernization program.</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total backlog at September 30, 2023 was $101,087 with approximately $35,100 due to ship over the remaining three months of 2023. Total backlog decreased $5,066 or 4.8% compared to the backlog of $106,153 for the same period in 2022 primarily due to the timing of certain expected orders.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Cost of Products Sold / Gross Profit. </w:t>
      </w:r>
      <w:r>
        <w:rPr>
          <w:rFonts w:ascii="Arial" w:cs="Arial" w:eastAsia="Arial" w:hAnsi="Arial"/>
          <w:sz w:val="18"/>
          <w:szCs w:val="18"/>
          <w:color w:val="auto"/>
        </w:rPr>
        <w:t>Cost of products sold totaled $29,714 for the quarter ended September 30, 2023, an increase of $3,195, or 12.0%,</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$26,519 reported for the same three-month period a year ago. Consolidated cost of products sold as a percentage of total revenue decreased from 79.8% for the three-month period ended September 30, 2022 to 75.2% for the three-month period ended September 30, 2023. Correspondingly, consolidated gross margin increased from 20.2% for the three-month period ended September 30, 2022, to 24.8% for the three-month period ended September 30, 2023, primarily reflecting higher factory volume leading to greater cost absorption, efficiencies associated with improved level-loading of production and price realization.</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our Battery &amp; Energy Products segment, gross profit for the third quarter of 2023 was $7,728, an increase of $2,383 or 44.6% from gross profit of $5,345 for the third quarter of 2022. Battery &amp; Energy Products’ gross margin of 24.2% increased by 550-basis points from the 18.7% gross margin for the year-earlier period, primarily reflecting higher factory volume, efficiencies resulting from improved level-lading of production across the quarter and improved price realization.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our Communications Systems segment, gross profit for the third quarter of 2023 was $2,046 or 27.0% of revenues, compared to gross profit of $1,370 or 29.5% of revenues for the third quarter of 2022. The 250-basis point decrease in gross margin was primarily due to inefficiencies caused by component delivery delays from certain vendors and sales product mix, partially offset by the higher factory volume.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jc w:val="both"/>
        <w:spacing w:after="0" w:line="272" w:lineRule="auto"/>
        <w:rPr>
          <w:sz w:val="20"/>
          <w:szCs w:val="20"/>
          <w:color w:val="auto"/>
        </w:rPr>
      </w:pPr>
      <w:r>
        <w:rPr>
          <w:rFonts w:ascii="Arial" w:cs="Arial" w:eastAsia="Arial" w:hAnsi="Arial"/>
          <w:sz w:val="17"/>
          <w:szCs w:val="17"/>
          <w:b w:val="1"/>
          <w:bCs w:val="1"/>
          <w:color w:val="auto"/>
        </w:rPr>
        <w:t xml:space="preserve">Operating Expense. </w:t>
      </w:r>
      <w:r>
        <w:rPr>
          <w:rFonts w:ascii="Arial" w:cs="Arial" w:eastAsia="Arial" w:hAnsi="Arial"/>
          <w:sz w:val="17"/>
          <w:szCs w:val="17"/>
          <w:color w:val="auto"/>
        </w:rPr>
        <w:t>Overall, operating expenses were 19.3% of revenue for the quarter ended September 30, 2023, compared to 22.0% of revenue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ended September 30, 2022. Amortization expense associated with intangible assets related to our acquisitions was $227 for the third quarter of 2023 ($203 in selling, general and administrative expenses and $24 in research and development costs), compared with $318 for the third quarter of 2022 ($295 in selling, general, and administrative expenses and $23 in research and development costs). Research and development costs were $1,869 for the three-month period ended September 30, 2023, a decrease of $27 or 1.4%, from $1,896 for the three-months ended September 30, 2022. Selling, general, and administrative expenses were $5,770 for the three-month period ended September 30, 2023, an increase of $365 or 6.8% over the $5,405 for the three-month period ended September 30, 2022, primarily reflecting higher variable compensation, including Officer and Executive Team bonuses and salesforce commissions, and insurance costs.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Other (Expense) Income. </w:t>
      </w:r>
      <w:r>
        <w:rPr>
          <w:rFonts w:ascii="Arial" w:cs="Arial" w:eastAsia="Arial" w:hAnsi="Arial"/>
          <w:sz w:val="16"/>
          <w:szCs w:val="16"/>
          <w:color w:val="auto"/>
        </w:rPr>
        <w:t>Other expense totaled $386 for the three-month period ended September 30, 2023, compared to income totaling $254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three-month period ended September 30, 2022. Interest and financing expense increased $314, or 115.4%, from $272 for the third quarter of 2022 to $586 for the comparable period in 2023. The increase is primarily due to the financing of our acquisition of Excell in December 2021, working capital funding resulting from the January 2023 cyberattack and rising interest rates. Miscellaneous income amounted to $200 for the third quarter of 2023 compared to $526 for the third quarter of 2022, primarily attributable to foreign exchange gains due to fluctuations in foreign currency exchange rates.</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income tax provision for the 2023 third quarter was $446, compared to an income tax benefit of $90 for the third quarter of 2022. Our</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tax rate decreased to 25.5% for the third quarter of 2023 as compared to 27.1% for the third quarter of 2022, primarily attributable to the geographic mix of our operating results. The income tax provision for the third quarter of 2023 is comprised of an $89 current provision for taxes expected to be paid on income primarily in foreign jurisdictions, representing a cash-based effective tax rate of 5.1%, and a $357 deferred tax provision which primarily represents non-cash charges for U.S. taxes that we expect will be fully offset by net operating loss carryforwards and other tax credits for the foreseeable future. For the comparable 2022 period, the income tax benefit was comprised of a $218 current tax provision and a $308 deferred tax benefit. The period over period change in the cash-based current tax provisions is primarily attributable to the geographic mix of our operating results. See Note 6 to the consolidated financial statements in Item 1 of Part I of this Form 10-Q for additional information regarding our income taxes.</w:t>
      </w:r>
    </w:p>
    <w:p>
      <w:pPr>
        <w:spacing w:after="0" w:line="15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Net Income (Loss) Attributable to Ultralife. </w:t>
      </w:r>
      <w:r>
        <w:rPr>
          <w:rFonts w:ascii="Arial" w:cs="Arial" w:eastAsia="Arial" w:hAnsi="Arial"/>
          <w:sz w:val="17"/>
          <w:szCs w:val="17"/>
          <w:color w:val="auto"/>
        </w:rPr>
        <w:t>Net income attributable to Ultralife was $1,330, or $0.08 per share – basic and diluted on a GAAP basis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three-month period ended September 30, 2023, compared to a net loss of $239, or $0.01 per share – basic and diluted, for the three-month period ended September 30, 2022. Adjusted EPS was $0.10 on a diluted basis for the third quarter of 2023, compared to ($0.03) for the third quarter of 2022. Adjusted EPS excludes the provision (benefit) for deferred taxes of $357 and ($308) for the 2023 and 2022 periods, respectively, which primarily represent non-cash charges (benefits) for U.S. taxes that we expect will be fully offset by net operating loss carryforwards and other tax credits for the foreseeable future. See the section “Adjusted EPS” on Page 24 for a reconciliation of adjusted EPS to EPS.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Weighted average shares outstanding used to compute diluted earnings per share increased from 16,133,069 for the third quarter of 2022 to 16,303,139 for the third quarter of 2023. The increase is attributable to stock option exercises since the third quarter of 2022 and a greater average stock price in the current quarter. Accordingly, dilutive shares of 65,275 were added to basic weighted average shares for the 2023 period compared to none for the 2022 period due to the net loss for that period.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Nine-Month Periods Ended September 30, 2023 and September 30, 2022</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for the nine-month period ended September 30, 2023 were $114,096, an increase of $18,363, or 19.2%, over $95,733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nine-month period ended September 30, 2022. Overall, government/defense sales increased $15,198 or 59.4% and commercial sales increased $3,165 or 4.5%. On January 25, 2023, the Company experienced a ransomware cyberattack which impacted our ability to process orders, ship products, provide services to our customers and effectively manage our sales and operating planning process over a several week period for our Newark, NY location and an even longer period for our Virginia Beach, VA location. A large portion of our time during the quarter was devoted to data restoration, systems security augmentation, and regulatory reporting of the cyberattack, all of which were successfully accomplished with no ransom paid. Management continues to work on its cybersecurity insurance claim covering the cost of engaging external cybersecurity experts and the business interruption impact.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spacing w:after="0" w:line="254" w:lineRule="auto"/>
        <w:rPr>
          <w:sz w:val="20"/>
          <w:szCs w:val="20"/>
          <w:color w:val="auto"/>
        </w:rPr>
      </w:pPr>
      <w:r>
        <w:rPr>
          <w:rFonts w:ascii="Arial" w:cs="Arial" w:eastAsia="Arial" w:hAnsi="Arial"/>
          <w:sz w:val="18"/>
          <w:szCs w:val="18"/>
          <w:color w:val="auto"/>
        </w:rPr>
        <w:t>Battery &amp; Energy Products revenues increased $6,377, or 7.3%, from $87,873 for the nine-month period ended September 30, 2022 to $94,250 for the nine-month period ended September 30, 2023. The increase was attributable to a $3,165 or 4.5% increase in commercial sales and a $3,212 or 18.1% increase in government/defense sales. The increase in commercial sales was driven by a $3,428 or 12.4% increase in oil &amp; gas sales reflecting the rebound in the energy sector and a $3,085 or 14.2% increase in medical battery sales due to the high demand for our batteries used in ventilators, respirators, infusion pumps and other medical devices. These increases in commercial sales were partially offset by a $3,348 or 16.2% decrease in industrial and other commercial market sales primarily due to timing of demand for 9-Volt and our new Thionyl Chloride and thin cell battery cells which are expected to rebound in future periods.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Communications Systems revenues increased $11,986, or 152.5%, from $7,860 for the nine-month period ended September 30, 2022 to $19,846 for the nine-month period ended September 30, 2023. This increase was primarily attributable to shipments of vehicle-amplifier adaptor orders to a global defense contractor for the U.S. Army and of integrated systems of amplifiers and radio vehicle mounts to a major international defense contractor for an ongoing allied country government/defense modernization program.</w:t>
      </w:r>
    </w:p>
    <w:p>
      <w:pPr>
        <w:spacing w:after="0" w:line="18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Cost of Products Sold / Gross Profit. </w:t>
      </w:r>
      <w:r>
        <w:rPr>
          <w:rFonts w:ascii="Arial" w:cs="Arial" w:eastAsia="Arial" w:hAnsi="Arial"/>
          <w:sz w:val="16"/>
          <w:szCs w:val="16"/>
          <w:color w:val="auto"/>
        </w:rPr>
        <w:t>Cost of products sold totaled $86,298 for the nine-month period ended September 30, 2023, an increase of $11,884,</w:t>
      </w:r>
      <w:r>
        <w:rPr>
          <w:rFonts w:ascii="Arial" w:cs="Arial" w:eastAsia="Arial" w:hAnsi="Arial"/>
          <w:sz w:val="16"/>
          <w:szCs w:val="16"/>
          <w:b w:val="1"/>
          <w:bCs w:val="1"/>
          <w:color w:val="auto"/>
        </w:rPr>
        <w:t xml:space="preserve"> </w:t>
      </w:r>
      <w:r>
        <w:rPr>
          <w:rFonts w:ascii="Arial" w:cs="Arial" w:eastAsia="Arial" w:hAnsi="Arial"/>
          <w:sz w:val="16"/>
          <w:szCs w:val="16"/>
          <w:color w:val="auto"/>
        </w:rPr>
        <w:t>or 16.0%, from the $74,414 reported for the same nine-month period a year ago. Consolidated cost of products sold as a percentage of total revenue decreased from 77.7% for the nine-month period ended September 30, 2022 to 75.6% for the nine-month period ended September 30, 2023. Correspondingly, consolidated gross margin increased from 22.3% for the nine-month period ended September 30, 2022, to 24.4% for the nine-month period ended September 30, 2023, primarily reflecting higher factory volume and favorable product mix for our Communications Systems segment, tempered by the inefficiencies experienced at our Newark, NY and Virginia Beach, VA facilities resulting from the January 2023 cyberattack.</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our Battery &amp; Energy Products segment, gross profit for the first nine months of 2023 was $21,783 an increase of $2,566 or 13.4% over gross profit of $19,217 for the comparable 2022 period. Battery &amp; Energy Products’ gross margin of 23.1% increased by 120 basis points from the 21.9% gross margin for the year-earlier period, primarily reflecting higher factory volume, more level-loaded production driving utilization and price realization, partially offset by lingering supply chain disruptions, inefficiencies resulting from the January 2023 cyberattack, disposition of certain non-conforming materials and continued investments in the transition of new products to high volume production.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our Communications Systems segment, gross profit for the first nine months of 2023 was $6,015 or 30.3% of revenues, compared to gross profit of $2,102 or 26.7% of revenues, for the comparable 2022 period. The increase was primarily due to higher factory volume and favorable product mix compared to last year’s nine-month period.</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for the nine-month period ended September 30, 2023 were $21,972, an increase of $565 or 2.6%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$21,407 for the nine-month period ended September 30, 2022. The increase is primarily attributable to increased new product development investments, the recording of the $100 deductible on our cybersecurity insurance policy for expenses incurred associated with the January 2023 cyberattack and higher variable compensation, including Officer and Executive Team bonuses and salesforce commissions, and insurance costs. Both periods reflected continued tight control over discretionary spending.</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Overall, operating expenses as a percentage of revenues were 19.3% for the nine-month period ended September 30, 2023, compared to 22.4% for the nine-month period ended September 30, 2022. Amortization expense associated with intangible assets related to our acquisitions was $663 for the first nine months of 2023 ($591 in selling, general and administrative expenses and $72 in research and development costs), compared with $969 for the first nine months of 2022 ($895 in selling, general, and administrative expenses and $74 in research and development costs). Research and development costs were $5,679 for the nine-month period ended September 30, 2023, an increase of $254 or 4.7%, from $5,425 for the nine-months ended September 30, 2022. The increase is largely attributable to an increase in new product development in our Communications Systems business to pursue both government/defense major programs and commercial opportunities. Selling, general, and administrative expenses were $16,293 for the 2023 nine-month period, an increase of $311 or 1.9% over the $15,982 for the year-earlier period, primarily reflecting higher variable compensation, including Officer and Executive Team bonuses and salesforce commissions, and insurance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jc w:val="both"/>
        <w:spacing w:after="0" w:line="292" w:lineRule="auto"/>
        <w:rPr>
          <w:sz w:val="20"/>
          <w:szCs w:val="20"/>
          <w:color w:val="auto"/>
        </w:rPr>
      </w:pPr>
      <w:r>
        <w:rPr>
          <w:rFonts w:ascii="Arial" w:cs="Arial" w:eastAsia="Arial" w:hAnsi="Arial"/>
          <w:sz w:val="16"/>
          <w:szCs w:val="16"/>
          <w:b w:val="1"/>
          <w:bCs w:val="1"/>
          <w:color w:val="auto"/>
        </w:rPr>
        <w:t xml:space="preserve">Other Income (Expense). </w:t>
      </w:r>
      <w:r>
        <w:rPr>
          <w:rFonts w:ascii="Arial" w:cs="Arial" w:eastAsia="Arial" w:hAnsi="Arial"/>
          <w:sz w:val="16"/>
          <w:szCs w:val="16"/>
          <w:color w:val="auto"/>
        </w:rPr>
        <w:t>Other income totaled $178 for the nine-month period ended September 30, 2023, compared to other income of $22 for the nine-month period ended September 30, 2022. Other income for the 2023 period includes an Employee Retention Credit for $1,544 under Section 2301 of the Coronavirus Aid, Relief and Economic Security Act which was filed with the Internal Revenue Service during the second quarter of 2023. Interest and financing expense increased $867, or 148.7%, from $583 for the first nine months of 2022 to $1,450 for the comparable period in 2023. The increase is primarily due to the financing of our acquisition of Excell in December 2021, working capital funding resulting from our January 2023 cyberattack and rising interest rates. Excluding the ERC gain in the 2023 period, miscellaneous income amounted to $84 for the 2023 period compared to $605 for the 2022 period, primarily attributable to foreign exchange gains and loss due to fluctuations in foreign currency exchange rates.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The income tax provision for the 2023 nine-month period was $1,688, compared to an income tax benefit of $171 for the 2022 nine-month</w:t>
      </w:r>
      <w:r>
        <w:rPr>
          <w:rFonts w:ascii="Arial" w:cs="Arial" w:eastAsia="Arial" w:hAnsi="Arial"/>
          <w:sz w:val="17"/>
          <w:szCs w:val="17"/>
          <w:b w:val="1"/>
          <w:bCs w:val="1"/>
          <w:color w:val="auto"/>
        </w:rPr>
        <w:t xml:space="preserve"> </w:t>
      </w:r>
      <w:r>
        <w:rPr>
          <w:rFonts w:ascii="Arial" w:cs="Arial" w:eastAsia="Arial" w:hAnsi="Arial"/>
          <w:sz w:val="17"/>
          <w:szCs w:val="17"/>
          <w:color w:val="auto"/>
        </w:rPr>
        <w:t>period. Our effective tax rate decreased to 28.1% for the 2023 period as compared to 259.1% for the 2022 period, primarily attributable to the magnitude of our income reported in the first nine-months of 2023, including the Employee Retention Credit, and the geographic mix of our operating results. The income tax provision for the first nine months of 2023 is comprised of a $443 current provision for taxes expected to be paid on income primarily in foreign jurisdictions, representing a cash-based effective tax rate of 7.4%, and an $1,245 deferred tax provision which primarily represents non-cash charges for U.S. taxes that we expect will be fully offset by net operating loss carryforwards and other tax credits for the foreseeable future. For the comparable 2022 period, the income tax benefit was comprised of a $512 current tax provision and a $683 deferred tax benefit. The period over period change in the cash-based taxes is primarily attributable to the geographic mix of our operating results. See Note 6 to the consolidated financial statements in Item 1 of Part I of this Form 10-Q for additional information regarding our income taxes.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Net Income Attributable to Ultralife. </w:t>
      </w:r>
      <w:r>
        <w:rPr>
          <w:rFonts w:ascii="Arial" w:cs="Arial" w:eastAsia="Arial" w:hAnsi="Arial"/>
          <w:sz w:val="18"/>
          <w:szCs w:val="18"/>
          <w:color w:val="auto"/>
        </w:rPr>
        <w:t>Net income attributable to Ultralife was $4,324, or $0.27 per share – basic and diluted on a GAAP basis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nine-month period ended September 30, 2023, compared to $105, or $0.01 per share – basic and diluted, for the nine-month period ended September 30, 2022. Adjusted EPS was $0.34 on a diluted basis for the 2023 period, compared to ($0.04) for the 2022 period. Adjusted EPS excludes the provision (benefit) for deferred taxes of $1,245 and ($683) for the 2023 and 2022 periods, respectively, which primarily represents non-cash charges (benefits) for U.S. taxes that we expect will be fully offset by net operating loss carryforwards and other tax credits for the foreseeable future. See the section “Adjusted EPS” on Page 24 for a reconciliation of adjusted EPS to EPS.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Weighted average shares outstanding used to compute diluted earnings per share decreased from 16,144,165 for the first nine-months of 2022 to 16,174,341 for the first nine-months of 2023. The increase is attributable to stock option exercises since the third quarter of 2022. Accordingly diluted shares of 2,441 were added to basic weighted average shares in 2023 compared to 22,203 for the 2022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evaluating our business, we consider and use adjusted EBITDA, a non-GAAP financial measure, as a supplemental measure of our operating performance. We define adjusted EBITDA as net income (loss) attributable to Ultralife Corporation before interest expense, provision (benefit) for income taxes, depreciation and amortization, and stock-based compensation expense, plus/minus expense/income that we do not consider reflective of our ongoing continuing operations. We also use adjusted EBITDA as a supplemental measure to review and assess our operating performance and to enhance comparability between periods. We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(loss) attributable to Ultralife Corporation, the most comparable financial measure under GAAP.</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GAAP financial measures such as operating income (loss). We believe that adjusted EBITDA permits a comparative assessment of our operating performance, relative to our performance based on our GAAP results, while eliminating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adjusted EBITDA is not defined under GAAP and is not a measure of operating income (loss), operating performance or liquidity presented in accordance with GAAP. Our adjusted EBITDA has limitations as an analytical tool, and when assessing our operating performance, adjusted EBITDA should not be considered in isolation or as a substitute for net income (loss) attributable to Ultralife Corporation or other consolidated statement of operations data prepared in accordance with GAAP. Some of these limitations include, but are not limited to, the following:</w:t>
      </w:r>
    </w:p>
    <w:p>
      <w:pPr>
        <w:spacing w:after="0" w:line="171" w:lineRule="exact"/>
        <w:rPr>
          <w:sz w:val="20"/>
          <w:szCs w:val="20"/>
          <w:color w:val="auto"/>
        </w:rPr>
      </w:pPr>
    </w:p>
    <w:p>
      <w:pPr>
        <w:jc w:val="both"/>
        <w:ind w:left="980" w:hanging="324"/>
        <w:spacing w:after="0" w:line="259"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6"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loss attributable to Ultralife Corporation.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w w:val="96"/>
              </w:rPr>
              <w:t>Adjusted EBITDA is calculated as follows for the periods presented:</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Three-Month Period Ended</w:t>
            </w:r>
          </w:p>
        </w:tc>
        <w:tc>
          <w:tcPr>
            <w:tcW w:w="140" w:type="dxa"/>
            <w:vAlign w:val="bottom"/>
          </w:tcPr>
          <w:p>
            <w:pPr>
              <w:spacing w:after="0"/>
              <w:rPr>
                <w:sz w:val="24"/>
                <w:szCs w:val="24"/>
                <w:color w:val="auto"/>
              </w:rPr>
            </w:pPr>
          </w:p>
        </w:tc>
        <w:tc>
          <w:tcPr>
            <w:tcW w:w="24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4"/>
              </w:rPr>
              <w:t>Nine-Month Period Ended</w:t>
            </w:r>
          </w:p>
        </w:tc>
        <w:tc>
          <w:tcPr>
            <w:tcW w:w="0" w:type="dxa"/>
            <w:vAlign w:val="bottom"/>
          </w:tcPr>
          <w:p>
            <w:pPr>
              <w:spacing w:after="0"/>
              <w:rPr>
                <w:sz w:val="1"/>
                <w:szCs w:val="1"/>
                <w:color w:val="auto"/>
              </w:rPr>
            </w:pPr>
          </w:p>
        </w:tc>
      </w:tr>
      <w:tr>
        <w:trPr>
          <w:trHeight w:val="191"/>
        </w:trPr>
        <w:tc>
          <w:tcPr>
            <w:tcW w:w="5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Ultralife Corporation</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Adjustments: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Income tax provision (benefit)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1,688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Cybersecurity insurance policy deductible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purchase accounting adjustments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2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Adjusted EBITDA</w:t>
            </w:r>
          </w:p>
        </w:tc>
        <w:tc>
          <w:tcPr>
            <w:tcW w:w="8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3,480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1,255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10,931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4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Adjusted Earnings Per Share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evaluating our business, we consider and use adjusted EPS, a non-GAAP financial measure, as a supplemental measure of our business performance. We define adjusted EPS as net income (loss) attributable to Ultralife Corporation excluding the provision (benefit) for deferred income taxes divided by our weighted average shares outstanding on both a basic and diluted basis. We believe that this information is useful in providing period-to-period comparisons of our results by reflecting the portion of our tax provision that will be predominantly offset by our U.S. net operating loss carryforwards and other tax credits for the foreseeable future. We reconcile adjusted EPS to EPS, the most comparable financial measure under GAAP. Neither current nor potential investors in our securities should rely on adjusted EPS as a substitute for any GAAP measures and we encourage investors to review the following reconciliation of adjusted EPS to EPS and net income attributable to Ultralife Corporation.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Adjusted EPS is calculated as follows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w w:val="93"/>
              </w:rPr>
              <w:t>Three-Month Period Ended</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September 30, 2023</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 2022</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7"/>
              </w:rPr>
              <w:t>Per Basic</w:t>
            </w:r>
          </w:p>
        </w:tc>
        <w:tc>
          <w:tcPr>
            <w:tcW w:w="10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Per Diluted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7"/>
              </w:rPr>
              <w:t>Per Basic</w:t>
            </w:r>
          </w:p>
        </w:tc>
        <w:tc>
          <w:tcPr>
            <w:tcW w:w="100" w:type="dxa"/>
            <w:vAlign w:val="bottom"/>
          </w:tcPr>
          <w:p>
            <w:pPr>
              <w:spacing w:after="0"/>
              <w:rPr>
                <w:sz w:val="16"/>
                <w:szCs w:val="16"/>
                <w:color w:val="auto"/>
              </w:rPr>
            </w:pPr>
          </w:p>
        </w:tc>
        <w:tc>
          <w:tcPr>
            <w:tcW w:w="102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Per Diluted</w:t>
            </w:r>
          </w:p>
        </w:tc>
        <w:tc>
          <w:tcPr>
            <w:tcW w:w="100" w:type="dxa"/>
            <w:vAlign w:val="bottom"/>
          </w:tcPr>
          <w:p>
            <w:pPr>
              <w:spacing w:after="0"/>
              <w:rPr>
                <w:sz w:val="16"/>
                <w:szCs w:val="16"/>
                <w:color w:val="auto"/>
              </w:rPr>
            </w:pPr>
          </w:p>
        </w:tc>
      </w:tr>
      <w:tr>
        <w:trPr>
          <w:trHeight w:val="234"/>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Share</w:t>
            </w:r>
          </w:p>
        </w:tc>
        <w:tc>
          <w:tcPr>
            <w:tcW w:w="160" w:type="dxa"/>
            <w:vAlign w:val="bottom"/>
          </w:tcPr>
          <w:p>
            <w:pPr>
              <w:spacing w:after="0"/>
              <w:rPr>
                <w:sz w:val="20"/>
                <w:szCs w:val="20"/>
                <w:color w:val="auto"/>
              </w:rPr>
            </w:pPr>
          </w:p>
        </w:tc>
        <w:tc>
          <w:tcPr>
            <w:tcW w:w="116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w:t>
            </w:r>
          </w:p>
        </w:tc>
      </w:tr>
      <w:tr>
        <w:trPr>
          <w:trHeight w:val="195"/>
        </w:trPr>
        <w:tc>
          <w:tcPr>
            <w:tcW w:w="3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(loss) attributable to Ultralife</w:t>
            </w: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Corporation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Deferred tax provision</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197"/>
        </w:trPr>
        <w:tc>
          <w:tcPr>
            <w:tcW w:w="3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16,238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16,133</w:t>
            </w:r>
          </w:p>
        </w:tc>
      </w:tr>
      <w:tr>
        <w:trPr>
          <w:trHeight w:val="432"/>
        </w:trPr>
        <w:tc>
          <w:tcPr>
            <w:tcW w:w="3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w w:val="94"/>
              </w:rPr>
              <w:t>Nine-Month Period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September 30, 2023</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 2022</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7"/>
              </w:rPr>
              <w:t>Per Basic</w:t>
            </w:r>
          </w:p>
        </w:tc>
        <w:tc>
          <w:tcPr>
            <w:tcW w:w="10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Per Diluted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7"/>
              </w:rPr>
              <w:t>Per Basic</w:t>
            </w:r>
          </w:p>
        </w:tc>
        <w:tc>
          <w:tcPr>
            <w:tcW w:w="100" w:type="dxa"/>
            <w:vAlign w:val="bottom"/>
          </w:tcPr>
          <w:p>
            <w:pPr>
              <w:spacing w:after="0"/>
              <w:rPr>
                <w:sz w:val="16"/>
                <w:szCs w:val="16"/>
                <w:color w:val="auto"/>
              </w:rPr>
            </w:pPr>
          </w:p>
        </w:tc>
        <w:tc>
          <w:tcPr>
            <w:tcW w:w="102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Per Diluted</w:t>
            </w:r>
          </w:p>
        </w:tc>
        <w:tc>
          <w:tcPr>
            <w:tcW w:w="100" w:type="dxa"/>
            <w:vAlign w:val="bottom"/>
          </w:tcPr>
          <w:p>
            <w:pPr>
              <w:spacing w:after="0"/>
              <w:rPr>
                <w:sz w:val="16"/>
                <w:szCs w:val="16"/>
                <w:color w:val="auto"/>
              </w:rPr>
            </w:pPr>
          </w:p>
        </w:tc>
      </w:tr>
      <w:tr>
        <w:trPr>
          <w:trHeight w:val="234"/>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Share</w:t>
            </w:r>
          </w:p>
        </w:tc>
        <w:tc>
          <w:tcPr>
            <w:tcW w:w="160" w:type="dxa"/>
            <w:vAlign w:val="bottom"/>
          </w:tcPr>
          <w:p>
            <w:pPr>
              <w:spacing w:after="0"/>
              <w:rPr>
                <w:sz w:val="20"/>
                <w:szCs w:val="20"/>
                <w:color w:val="auto"/>
              </w:rPr>
            </w:pPr>
          </w:p>
        </w:tc>
        <w:tc>
          <w:tcPr>
            <w:tcW w:w="116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w:t>
            </w:r>
          </w:p>
        </w:tc>
      </w:tr>
      <w:tr>
        <w:trPr>
          <w:trHeight w:val="195"/>
        </w:trPr>
        <w:tc>
          <w:tcPr>
            <w:tcW w:w="3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attributable to Ultralife</w:t>
            </w: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Corporation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Deferred tax provision (benefit)</w:t>
            </w:r>
          </w:p>
        </w:tc>
        <w:tc>
          <w:tcPr>
            <w:tcW w:w="1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(683)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196"/>
        </w:trPr>
        <w:tc>
          <w:tcPr>
            <w:tcW w:w="3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16,172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16,144</w:t>
            </w:r>
          </w:p>
        </w:tc>
      </w:tr>
      <w:tr>
        <w:trPr>
          <w:trHeight w:val="432"/>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2023, cash totaled $9,301 (including restricted cash of $78), an increase of $3,588 as compared to $5,713 of cash held at December 31, 2022, primarily attributable to draws on our credit facility and net income generated during the period.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nine-month period ended September 30, 2023, cash used in our operations was $503, as compared to $3,827 used in operations for the nine-month period ended September 30, 2022. For the 2023 period, cash provided by our operations was comprised of net income of $4,316 plus non-cash items totaling $4,662 for depreciation, amortization, stock-based compensation, and deferred taxes, largely offset by a $9,481 increase in net working capital. The increase in working capital was driven by the procurement of inventory to proactively manage our supply chain, reduce lead times and the impact of potential cost increases on components and raw materials, and enhance our position to service customer orders, as well as the effects of the January 2023 cyberattack.</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used in investing activities for the nine months ended September 30, 2023 was $1,547 for capital expenditures, primarily reflecting investments in equipment for new products transitioning to high-volume manufacturing.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financing activities for the nine months ended September 30, 2023 was $5,791, largely attributable to draws on our credit facility primarily attributable to advance purchases of certain critical raw materials, partially offset by principle payments on our term loan during the period, plus cash proceeds of $1,041 on stock option exercises under our stock-based compensation plans.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have significant U.S. net operating loss carryforwards available to utilize as an offset to future taxable income. See Note 6 to the consolidated financial statements of this Form 10-Q for additional information.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Going forward, we expect positive operating cash flow and the availability under our Revolving Credit Facility will be sufficient to meet our general funding requirements for the foreseeable future.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provide flexibility in accessing the capital market, the Company filed a shelf registration statement on Form S-3 on March 30, 2021, which was declared effective by the SEC on April 2, 2021. Under this registration statement, upon the filing of an appropriate supplemental prospectus, we may offer and sell certain of our securities from time to time in one or more offerings, at our discretion, of up to an aggregate offering price of $100 million. We intend to use the net proceeds resulting from any sales of our securities for general corporate purposes which may include, but are not limited to, potential acquisitions of complementary businesses or technologies, strategic capital expenditures to expand and protect our competitive position, and investments in the development of transformational, competitively-differentiated products for attractive growth markets.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 Company had $19,580 outstanding borrowings on the Revolving Credit Facility and $6,667 on the Term Loan Facility. The Company was in full compliance with all covenants under the Credit Facilities as of September 30,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we had made commitments to purchase approximately $925 of production machinery and equipment.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GAAP, but they also reflect management’s view of the most appropriate manner in which to record and report our overall financial performance. All accounting policies are important, and all policies described in Note 1 to the consolidated financial statements in our 2022 Annual Report on Form 10-K and subsequent Quarterly Reports on Form 10-Q should be reviewed for a greater understanding of how our financial performance is recorded and reported.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nine months of 2023, there were no significant changes in the manner in which our significant accounting policies were applied or in which related assumptions and estimates were developed, other than as described in Note 1 to the consolidated financial statements in Item 1 of Part I of this Form 10-Q.</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20" w:type="dxa"/>
            <w:vAlign w:val="bottom"/>
          </w:tcPr>
          <w:p>
            <w:pPr>
              <w:spacing w:after="0"/>
              <w:rPr>
                <w:sz w:val="20"/>
                <w:szCs w:val="20"/>
                <w:color w:val="auto"/>
              </w:rPr>
            </w:pPr>
          </w:p>
        </w:tc>
        <w:tc>
          <w:tcPr>
            <w:tcW w:w="6460" w:type="dxa"/>
            <w:vAlign w:val="bottom"/>
            <w:gridSpan w:val="6"/>
          </w:tcPr>
          <w:p>
            <w:pPr>
              <w:ind w:left="60"/>
              <w:spacing w:after="0"/>
              <w:rPr>
                <w:sz w:val="20"/>
                <w:szCs w:val="20"/>
                <w:color w:val="auto"/>
              </w:rPr>
            </w:pPr>
            <w:r>
              <w:rPr>
                <w:rFonts w:ascii="Arial" w:cs="Arial" w:eastAsia="Arial" w:hAnsi="Arial"/>
                <w:sz w:val="18"/>
                <w:szCs w:val="18"/>
                <w:b w:val="1"/>
                <w:bCs w:val="1"/>
                <w:color w:val="auto"/>
              </w:rPr>
              <w:t>OTHER INFORMATION</w:t>
            </w:r>
          </w:p>
        </w:tc>
        <w:tc>
          <w:tcPr>
            <w:tcW w:w="22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6580" w:type="dxa"/>
            <w:vAlign w:val="bottom"/>
            <w:gridSpan w:val="7"/>
          </w:tcPr>
          <w:p>
            <w:pPr>
              <w:ind w:left="20"/>
              <w:spacing w:after="0"/>
              <w:rPr>
                <w:sz w:val="20"/>
                <w:szCs w:val="20"/>
                <w:color w:val="auto"/>
              </w:rPr>
            </w:pPr>
            <w:r>
              <w:rPr>
                <w:rFonts w:ascii="Arial" w:cs="Arial" w:eastAsia="Arial" w:hAnsi="Arial"/>
                <w:sz w:val="18"/>
                <w:szCs w:val="18"/>
                <w:b w:val="1"/>
                <w:bCs w:val="1"/>
                <w:color w:val="auto"/>
              </w:rPr>
              <w:t>Exhibits</w:t>
            </w: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Exhibit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Index</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Exhibit Description</w:t>
            </w: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Incorporated by Reference from</w:t>
            </w:r>
          </w:p>
        </w:tc>
      </w:tr>
      <w:tr>
        <w:trPr>
          <w:trHeight w:val="169"/>
        </w:trPr>
        <w:tc>
          <w:tcPr>
            <w:tcW w:w="340" w:type="dxa"/>
            <w:vAlign w:val="bottom"/>
          </w:tcPr>
          <w:p>
            <w:pPr>
              <w:spacing w:after="0"/>
              <w:rPr>
                <w:sz w:val="14"/>
                <w:szCs w:val="14"/>
                <w:color w:val="auto"/>
              </w:rPr>
            </w:pPr>
          </w:p>
        </w:tc>
        <w:tc>
          <w:tcPr>
            <w:tcW w:w="6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31.1</w:t>
            </w: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360" w:type="dxa"/>
            <w:vAlign w:val="bottom"/>
            <w:tcBorders>
              <w:top w:val="single" w:sz="8" w:color="auto"/>
              <w:bottom w:val="single" w:sz="8" w:color="0000EE"/>
            </w:tcBorders>
            <w:gridSpan w:val="3"/>
          </w:tcPr>
          <w:p>
            <w:pPr>
              <w:spacing w:after="0" w:line="169" w:lineRule="exact"/>
              <w:rPr>
                <w:sz w:val="20"/>
                <w:szCs w:val="20"/>
                <w:color w:val="auto"/>
              </w:rPr>
            </w:pPr>
            <w:r>
              <w:rPr>
                <w:rFonts w:ascii="Arial" w:cs="Arial" w:eastAsia="Arial" w:hAnsi="Arial"/>
                <w:sz w:val="18"/>
                <w:szCs w:val="18"/>
                <w:color w:val="0000EE"/>
                <w:w w:val="91"/>
              </w:rPr>
              <w:t>Rule 13a-14(a) / 15d-14(a) CEO Certifications</w:t>
            </w:r>
          </w:p>
        </w:tc>
        <w:tc>
          <w:tcPr>
            <w:tcW w:w="25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Filed herewith</w:t>
            </w:r>
          </w:p>
        </w:tc>
      </w:tr>
      <w:tr>
        <w:trPr>
          <w:trHeight w:val="196"/>
        </w:trPr>
        <w:tc>
          <w:tcPr>
            <w:tcW w:w="9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60" w:type="dxa"/>
            <w:vAlign w:val="bottom"/>
            <w:gridSpan w:val="4"/>
          </w:tcPr>
          <w:p>
            <w:pPr>
              <w:spacing w:after="0" w:line="196" w:lineRule="exact"/>
              <w:rPr>
                <w:sz w:val="20"/>
                <w:szCs w:val="20"/>
                <w:color w:val="auto"/>
              </w:rPr>
            </w:pPr>
            <w:r>
              <w:rPr>
                <w:rFonts w:ascii="Arial" w:cs="Arial" w:eastAsia="Arial" w:hAnsi="Arial"/>
                <w:sz w:val="18"/>
                <w:szCs w:val="18"/>
                <w:color w:val="0000EE"/>
              </w:rPr>
              <w:t>Rule 13a-14(a) / 15d-14(a) CFO Certifications</w:t>
            </w:r>
          </w:p>
        </w:tc>
        <w:tc>
          <w:tcPr>
            <w:tcW w:w="370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Filed herewith</w:t>
            </w:r>
          </w:p>
        </w:tc>
      </w:tr>
      <w:tr>
        <w:trPr>
          <w:trHeight w:val="196"/>
        </w:trPr>
        <w:tc>
          <w:tcPr>
            <w:tcW w:w="9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Section 1350 Certifications</w:t>
            </w:r>
          </w:p>
        </w:tc>
        <w:tc>
          <w:tcPr>
            <w:tcW w:w="2520" w:type="dxa"/>
            <w:vAlign w:val="bottom"/>
            <w:gridSpan w:val="2"/>
          </w:tcPr>
          <w:p>
            <w:pPr>
              <w:spacing w:after="0"/>
              <w:rPr>
                <w:sz w:val="17"/>
                <w:szCs w:val="17"/>
                <w:color w:val="auto"/>
              </w:rPr>
            </w:pPr>
          </w:p>
        </w:tc>
        <w:tc>
          <w:tcPr>
            <w:tcW w:w="370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Furnished herewith</w:t>
            </w:r>
          </w:p>
        </w:tc>
      </w:tr>
      <w:tr>
        <w:trPr>
          <w:trHeight w:val="20"/>
        </w:trPr>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89"/>
              </w:rPr>
              <w:t>101.INS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Inline XBRL Instance Document</w:t>
            </w: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Filed herewith</w:t>
            </w:r>
          </w:p>
        </w:tc>
      </w:tr>
      <w:tr>
        <w:trPr>
          <w:trHeight w:val="216"/>
        </w:trPr>
        <w:tc>
          <w:tcPr>
            <w:tcW w:w="34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5"/>
              </w:rPr>
              <w:t>101.SCH</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Filed herewith</w:t>
            </w:r>
          </w:p>
        </w:tc>
      </w:tr>
      <w:tr>
        <w:trPr>
          <w:trHeight w:val="216"/>
        </w:trPr>
        <w:tc>
          <w:tcPr>
            <w:tcW w:w="34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9"/>
              </w:rPr>
              <w:t>101.CAL</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Filed herewith</w:t>
            </w:r>
          </w:p>
        </w:tc>
      </w:tr>
      <w:tr>
        <w:trPr>
          <w:trHeight w:val="216"/>
        </w:trPr>
        <w:tc>
          <w:tcPr>
            <w:tcW w:w="34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Filed herewith</w:t>
            </w:r>
          </w:p>
        </w:tc>
      </w:tr>
      <w:tr>
        <w:trPr>
          <w:trHeight w:val="216"/>
        </w:trPr>
        <w:tc>
          <w:tcPr>
            <w:tcW w:w="34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7"/>
              </w:rPr>
              <w:t>101.PRE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Filed herewith</w:t>
            </w:r>
          </w:p>
        </w:tc>
      </w:tr>
      <w:tr>
        <w:trPr>
          <w:trHeight w:val="216"/>
        </w:trPr>
        <w:tc>
          <w:tcPr>
            <w:tcW w:w="34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98"/>
              </w:rPr>
              <w:t>101.DEF</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Filed herewith</w:t>
            </w:r>
          </w:p>
        </w:tc>
      </w:tr>
      <w:tr>
        <w:trPr>
          <w:trHeight w:val="216"/>
        </w:trPr>
        <w:tc>
          <w:tcPr>
            <w:tcW w:w="940" w:type="dxa"/>
            <w:vAlign w:val="bottom"/>
            <w:gridSpan w:val="2"/>
          </w:tcPr>
          <w:p>
            <w:pPr>
              <w:ind w:left="3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w w:val="96"/>
              </w:rPr>
              <w:t>Cover Page Interactive Data File (formatted as Inline XBRL and contained in</w:t>
            </w:r>
          </w:p>
        </w:tc>
        <w:tc>
          <w:tcPr>
            <w:tcW w:w="3700" w:type="dxa"/>
            <w:vAlign w:val="bottom"/>
            <w:gridSpan w:val="2"/>
          </w:tcPr>
          <w:p>
            <w:pPr>
              <w:ind w:left="220"/>
              <w:spacing w:after="0"/>
              <w:rPr>
                <w:sz w:val="20"/>
                <w:szCs w:val="20"/>
                <w:color w:val="auto"/>
              </w:rPr>
            </w:pPr>
            <w:r>
              <w:rPr>
                <w:rFonts w:ascii="Arial" w:cs="Arial" w:eastAsia="Arial" w:hAnsi="Arial"/>
                <w:sz w:val="18"/>
                <w:szCs w:val="18"/>
                <w:color w:val="auto"/>
              </w:rPr>
              <w:t>Filed herewith</w:t>
            </w:r>
          </w:p>
        </w:tc>
      </w:tr>
      <w:tr>
        <w:trPr>
          <w:trHeight w:val="230"/>
        </w:trPr>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Exhibit 101)</w:t>
            </w:r>
          </w:p>
        </w:tc>
        <w:tc>
          <w:tcPr>
            <w:tcW w:w="220" w:type="dxa"/>
            <w:vAlign w:val="bottom"/>
          </w:tcPr>
          <w:p>
            <w:pPr>
              <w:spacing w:after="0"/>
              <w:rPr>
                <w:sz w:val="20"/>
                <w:szCs w:val="20"/>
                <w:color w:val="auto"/>
              </w:rPr>
            </w:pPr>
          </w:p>
        </w:tc>
        <w:tc>
          <w:tcPr>
            <w:tcW w:w="3480" w:type="dxa"/>
            <w:vAlign w:val="bottom"/>
          </w:tcPr>
          <w:p>
            <w:pPr>
              <w:spacing w:after="0"/>
              <w:rPr>
                <w:sz w:val="20"/>
                <w:szCs w:val="20"/>
                <w:color w:val="auto"/>
              </w:rPr>
            </w:pPr>
          </w:p>
        </w:tc>
      </w:tr>
    </w:tbl>
    <w:p>
      <w:pPr>
        <w:spacing w:after="0" w:line="20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Attached as Exhibit 101 to this report are the following formatted in iXBRL (Inline eXtensible Business Reporting Language): (i) Consolidated Balance Sheets as of September 30, 2023 and December 31, 2022, (ii) Consolidated Statements of Income (Loss) and Comprehensive Income (Loss) for the three and nine months ended September 30, 2023 and 2022, (iii) Consolidated Statements of Cash Flows for the nine months ended September 30, 2023 and 2022, (iv) Consolidated Statements of Changes in Shareholders’ Equity for the three and nine months ended September 30, 2023 and 2022, and (v) Notes to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5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rPr>
              <w:t>ULTRALIFE CORPORATION</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center"/>
              <w:ind w:right="450"/>
              <w:spacing w:after="0"/>
              <w:rPr>
                <w:sz w:val="20"/>
                <w:szCs w:val="20"/>
                <w:color w:val="auto"/>
              </w:rPr>
            </w:pPr>
            <w:r>
              <w:rPr>
                <w:rFonts w:ascii="Arial" w:cs="Arial" w:eastAsia="Arial" w:hAnsi="Arial"/>
                <w:sz w:val="18"/>
                <w:szCs w:val="18"/>
                <w:color w:val="auto"/>
                <w:w w:val="91"/>
              </w:rPr>
              <w:t>(Registrant)</w:t>
            </w:r>
          </w:p>
        </w:tc>
        <w:tc>
          <w:tcPr>
            <w:tcW w:w="0" w:type="dxa"/>
            <w:vAlign w:val="bottom"/>
          </w:tcPr>
          <w:p>
            <w:pPr>
              <w:spacing w:after="0"/>
              <w:rPr>
                <w:sz w:val="1"/>
                <w:szCs w:val="1"/>
                <w:color w:val="auto"/>
              </w:rPr>
            </w:pPr>
          </w:p>
        </w:tc>
      </w:tr>
      <w:tr>
        <w:trPr>
          <w:trHeight w:val="391"/>
        </w:trPr>
        <w:tc>
          <w:tcPr>
            <w:tcW w:w="3080" w:type="dxa"/>
            <w:vAlign w:val="bottom"/>
            <w:gridSpan w:val="3"/>
          </w:tcPr>
          <w:p>
            <w:pPr>
              <w:spacing w:after="0"/>
              <w:rPr>
                <w:sz w:val="20"/>
                <w:szCs w:val="20"/>
                <w:color w:val="auto"/>
              </w:rPr>
            </w:pPr>
            <w:r>
              <w:rPr>
                <w:rFonts w:ascii="Arial" w:cs="Arial" w:eastAsia="Arial" w:hAnsi="Arial"/>
                <w:sz w:val="18"/>
                <w:szCs w:val="18"/>
                <w:color w:val="auto"/>
              </w:rPr>
              <w:t>Date: October 26, 2023</w:t>
            </w:r>
          </w:p>
        </w:tc>
        <w:tc>
          <w:tcPr>
            <w:tcW w:w="5320" w:type="dxa"/>
            <w:vAlign w:val="bottom"/>
            <w:gridSpan w:val="4"/>
          </w:tcPr>
          <w:p>
            <w:pPr>
              <w:ind w:left="1420"/>
              <w:spacing w:after="0"/>
              <w:rPr>
                <w:sz w:val="20"/>
                <w:szCs w:val="20"/>
                <w:color w:val="auto"/>
              </w:rPr>
            </w:pPr>
            <w:r>
              <w:rPr>
                <w:rFonts w:ascii="Arial" w:cs="Arial" w:eastAsia="Arial" w:hAnsi="Arial"/>
                <w:sz w:val="18"/>
                <w:szCs w:val="18"/>
                <w:color w:val="auto"/>
              </w:rPr>
              <w:t>By: /s/ Michael E. Manna</w:t>
            </w: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0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Michael E. Manna</w:t>
            </w: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80" w:type="dxa"/>
            <w:vAlign w:val="bottom"/>
            <w:gridSpan w:val="3"/>
          </w:tcPr>
          <w:p>
            <w:pPr>
              <w:ind w:left="18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580" w:type="dxa"/>
            <w:vAlign w:val="bottom"/>
            <w:gridSpan w:val="3"/>
          </w:tcPr>
          <w:p>
            <w:pPr>
              <w:ind w:left="18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391"/>
        </w:trPr>
        <w:tc>
          <w:tcPr>
            <w:tcW w:w="3080" w:type="dxa"/>
            <w:vAlign w:val="bottom"/>
            <w:gridSpan w:val="3"/>
          </w:tcPr>
          <w:p>
            <w:pPr>
              <w:spacing w:after="0"/>
              <w:rPr>
                <w:sz w:val="20"/>
                <w:szCs w:val="20"/>
                <w:color w:val="auto"/>
              </w:rPr>
            </w:pPr>
            <w:r>
              <w:rPr>
                <w:rFonts w:ascii="Arial" w:cs="Arial" w:eastAsia="Arial" w:hAnsi="Arial"/>
                <w:sz w:val="18"/>
                <w:szCs w:val="18"/>
                <w:color w:val="auto"/>
              </w:rPr>
              <w:t>Date: October 26, 2023</w:t>
            </w:r>
          </w:p>
        </w:tc>
        <w:tc>
          <w:tcPr>
            <w:tcW w:w="5320" w:type="dxa"/>
            <w:vAlign w:val="bottom"/>
            <w:gridSpan w:val="4"/>
          </w:tcPr>
          <w:p>
            <w:pPr>
              <w:ind w:left="1420"/>
              <w:spacing w:after="0"/>
              <w:rPr>
                <w:sz w:val="20"/>
                <w:szCs w:val="20"/>
                <w:color w:val="auto"/>
              </w:rPr>
            </w:pPr>
            <w:r>
              <w:rPr>
                <w:rFonts w:ascii="Arial" w:cs="Arial" w:eastAsia="Arial" w:hAnsi="Arial"/>
                <w:sz w:val="18"/>
                <w:szCs w:val="18"/>
                <w:color w:val="auto"/>
              </w:rPr>
              <w:t>By: /s/ Philip A. Fain</w:t>
            </w:r>
          </w:p>
        </w:tc>
        <w:tc>
          <w:tcPr>
            <w:tcW w:w="0" w:type="dxa"/>
            <w:vAlign w:val="bottom"/>
          </w:tcPr>
          <w:p>
            <w:pPr>
              <w:spacing w:after="0"/>
              <w:rPr>
                <w:sz w:val="1"/>
                <w:szCs w:val="1"/>
                <w:color w:val="auto"/>
              </w:rPr>
            </w:pPr>
          </w:p>
        </w:tc>
      </w:tr>
      <w:tr>
        <w:trPr>
          <w:trHeight w:val="21"/>
        </w:trPr>
        <w:tc>
          <w:tcPr>
            <w:tcW w:w="4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0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Philip A. Fain</w:t>
            </w: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8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580" w:type="dxa"/>
            <w:vAlign w:val="bottom"/>
            <w:gridSpan w:val="3"/>
          </w:tcPr>
          <w:p>
            <w:pPr>
              <w:ind w:left="180"/>
              <w:spacing w:after="0"/>
              <w:rPr>
                <w:sz w:val="20"/>
                <w:szCs w:val="20"/>
                <w:color w:val="auto"/>
              </w:rPr>
            </w:pPr>
            <w:r>
              <w:rPr>
                <w:rFonts w:ascii="Arial" w:cs="Arial" w:eastAsia="Arial" w:hAnsi="Arial"/>
                <w:sz w:val="18"/>
                <w:szCs w:val="18"/>
                <w:color w:val="auto"/>
              </w:rPr>
              <w:t>(Principal Financial Officer and</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580" w:type="dxa"/>
            <w:vAlign w:val="bottom"/>
            <w:gridSpan w:val="3"/>
          </w:tcPr>
          <w:p>
            <w:pPr>
              <w:ind w:left="36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gridSpan w:val="2"/>
          </w:tcPr>
          <w:p>
            <w:pPr>
              <w:jc w:val="right"/>
              <w:ind w:right="730"/>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580" w:right="37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E. Manna, certify that:</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320" w:type="dxa"/>
            <w:vAlign w:val="bottom"/>
            <w:gridSpan w:val="3"/>
          </w:tcPr>
          <w:p>
            <w:pPr>
              <w:spacing w:after="0"/>
              <w:rPr>
                <w:sz w:val="20"/>
                <w:szCs w:val="20"/>
                <w:color w:val="auto"/>
              </w:rPr>
            </w:pPr>
            <w:r>
              <w:rPr>
                <w:rFonts w:ascii="Arial" w:cs="Arial" w:eastAsia="Arial" w:hAnsi="Arial"/>
                <w:sz w:val="18"/>
                <w:szCs w:val="18"/>
                <w:color w:val="auto"/>
              </w:rPr>
              <w:t>Date: October 26, 2023</w:t>
            </w:r>
          </w:p>
        </w:tc>
        <w:tc>
          <w:tcPr>
            <w:tcW w:w="6460" w:type="dxa"/>
            <w:vAlign w:val="bottom"/>
            <w:gridSpan w:val="2"/>
          </w:tcPr>
          <w:p>
            <w:pPr>
              <w:ind w:left="1640"/>
              <w:spacing w:after="0"/>
              <w:rPr>
                <w:sz w:val="20"/>
                <w:szCs w:val="20"/>
                <w:color w:val="auto"/>
              </w:rPr>
            </w:pPr>
            <w:r>
              <w:rPr>
                <w:rFonts w:ascii="Arial" w:cs="Arial" w:eastAsia="Arial" w:hAnsi="Arial"/>
                <w:sz w:val="18"/>
                <w:szCs w:val="18"/>
                <w:color w:val="auto"/>
              </w:rPr>
              <w:t>By: /s/ Michael E. Manna</w:t>
            </w:r>
          </w:p>
        </w:tc>
      </w:tr>
      <w:tr>
        <w:trPr>
          <w:trHeight w:val="21"/>
        </w:trPr>
        <w:tc>
          <w:tcPr>
            <w:tcW w:w="4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480" w:type="dxa"/>
            <w:vAlign w:val="bottom"/>
          </w:tcPr>
          <w:p>
            <w:pPr>
              <w:ind w:left="160"/>
              <w:spacing w:after="0" w:line="195" w:lineRule="exact"/>
              <w:rPr>
                <w:sz w:val="20"/>
                <w:szCs w:val="20"/>
                <w:color w:val="auto"/>
              </w:rPr>
            </w:pPr>
            <w:r>
              <w:rPr>
                <w:rFonts w:ascii="Arial" w:cs="Arial" w:eastAsia="Arial" w:hAnsi="Arial"/>
                <w:sz w:val="18"/>
                <w:szCs w:val="18"/>
                <w:color w:val="auto"/>
              </w:rPr>
              <w:t>Michael E. Manna</w:t>
            </w:r>
          </w:p>
        </w:tc>
      </w:tr>
      <w:tr>
        <w:trPr>
          <w:trHeight w:val="230"/>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320" w:type="dxa"/>
            <w:vAlign w:val="bottom"/>
            <w:gridSpan w:val="3"/>
          </w:tcPr>
          <w:p>
            <w:pPr>
              <w:spacing w:after="0"/>
              <w:rPr>
                <w:sz w:val="20"/>
                <w:szCs w:val="20"/>
                <w:color w:val="auto"/>
              </w:rPr>
            </w:pPr>
            <w:r>
              <w:rPr>
                <w:rFonts w:ascii="Arial" w:cs="Arial" w:eastAsia="Arial" w:hAnsi="Arial"/>
                <w:sz w:val="18"/>
                <w:szCs w:val="18"/>
                <w:color w:val="auto"/>
              </w:rPr>
              <w:t>Date: October 26, 2023</w:t>
            </w:r>
          </w:p>
        </w:tc>
        <w:tc>
          <w:tcPr>
            <w:tcW w:w="6460" w:type="dxa"/>
            <w:vAlign w:val="bottom"/>
            <w:gridSpan w:val="2"/>
          </w:tcPr>
          <w:p>
            <w:pPr>
              <w:ind w:left="1640"/>
              <w:spacing w:after="0"/>
              <w:rPr>
                <w:sz w:val="20"/>
                <w:szCs w:val="20"/>
                <w:color w:val="auto"/>
              </w:rPr>
            </w:pPr>
            <w:r>
              <w:rPr>
                <w:rFonts w:ascii="Arial" w:cs="Arial" w:eastAsia="Arial" w:hAnsi="Arial"/>
                <w:sz w:val="18"/>
                <w:szCs w:val="18"/>
                <w:color w:val="auto"/>
              </w:rPr>
              <w:t>By: /s/ Philip A. Fain</w:t>
            </w:r>
          </w:p>
        </w:tc>
      </w:tr>
      <w:tr>
        <w:trPr>
          <w:trHeight w:val="21"/>
        </w:trPr>
        <w:tc>
          <w:tcPr>
            <w:tcW w:w="4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480" w:type="dxa"/>
            <w:vAlign w:val="bottom"/>
          </w:tcPr>
          <w:p>
            <w:pPr>
              <w:ind w:left="160"/>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E. Manna and Philip A. Fain, the President and Chief Executive Officer and Chief Financial Officer and Treasurer, respectively, of Ultralife Corporation, certify that (i) the Quarterly Report on Form 10-Q for the quarter ended September 30, 2023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320" w:type="dxa"/>
            <w:vAlign w:val="bottom"/>
            <w:gridSpan w:val="3"/>
          </w:tcPr>
          <w:p>
            <w:pPr>
              <w:spacing w:after="0"/>
              <w:rPr>
                <w:sz w:val="20"/>
                <w:szCs w:val="20"/>
                <w:color w:val="auto"/>
              </w:rPr>
            </w:pPr>
            <w:r>
              <w:rPr>
                <w:rFonts w:ascii="Arial" w:cs="Arial" w:eastAsia="Arial" w:hAnsi="Arial"/>
                <w:sz w:val="18"/>
                <w:szCs w:val="18"/>
                <w:color w:val="auto"/>
              </w:rPr>
              <w:t>Date: October 26, 2023</w:t>
            </w:r>
          </w:p>
        </w:tc>
        <w:tc>
          <w:tcPr>
            <w:tcW w:w="6460" w:type="dxa"/>
            <w:vAlign w:val="bottom"/>
            <w:gridSpan w:val="2"/>
          </w:tcPr>
          <w:p>
            <w:pPr>
              <w:ind w:left="1640"/>
              <w:spacing w:after="0"/>
              <w:rPr>
                <w:sz w:val="20"/>
                <w:szCs w:val="20"/>
                <w:color w:val="auto"/>
              </w:rPr>
            </w:pPr>
            <w:r>
              <w:rPr>
                <w:rFonts w:ascii="Arial" w:cs="Arial" w:eastAsia="Arial" w:hAnsi="Arial"/>
                <w:sz w:val="18"/>
                <w:szCs w:val="18"/>
                <w:color w:val="auto"/>
              </w:rPr>
              <w:t>By: /s/ Michael E. Manna</w:t>
            </w:r>
          </w:p>
        </w:tc>
      </w:tr>
      <w:tr>
        <w:trPr>
          <w:trHeight w:val="21"/>
        </w:trPr>
        <w:tc>
          <w:tcPr>
            <w:tcW w:w="4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480" w:type="dxa"/>
            <w:vAlign w:val="bottom"/>
          </w:tcPr>
          <w:p>
            <w:pPr>
              <w:ind w:left="160"/>
              <w:spacing w:after="0" w:line="195" w:lineRule="exact"/>
              <w:rPr>
                <w:sz w:val="20"/>
                <w:szCs w:val="20"/>
                <w:color w:val="auto"/>
              </w:rPr>
            </w:pPr>
            <w:r>
              <w:rPr>
                <w:rFonts w:ascii="Arial" w:cs="Arial" w:eastAsia="Arial" w:hAnsi="Arial"/>
                <w:sz w:val="18"/>
                <w:szCs w:val="18"/>
                <w:color w:val="auto"/>
              </w:rPr>
              <w:t>Michael E. Manna</w:t>
            </w:r>
          </w:p>
        </w:tc>
      </w:tr>
      <w:tr>
        <w:trPr>
          <w:trHeight w:val="230"/>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r>
      <w:tr>
        <w:trPr>
          <w:trHeight w:val="391"/>
        </w:trPr>
        <w:tc>
          <w:tcPr>
            <w:tcW w:w="3320" w:type="dxa"/>
            <w:vAlign w:val="bottom"/>
            <w:gridSpan w:val="3"/>
          </w:tcPr>
          <w:p>
            <w:pPr>
              <w:spacing w:after="0"/>
              <w:rPr>
                <w:sz w:val="20"/>
                <w:szCs w:val="20"/>
                <w:color w:val="auto"/>
              </w:rPr>
            </w:pPr>
            <w:r>
              <w:rPr>
                <w:rFonts w:ascii="Arial" w:cs="Arial" w:eastAsia="Arial" w:hAnsi="Arial"/>
                <w:sz w:val="18"/>
                <w:szCs w:val="18"/>
                <w:color w:val="auto"/>
              </w:rPr>
              <w:t>Date: October 26, 2023</w:t>
            </w:r>
          </w:p>
        </w:tc>
        <w:tc>
          <w:tcPr>
            <w:tcW w:w="6460" w:type="dxa"/>
            <w:vAlign w:val="bottom"/>
            <w:gridSpan w:val="2"/>
          </w:tcPr>
          <w:p>
            <w:pPr>
              <w:ind w:left="1640"/>
              <w:spacing w:after="0"/>
              <w:rPr>
                <w:sz w:val="20"/>
                <w:szCs w:val="20"/>
                <w:color w:val="auto"/>
              </w:rPr>
            </w:pPr>
            <w:r>
              <w:rPr>
                <w:rFonts w:ascii="Arial" w:cs="Arial" w:eastAsia="Arial" w:hAnsi="Arial"/>
                <w:sz w:val="18"/>
                <w:szCs w:val="18"/>
                <w:color w:val="auto"/>
              </w:rPr>
              <w:t>By: /s/ Philip A. Fain</w:t>
            </w:r>
          </w:p>
        </w:tc>
      </w:tr>
      <w:tr>
        <w:trPr>
          <w:trHeight w:val="21"/>
        </w:trPr>
        <w:tc>
          <w:tcPr>
            <w:tcW w:w="4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480" w:type="dxa"/>
            <w:vAlign w:val="bottom"/>
          </w:tcPr>
          <w:p>
            <w:pPr>
              <w:ind w:left="160"/>
              <w:spacing w:after="0" w:line="195" w:lineRule="exact"/>
              <w:rPr>
                <w:sz w:val="20"/>
                <w:szCs w:val="20"/>
                <w:color w:val="auto"/>
              </w:rPr>
            </w:pPr>
            <w:r>
              <w:rPr>
                <w:rFonts w:ascii="Arial" w:cs="Arial" w:eastAsia="Arial" w:hAnsi="Arial"/>
                <w:sz w:val="18"/>
                <w:szCs w:val="18"/>
                <w:color w:val="auto"/>
              </w:rPr>
              <w:t>Philip A. Fain</w:t>
            </w:r>
          </w:p>
        </w:tc>
      </w:tr>
      <w:tr>
        <w:trPr>
          <w:trHeight w:val="230"/>
        </w:trPr>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6"/>
    </w:lvl>
  </w:abstractNum>
  <w:abstractNum w:abstractNumId="7">
    <w:nsid w:val="1F16E9E8"/>
    <w:multiLevelType w:val="hybridMultilevel"/>
    <w:lvl w:ilvl="0">
      <w:lvlJc w:val="left"/>
      <w:lvlText w:val="%1."/>
      <w:numFmt w:val="decimal"/>
      <w:start w:val="7"/>
    </w:lvl>
  </w:abstractNum>
  <w:abstractNum w:abstractNumId="8">
    <w:nsid w:val="1190CDE7"/>
    <w:multiLevelType w:val="hybridMultilevel"/>
    <w:lvl w:ilvl="0">
      <w:lvlJc w:val="left"/>
      <w:lvlText w:val="%1."/>
      <w:numFmt w:val="decimal"/>
      <w:start w:val="8"/>
    </w:lvl>
  </w:abstractNum>
  <w:abstractNum w:abstractNumId="9">
    <w:nsid w:val="66EF438D"/>
    <w:multiLevelType w:val="hybridMultilevel"/>
    <w:lvl w:ilvl="0">
      <w:lvlJc w:val="left"/>
      <w:lvlText w:val="%1."/>
      <w:numFmt w:val="decimal"/>
      <w:start w:val="9"/>
    </w:lvl>
  </w:abstractNum>
  <w:abstractNum w:abstractNumId="10">
    <w:nsid w:val="140E0F76"/>
    <w:multiLevelType w:val="hybridMultilevel"/>
    <w:lvl w:ilvl="0">
      <w:lvlJc w:val="left"/>
      <w:lvlText w:val="1"/>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2023-10-26T06:43:39Z</dcterms:created>
  <dcterms:modified xsi:type="dcterms:W3CDTF">2023-10-26T06:43:39Z</dcterms:modified>
</cp:coreProperties>
</file>