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345440</wp:posOffset>
            </wp:positionV>
            <wp:extent cx="72472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405130</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QUARTERLY REPORT PURSUANT TO SECTION 13 OR 15(d) OF THE SECURITIES EXCHANGE ACT OF 1934</w:t>
      </w:r>
    </w:p>
    <w:p>
      <w:pPr>
        <w:spacing w:after="0" w:line="210" w:lineRule="exact"/>
        <w:rPr>
          <w:rFonts w:ascii="MS PGothic" w:cs="MS PGothic" w:eastAsia="MS PGothic" w:hAnsi="MS PGothic"/>
          <w:sz w:val="18"/>
          <w:szCs w:val="18"/>
          <w:color w:val="auto"/>
          <w:highlight w:val="black"/>
        </w:rPr>
      </w:pPr>
    </w:p>
    <w:p>
      <w:pPr>
        <w:ind w:left="402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fiscal quarter ended March 31, 2019</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color w:val="auto"/>
        </w:rPr>
        <w:t>TRANSITION REPORT PURSUANT TO SECTION 13 OR 15(d) OF THE SECURITIES EXCHANGE ACT OF 1934</w:t>
      </w:r>
    </w:p>
    <w:p>
      <w:pPr>
        <w:spacing w:after="0" w:line="214"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For the transition period from ____________ to ____________</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0-20852</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ULTRALIFE CORPORATION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4" w:lineRule="exact"/>
        <w:rPr>
          <w:sz w:val="24"/>
          <w:szCs w:val="24"/>
          <w:color w:val="auto"/>
        </w:rPr>
      </w:pPr>
    </w:p>
    <w:tbl>
      <w:tblPr>
        <w:tblLayout w:type="fixed"/>
        <w:tblInd w:w="900" w:type="dxa"/>
        <w:tblCellMar>
          <w:top w:w="0" w:type="dxa"/>
          <w:left w:w="0" w:type="dxa"/>
          <w:bottom w:w="0" w:type="dxa"/>
          <w:right w:w="0" w:type="dxa"/>
        </w:tblCellMar>
      </w:tblPr>
      <w:tr>
        <w:trPr>
          <w:trHeight w:val="219"/>
        </w:trPr>
        <w:tc>
          <w:tcPr>
            <w:tcW w:w="510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Delaware</w:t>
            </w:r>
          </w:p>
        </w:tc>
        <w:tc>
          <w:tcPr>
            <w:tcW w:w="4640" w:type="dxa"/>
            <w:vAlign w:val="bottom"/>
          </w:tcPr>
          <w:p>
            <w:pPr>
              <w:jc w:val="center"/>
              <w:ind w:left="690"/>
              <w:spacing w:after="0"/>
              <w:rPr>
                <w:sz w:val="20"/>
                <w:szCs w:val="20"/>
                <w:color w:val="auto"/>
              </w:rPr>
            </w:pPr>
            <w:r>
              <w:rPr>
                <w:rFonts w:ascii="Arial" w:cs="Arial" w:eastAsia="Arial" w:hAnsi="Arial"/>
                <w:sz w:val="18"/>
                <w:szCs w:val="18"/>
                <w:b w:val="1"/>
                <w:bCs w:val="1"/>
                <w:color w:val="auto"/>
                <w:w w:val="89"/>
              </w:rPr>
              <w:t>16-1387013</w:t>
            </w:r>
          </w:p>
        </w:tc>
      </w:tr>
      <w:tr>
        <w:trPr>
          <w:trHeight w:val="230"/>
        </w:trPr>
        <w:tc>
          <w:tcPr>
            <w:tcW w:w="5100" w:type="dxa"/>
            <w:vAlign w:val="bottom"/>
          </w:tcPr>
          <w:p>
            <w:pPr>
              <w:jc w:val="center"/>
              <w:ind w:right="730"/>
              <w:spacing w:after="0"/>
              <w:rPr>
                <w:sz w:val="20"/>
                <w:szCs w:val="20"/>
                <w:color w:val="auto"/>
              </w:rPr>
            </w:pPr>
            <w:r>
              <w:rPr>
                <w:rFonts w:ascii="Arial" w:cs="Arial" w:eastAsia="Arial" w:hAnsi="Arial"/>
                <w:sz w:val="18"/>
                <w:szCs w:val="18"/>
                <w:color w:val="auto"/>
                <w:w w:val="92"/>
              </w:rPr>
              <w:t>(State or other jurisdiction of incorporation of organization)</w:t>
            </w:r>
          </w:p>
        </w:tc>
        <w:tc>
          <w:tcPr>
            <w:tcW w:w="4640" w:type="dxa"/>
            <w:vAlign w:val="bottom"/>
          </w:tcPr>
          <w:p>
            <w:pPr>
              <w:jc w:val="center"/>
              <w:ind w:left="710"/>
              <w:spacing w:after="0"/>
              <w:rPr>
                <w:sz w:val="20"/>
                <w:szCs w:val="20"/>
                <w:color w:val="auto"/>
              </w:rPr>
            </w:pPr>
            <w:r>
              <w:rPr>
                <w:rFonts w:ascii="Arial" w:cs="Arial" w:eastAsia="Arial" w:hAnsi="Arial"/>
                <w:sz w:val="18"/>
                <w:szCs w:val="18"/>
                <w:color w:val="auto"/>
                <w:w w:val="93"/>
              </w:rPr>
              <w:t>(I.R.S. Employer Identification No.)</w:t>
            </w:r>
          </w:p>
        </w:tc>
      </w:tr>
      <w:tr>
        <w:trPr>
          <w:trHeight w:val="416"/>
        </w:trPr>
        <w:tc>
          <w:tcPr>
            <w:tcW w:w="5100" w:type="dxa"/>
            <w:vAlign w:val="bottom"/>
          </w:tcPr>
          <w:p>
            <w:pPr>
              <w:jc w:val="center"/>
              <w:ind w:right="730"/>
              <w:spacing w:after="0"/>
              <w:rPr>
                <w:sz w:val="20"/>
                <w:szCs w:val="20"/>
                <w:color w:val="auto"/>
              </w:rPr>
            </w:pPr>
            <w:r>
              <w:rPr>
                <w:rFonts w:ascii="Arial" w:cs="Arial" w:eastAsia="Arial" w:hAnsi="Arial"/>
                <w:sz w:val="18"/>
                <w:szCs w:val="18"/>
                <w:b w:val="1"/>
                <w:bCs w:val="1"/>
                <w:color w:val="auto"/>
                <w:w w:val="90"/>
              </w:rPr>
              <w:t>2000 Technology Parkway Newark, New York 14513</w:t>
            </w:r>
          </w:p>
        </w:tc>
        <w:tc>
          <w:tcPr>
            <w:tcW w:w="4640" w:type="dxa"/>
            <w:vAlign w:val="bottom"/>
          </w:tcPr>
          <w:p>
            <w:pPr>
              <w:jc w:val="center"/>
              <w:ind w:left="670"/>
              <w:spacing w:after="0"/>
              <w:rPr>
                <w:sz w:val="20"/>
                <w:szCs w:val="20"/>
                <w:color w:val="auto"/>
              </w:rPr>
            </w:pPr>
            <w:r>
              <w:rPr>
                <w:rFonts w:ascii="Arial" w:cs="Arial" w:eastAsia="Arial" w:hAnsi="Arial"/>
                <w:sz w:val="18"/>
                <w:szCs w:val="18"/>
                <w:b w:val="1"/>
                <w:bCs w:val="1"/>
                <w:color w:val="auto"/>
                <w:w w:val="90"/>
              </w:rPr>
              <w:t>(315) 332-7100</w:t>
            </w:r>
          </w:p>
        </w:tc>
      </w:tr>
      <w:tr>
        <w:trPr>
          <w:trHeight w:val="230"/>
        </w:trPr>
        <w:tc>
          <w:tcPr>
            <w:tcW w:w="5100" w:type="dxa"/>
            <w:vAlign w:val="bottom"/>
          </w:tcPr>
          <w:p>
            <w:pPr>
              <w:jc w:val="center"/>
              <w:ind w:right="730"/>
              <w:spacing w:after="0"/>
              <w:rPr>
                <w:sz w:val="20"/>
                <w:szCs w:val="20"/>
                <w:color w:val="auto"/>
              </w:rPr>
            </w:pPr>
            <w:r>
              <w:rPr>
                <w:rFonts w:ascii="Arial" w:cs="Arial" w:eastAsia="Arial" w:hAnsi="Arial"/>
                <w:sz w:val="18"/>
                <w:szCs w:val="18"/>
                <w:color w:val="auto"/>
                <w:w w:val="92"/>
              </w:rPr>
              <w:t>(Address of principal executive offices) (Zip Code)</w:t>
            </w:r>
          </w:p>
        </w:tc>
        <w:tc>
          <w:tcPr>
            <w:tcW w:w="4640" w:type="dxa"/>
            <w:vAlign w:val="bottom"/>
          </w:tcPr>
          <w:p>
            <w:pPr>
              <w:jc w:val="center"/>
              <w:ind w:left="710"/>
              <w:spacing w:after="0"/>
              <w:rPr>
                <w:sz w:val="20"/>
                <w:szCs w:val="20"/>
                <w:color w:val="auto"/>
              </w:rPr>
            </w:pPr>
            <w:r>
              <w:rPr>
                <w:rFonts w:ascii="Arial" w:cs="Arial" w:eastAsia="Arial" w:hAnsi="Arial"/>
                <w:sz w:val="18"/>
                <w:szCs w:val="18"/>
                <w:color w:val="auto"/>
                <w:w w:val="89"/>
              </w:rPr>
              <w:t>(Registrant's telephone number, including area code:)</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902" w:right="239" w:bottom="101" w:gutter="0" w:footer="0" w:header="0"/>
        </w:sectPr>
      </w:pPr>
    </w:p>
    <w:p>
      <w:pPr>
        <w:spacing w:after="0" w:line="220"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Common Stock, $0.10 par value per share</w:t>
      </w:r>
    </w:p>
    <w:p>
      <w:pPr>
        <w:spacing w:after="0" w:line="50"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ULBI</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NASDAQ</w:t>
      </w:r>
    </w:p>
    <w:p>
      <w:pPr>
        <w:spacing w:after="0" w:line="27" w:lineRule="exact"/>
        <w:rPr>
          <w:sz w:val="24"/>
          <w:szCs w:val="24"/>
          <w:color w:val="auto"/>
        </w:rPr>
      </w:pPr>
    </w:p>
    <w:p>
      <w:pPr>
        <w:jc w:val="center"/>
        <w:ind w:right="260"/>
        <w:spacing w:after="0"/>
        <w:rPr>
          <w:sz w:val="20"/>
          <w:szCs w:val="20"/>
          <w:color w:val="auto"/>
        </w:rPr>
      </w:pPr>
      <w:r>
        <w:rPr>
          <w:rFonts w:ascii="Arial" w:cs="Arial" w:eastAsia="Arial" w:hAnsi="Arial"/>
          <w:sz w:val="16"/>
          <w:szCs w:val="16"/>
          <w:color w:val="auto"/>
        </w:rPr>
        <w:t>(Name of each exchange on which registered)</w:t>
      </w:r>
    </w:p>
    <w:p>
      <w:pPr>
        <w:spacing w:after="0" w:line="222" w:lineRule="exact"/>
        <w:rPr>
          <w:sz w:val="24"/>
          <w:szCs w:val="24"/>
          <w:color w:val="auto"/>
        </w:rPr>
      </w:pPr>
    </w:p>
    <w:p>
      <w:pPr>
        <w:sectPr>
          <w:pgSz w:w="11900" w:h="16838" w:orient="portrait"/>
          <w:cols w:equalWidth="0" w:num="3">
            <w:col w:w="4340" w:space="720"/>
            <w:col w:w="2080" w:space="720"/>
            <w:col w:w="3560"/>
          </w:cols>
          <w:pgMar w:left="240" w:top="902" w:right="239" w:bottom="101" w:gutter="0" w:footer="0" w:header="0"/>
          <w:type w:val="continuous"/>
        </w:sectPr>
      </w:pPr>
    </w:p>
    <w:p>
      <w:pPr>
        <w:spacing w:after="0" w:line="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jc w:val="both"/>
        <w:spacing w:after="0" w:line="28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2"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highlight w:val="black"/>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4" w:lineRule="exact"/>
        <w:rPr>
          <w:sz w:val="24"/>
          <w:szCs w:val="24"/>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902" w:right="239" w:bottom="101" w:gutter="0" w:footer="0" w:header="0"/>
          <w:type w:val="continuous"/>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42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ectPr>
          <w:pgSz w:w="11900" w:h="16838" w:orient="portrait"/>
          <w:cols w:equalWidth="0" w:num="2">
            <w:col w:w="5020" w:space="720"/>
            <w:col w:w="5680"/>
          </w:cols>
          <w:pgMar w:left="240" w:top="902" w:right="239" w:bottom="101" w:gutter="0" w:footer="0" w:header="0"/>
          <w:type w:val="continuous"/>
        </w:sectPr>
      </w:pPr>
    </w:p>
    <w:p>
      <w:pPr>
        <w:spacing w:after="0" w:line="4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ectPr>
          <w:pgSz w:w="11900" w:h="16838" w:orient="portrait"/>
          <w:cols w:equalWidth="0" w:num="2">
            <w:col w:w="5020" w:space="720"/>
            <w:col w:w="5680"/>
          </w:cols>
          <w:pgMar w:left="240" w:top="902" w:right="239" w:bottom="101" w:gutter="0" w:footer="0" w:header="0"/>
          <w:type w:val="continuous"/>
        </w:sectPr>
      </w:pPr>
    </w:p>
    <w:p>
      <w:pPr>
        <w:spacing w:after="0" w:line="47" w:lineRule="exact"/>
        <w:rPr>
          <w:sz w:val="24"/>
          <w:szCs w:val="24"/>
          <w:color w:val="auto"/>
        </w:rPr>
      </w:pPr>
    </w:p>
    <w:p>
      <w:pPr>
        <w:ind w:left="57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902" w:right="239" w:bottom="101" w:gutter="0" w:footer="0" w:header="0"/>
          <w:type w:val="continuous"/>
        </w:sectPr>
      </w:pPr>
    </w:p>
    <w:p>
      <w:pPr>
        <w:spacing w:after="0" w:line="279"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r>
        <w:rPr>
          <w:rFonts w:ascii="MS PGothic" w:cs="MS PGothic" w:eastAsia="MS PGothic" w:hAnsi="MS PGothic"/>
          <w:sz w:val="18"/>
          <w:szCs w:val="18"/>
          <w:color w:val="auto"/>
          <w:highlight w:val="black"/>
        </w:rPr>
        <w:t>☒</w:t>
      </w:r>
    </w:p>
    <w:p>
      <w:pPr>
        <w:spacing w:after="0" w:line="25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APPLICABLE ONLY TO ISSUERS INVOLVED IN BANKRUPTCY PROCEEDINGS DURING THE PRECEDING FIVE YEARS: 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Not applicable</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APPLICABLE ONLY TO CORPORATE ISSUERS:</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As of April 30, 2019, the registrant had 15,736,668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7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wp:posOffset>
            </wp:positionV>
            <wp:extent cx="72472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902" w:right="239" w:bottom="10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940" w:type="dxa"/>
            <w:vAlign w:val="bottom"/>
          </w:tcPr>
          <w:p>
            <w:pPr>
              <w:jc w:val="center"/>
              <w:ind w:right="70"/>
              <w:spacing w:after="0"/>
              <w:rPr>
                <w:sz w:val="20"/>
                <w:szCs w:val="20"/>
                <w:color w:val="auto"/>
              </w:rPr>
            </w:pPr>
            <w:r>
              <w:rPr>
                <w:rFonts w:ascii="Arial" w:cs="Arial" w:eastAsia="Arial" w:hAnsi="Arial"/>
                <w:sz w:val="18"/>
                <w:szCs w:val="18"/>
                <w:b w:val="1"/>
                <w:bCs w:val="1"/>
                <w:color w:val="auto"/>
              </w:rPr>
              <w:t>ULTRALIFE CORPORATION AND SUBSIDIARIES</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940" w:type="dxa"/>
            <w:vAlign w:val="bottom"/>
          </w:tcPr>
          <w:p>
            <w:pPr>
              <w:jc w:val="center"/>
              <w:ind w:right="70"/>
              <w:spacing w:after="0"/>
              <w:rPr>
                <w:sz w:val="20"/>
                <w:szCs w:val="20"/>
                <w:color w:val="auto"/>
              </w:rPr>
            </w:pPr>
            <w:r>
              <w:rPr>
                <w:rFonts w:ascii="Arial" w:cs="Arial" w:eastAsia="Arial" w:hAnsi="Arial"/>
                <w:sz w:val="18"/>
                <w:szCs w:val="18"/>
                <w:b w:val="1"/>
                <w:bCs w:val="1"/>
                <w:color w:val="auto"/>
              </w:rPr>
              <w:t>INDEX</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940" w:type="dxa"/>
            <w:vAlign w:val="bottom"/>
          </w:tcPr>
          <w:p>
            <w:pPr>
              <w:spacing w:after="0"/>
              <w:rPr>
                <w:sz w:val="24"/>
                <w:szCs w:val="24"/>
                <w:color w:val="auto"/>
              </w:rPr>
            </w:pPr>
          </w:p>
        </w:tc>
        <w:tc>
          <w:tcPr>
            <w:tcW w:w="660" w:type="dxa"/>
            <w:vAlign w:val="bottom"/>
            <w:gridSpan w:val="3"/>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9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Financial Statements (unaudited):</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Balance Sheets as of March 31, 2019 and December 31, 2018</w:t>
            </w:r>
          </w:p>
        </w:tc>
        <w:tc>
          <w:tcPr>
            <w:tcW w:w="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9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Consolidated Statements of Income and Comprehensive Income for the Three Month Periods Ended March 31, 2019 and April 1, 2018</w:t>
            </w:r>
          </w:p>
        </w:tc>
        <w:tc>
          <w:tcPr>
            <w:tcW w:w="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Statements of Cash Flows for the Three Month Periods Ended March 31, 2019 and April 1, 2018</w:t>
            </w:r>
          </w:p>
        </w:tc>
        <w:tc>
          <w:tcPr>
            <w:tcW w:w="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9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Consolidated Statements of Changes in Shareholders’ Equity for the Three Month Periods Ended March 31, 2019 and April 1, 2018</w:t>
            </w:r>
          </w:p>
        </w:tc>
        <w:tc>
          <w:tcPr>
            <w:tcW w:w="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Notes to Consolidated Financial Statements</w:t>
            </w:r>
          </w:p>
        </w:tc>
        <w:tc>
          <w:tcPr>
            <w:tcW w:w="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Controls and Procedures</w:t>
            </w:r>
          </w:p>
        </w:tc>
        <w:tc>
          <w:tcPr>
            <w:tcW w:w="5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9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OTHER INFORMATION</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5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Exhibits</w:t>
            </w:r>
          </w:p>
        </w:tc>
        <w:tc>
          <w:tcPr>
            <w:tcW w:w="5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Signatures</w:t>
            </w:r>
          </w:p>
        </w:tc>
        <w:tc>
          <w:tcPr>
            <w:tcW w:w="5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940" w:type="dxa"/>
            <w:vAlign w:val="bottom"/>
          </w:tcPr>
          <w:p>
            <w:pPr>
              <w:jc w:val="center"/>
              <w:ind w:right="7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9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1" w:right="239" w:bottom="1440" w:gutter="0" w:footer="0" w:header="0"/>
        </w:sectPr>
      </w:pPr>
    </w:p>
    <w:bookmarkStart w:id="2" w:name="page3"/>
    <w:bookmarkEnd w:id="2"/>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90"/>
              </w:rPr>
              <w:t xml:space="preserve">Adjusted </w:t>
            </w: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w w:val="99"/>
              </w:rPr>
              <w:t>Trade Accounts Receivable, Net of Allowance for Doubtful Accounts of $302 and $296, Respectively</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16,015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Property, Equipment and Improvements,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6,504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120,951</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Accrued Compensation and Related Benefits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15,386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 Par Value $.10 Per Share; Authorized 40,000,000 Shares; Issued – 20,134,596</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w w:val="97"/>
              </w:rPr>
              <w:t>Shares at March 31, 2019 and 20,053,335 Shares at December 31, 2018; Outstanding – 15,733,414</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at March 31, 2019 and 15,920,585 at December 31, 2018</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Capital in Excess of Par Value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183,163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182,630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(57,610)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(2,351)</w:t>
            </w: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Treasury Stock - At Cost; 4,401,182 at March 31, 2019 and 4,132,750 Shares at December 31, 2018</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(21,231)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Total Ultralife Corporation Equity</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103,984</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104,548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103,923</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104,463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120,951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120,848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500" w:right="260" w:hanging="492"/>
        <w:spacing w:after="0" w:line="276"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Effective January 1, 2019, the Company adopted Accounting Standards Codification Topic 842 (ASC 842), </w:t>
      </w:r>
      <w:r>
        <w:rPr>
          <w:rFonts w:ascii="Arial" w:cs="Arial" w:eastAsia="Arial" w:hAnsi="Arial"/>
          <w:sz w:val="18"/>
          <w:szCs w:val="18"/>
          <w:i w:val="1"/>
          <w:iCs w:val="1"/>
          <w:color w:val="auto"/>
        </w:rPr>
        <w:t>Leases</w:t>
      </w:r>
      <w:r>
        <w:rPr>
          <w:rFonts w:ascii="Arial" w:cs="Arial" w:eastAsia="Arial" w:hAnsi="Arial"/>
          <w:sz w:val="18"/>
          <w:szCs w:val="18"/>
          <w:color w:val="auto"/>
        </w:rPr>
        <w:t>. Prior period balances have been adjusted for the effects of the new standard. See Note 1 for further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Three Month Periods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580"/>
              <w:spacing w:after="0" w:line="190" w:lineRule="exact"/>
              <w:rPr>
                <w:sz w:val="20"/>
                <w:szCs w:val="20"/>
                <w:color w:val="auto"/>
              </w:rPr>
            </w:pPr>
            <w:r>
              <w:rPr>
                <w:rFonts w:ascii="Arial" w:cs="Arial" w:eastAsia="Arial" w:hAnsi="Arial"/>
                <w:sz w:val="18"/>
                <w:szCs w:val="18"/>
                <w:b w:val="1"/>
                <w:bCs w:val="1"/>
                <w:color w:val="auto"/>
              </w:rPr>
              <w:t>March 31,</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50"/>
              <w:spacing w:after="0" w:line="190" w:lineRule="exact"/>
              <w:rPr>
                <w:sz w:val="20"/>
                <w:szCs w:val="20"/>
                <w:color w:val="auto"/>
              </w:rPr>
            </w:pPr>
            <w:r>
              <w:rPr>
                <w:rFonts w:ascii="Arial" w:cs="Arial" w:eastAsia="Arial" w:hAnsi="Arial"/>
                <w:sz w:val="18"/>
                <w:szCs w:val="18"/>
                <w:b w:val="1"/>
                <w:bCs w:val="1"/>
                <w:color w:val="auto"/>
              </w:rPr>
              <w:t>April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18,882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13,798</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Gross Profit</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5,084</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1,036</w:t>
            </w: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4,536</w:t>
            </w: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4,926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548</w:t>
            </w: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Other Expenses: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and Financing Expense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tcPr>
          <w:p>
            <w:pPr>
              <w:ind w:left="140"/>
              <w:spacing w:after="0"/>
              <w:rPr>
                <w:sz w:val="20"/>
                <w:szCs w:val="20"/>
                <w:color w:val="auto"/>
              </w:rPr>
            </w:pPr>
            <w:r>
              <w:rPr>
                <w:rFonts w:ascii="Arial" w:cs="Arial" w:eastAsia="Arial" w:hAnsi="Arial"/>
                <w:sz w:val="18"/>
                <w:szCs w:val="18"/>
                <w:color w:val="auto"/>
              </w:rPr>
              <w:t>Miscellaneous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Other Expenses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 Provision</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Income Tax Provision</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Net Income Attributable to Ultralife Corporation</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Ultralife Corporation</w:t>
            </w: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1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Per Share Attributable to Ultralife Common Shareholders – Basic</w:t>
            </w: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1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 Attributable to Ultralife Common Shareholders – Diluted</w:t>
            </w: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2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15,740</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tcPr>
          <w:p>
            <w:pPr>
              <w:ind w:left="140"/>
              <w:spacing w:after="0"/>
              <w:rPr>
                <w:sz w:val="20"/>
                <w:szCs w:val="20"/>
                <w:color w:val="auto"/>
              </w:rPr>
            </w:pPr>
            <w:r>
              <w:rPr>
                <w:rFonts w:ascii="Arial" w:cs="Arial" w:eastAsia="Arial" w:hAnsi="Arial"/>
                <w:sz w:val="18"/>
                <w:szCs w:val="18"/>
                <w:color w:val="auto"/>
              </w:rPr>
              <w:t>Potential Common Shares</w:t>
            </w:r>
          </w:p>
        </w:tc>
        <w:tc>
          <w:tcPr>
            <w:tcW w:w="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8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 Periods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580"/>
              <w:spacing w:after="0" w:line="190" w:lineRule="exact"/>
              <w:rPr>
                <w:sz w:val="20"/>
                <w:szCs w:val="20"/>
                <w:color w:val="auto"/>
              </w:rPr>
            </w:pPr>
            <w:r>
              <w:rPr>
                <w:rFonts w:ascii="Arial" w:cs="Arial" w:eastAsia="Arial" w:hAnsi="Arial"/>
                <w:sz w:val="18"/>
                <w:szCs w:val="18"/>
                <w:b w:val="1"/>
                <w:bCs w:val="1"/>
                <w:color w:val="auto"/>
              </w:rPr>
              <w:t>March 31,</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50"/>
              <w:spacing w:after="0" w:line="190" w:lineRule="exact"/>
              <w:rPr>
                <w:sz w:val="20"/>
                <w:szCs w:val="20"/>
                <w:color w:val="auto"/>
              </w:rPr>
            </w:pPr>
            <w:r>
              <w:rPr>
                <w:rFonts w:ascii="Arial" w:cs="Arial" w:eastAsia="Arial" w:hAnsi="Arial"/>
                <w:sz w:val="18"/>
                <w:szCs w:val="18"/>
                <w:b w:val="1"/>
                <w:bCs w:val="1"/>
                <w:color w:val="auto"/>
              </w:rPr>
              <w:t>April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Adjustments to Reconcile Net Income to Net Cash (Used In) Provided By Operating Activities: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447</w:t>
            </w: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Intangible Assets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Arial" w:cs="Arial" w:eastAsia="Arial" w:hAnsi="Arial"/>
                <w:sz w:val="18"/>
                <w:szCs w:val="18"/>
                <w:color w:val="auto"/>
              </w:rPr>
              <w:t>Amortization of Financing Fees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Arial" w:cs="Arial" w:eastAsia="Arial" w:hAnsi="Arial"/>
                <w:sz w:val="18"/>
                <w:szCs w:val="18"/>
                <w:color w:val="auto"/>
              </w:rPr>
              <w:t>Deferred Income Taxes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2,076</w:t>
            </w: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(4,963)</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Prepaid Expenses and Other Assets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and Other Liabilities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Arial" w:cs="Arial" w:eastAsia="Arial" w:hAnsi="Arial"/>
                <w:sz w:val="18"/>
                <w:szCs w:val="18"/>
                <w:color w:val="auto"/>
              </w:rPr>
              <w:t>Net Cash Used In Operating Activities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(545)</w:t>
            </w: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Equipment and Improvements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(2,581)</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(2,581)</w:t>
            </w: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to Repurchase Common Stock</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(1,957)</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Arial" w:cs="Arial" w:eastAsia="Arial" w:hAnsi="Arial"/>
                <w:sz w:val="18"/>
                <w:szCs w:val="18"/>
                <w:color w:val="auto"/>
              </w:rPr>
              <w:t>Proceeds from Exercise of Stock Option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Withholdings on Stock-Based Awards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Arial" w:cs="Arial" w:eastAsia="Arial" w:hAnsi="Arial"/>
                <w:sz w:val="18"/>
                <w:szCs w:val="18"/>
                <w:color w:val="auto"/>
              </w:rPr>
              <w:t>Net Cash (Used In) Provided By Financing Activities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(1,609)</w:t>
            </w: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DECREASE IN CASH</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(4,694)</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8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00" w:type="dxa"/>
            <w:vAlign w:val="bottom"/>
            <w:gridSpan w:val="4"/>
            <w:vMerge w:val="restart"/>
          </w:tcPr>
          <w:p>
            <w:pPr>
              <w:jc w:val="right"/>
              <w:ind w:right="5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10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86"/>
              </w:rPr>
              <w:t>in Excess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1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of Par</w:t>
            </w:r>
          </w:p>
        </w:tc>
        <w:tc>
          <w:tcPr>
            <w:tcW w:w="1160" w:type="dxa"/>
            <w:vAlign w:val="bottom"/>
            <w:gridSpan w:val="4"/>
          </w:tcPr>
          <w:p>
            <w:pPr>
              <w:ind w:left="80"/>
              <w:spacing w:after="0" w:line="119" w:lineRule="exact"/>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0"/>
                <w:szCs w:val="10"/>
                <w:color w:val="auto"/>
              </w:rPr>
            </w:pPr>
          </w:p>
        </w:tc>
        <w:tc>
          <w:tcPr>
            <w:tcW w:w="104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Treasury</w:t>
            </w:r>
          </w:p>
        </w:tc>
        <w:tc>
          <w:tcPr>
            <w:tcW w:w="80" w:type="dxa"/>
            <w:vAlign w:val="bottom"/>
          </w:tcPr>
          <w:p>
            <w:pPr>
              <w:spacing w:after="0"/>
              <w:rPr>
                <w:sz w:val="10"/>
                <w:szCs w:val="10"/>
                <w:color w:val="auto"/>
              </w:rPr>
            </w:pPr>
          </w:p>
        </w:tc>
        <w:tc>
          <w:tcPr>
            <w:tcW w:w="10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Controlling</w:t>
            </w:r>
          </w:p>
        </w:tc>
        <w:tc>
          <w:tcPr>
            <w:tcW w:w="180" w:type="dxa"/>
            <w:vAlign w:val="bottom"/>
          </w:tcPr>
          <w:p>
            <w:pPr>
              <w:spacing w:after="0"/>
              <w:rPr>
                <w:sz w:val="10"/>
                <w:szCs w:val="10"/>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Balance – December 31, 2017</w:t>
            </w:r>
          </w:p>
        </w:tc>
        <w:tc>
          <w:tcPr>
            <w:tcW w:w="116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19,670,928</w:t>
            </w:r>
          </w:p>
        </w:tc>
        <w:tc>
          <w:tcPr>
            <w:tcW w:w="160" w:type="dxa"/>
            <w:vAlign w:val="bottom"/>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1,966</w:t>
            </w:r>
          </w:p>
        </w:tc>
        <w:tc>
          <w:tcPr>
            <w:tcW w:w="2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180,211</w:t>
            </w:r>
          </w:p>
        </w:tc>
        <w:tc>
          <w:tcPr>
            <w:tcW w:w="26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(1,611)</w:t>
            </w:r>
          </w:p>
        </w:tc>
        <w:tc>
          <w:tcPr>
            <w:tcW w:w="240" w:type="dxa"/>
            <w:vAlign w:val="bottom"/>
            <w:gridSpan w:val="2"/>
            <w:shd w:val="clear" w:color="auto" w:fill="CCEEFF"/>
          </w:tcPr>
          <w:p>
            <w:pPr>
              <w:jc w:val="right"/>
              <w:ind w:right="1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(82,894)</w:t>
            </w:r>
          </w:p>
        </w:tc>
        <w:tc>
          <w:tcPr>
            <w:tcW w:w="200" w:type="dxa"/>
            <w:vAlign w:val="bottom"/>
            <w:gridSpan w:val="2"/>
            <w:shd w:val="clear" w:color="auto" w:fill="CCEEFF"/>
          </w:tcPr>
          <w:p>
            <w:pPr>
              <w:jc w:val="right"/>
              <w:ind w:right="9"/>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(18,469)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(154)</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79,049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spacing w:after="0" w:line="148" w:lineRule="exact"/>
              <w:rPr>
                <w:sz w:val="20"/>
                <w:szCs w:val="20"/>
                <w:color w:val="auto"/>
              </w:rPr>
            </w:pPr>
            <w:r>
              <w:rPr>
                <w:rFonts w:ascii="Arial" w:cs="Arial" w:eastAsia="Arial" w:hAnsi="Arial"/>
                <w:sz w:val="14"/>
                <w:szCs w:val="14"/>
                <w:color w:val="auto"/>
              </w:rPr>
              <w:t>Cumulative Effect Adjustment (1)</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(71)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8"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Net Income</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2,151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2,168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spacing w:after="0" w:line="148" w:lineRule="exact"/>
              <w:rPr>
                <w:sz w:val="20"/>
                <w:szCs w:val="20"/>
                <w:color w:val="auto"/>
              </w:rPr>
            </w:pPr>
            <w:r>
              <w:rPr>
                <w:rFonts w:ascii="Arial" w:cs="Arial" w:eastAsia="Arial" w:hAnsi="Arial"/>
                <w:sz w:val="14"/>
                <w:szCs w:val="14"/>
                <w:color w:val="auto"/>
              </w:rPr>
              <w:t>Stock Option Exercises</w:t>
            </w:r>
          </w:p>
        </w:tc>
        <w:tc>
          <w:tcPr>
            <w:tcW w:w="116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221,009</w:t>
            </w:r>
          </w:p>
        </w:tc>
        <w:tc>
          <w:tcPr>
            <w:tcW w:w="16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995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Stock-Based Compensation -Stock</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Options</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line="129" w:lineRule="exact"/>
              <w:rPr>
                <w:sz w:val="20"/>
                <w:szCs w:val="20"/>
                <w:color w:val="auto"/>
              </w:rPr>
            </w:pPr>
            <w:r>
              <w:rPr>
                <w:rFonts w:ascii="Arial" w:cs="Arial" w:eastAsia="Arial" w:hAnsi="Arial"/>
                <w:sz w:val="14"/>
                <w:szCs w:val="14"/>
                <w:color w:val="auto"/>
                <w:w w:val="97"/>
              </w:rPr>
              <w:t>Stock-Based Compensation -Restricted</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140"/>
              <w:spacing w:after="0"/>
              <w:rPr>
                <w:sz w:val="20"/>
                <w:szCs w:val="20"/>
                <w:color w:val="auto"/>
              </w:rPr>
            </w:pPr>
            <w:r>
              <w:rPr>
                <w:rFonts w:ascii="Arial" w:cs="Arial" w:eastAsia="Arial" w:hAnsi="Arial"/>
                <w:sz w:val="14"/>
                <w:szCs w:val="14"/>
                <w:color w:val="auto"/>
              </w:rPr>
              <w:t>Stock</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Foreign Currency Translation</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spacing w:after="0" w:line="148" w:lineRule="exact"/>
              <w:rPr>
                <w:sz w:val="20"/>
                <w:szCs w:val="20"/>
                <w:color w:val="auto"/>
              </w:rPr>
            </w:pPr>
            <w:r>
              <w:rPr>
                <w:rFonts w:ascii="Arial" w:cs="Arial" w:eastAsia="Arial" w:hAnsi="Arial"/>
                <w:sz w:val="14"/>
                <w:szCs w:val="14"/>
                <w:color w:val="auto"/>
                <w:w w:val="98"/>
              </w:rPr>
              <w:t>Cash settlement of outstanding options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(33)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8"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tcBorders>
              <w:bottom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 xml:space="preserve">Balance – April 1, 2018 </w:t>
            </w:r>
            <w:r>
              <w:rPr>
                <w:rFonts w:ascii="Arial" w:cs="Arial" w:eastAsia="Arial" w:hAnsi="Arial"/>
                <w:sz w:val="14"/>
                <w:szCs w:val="14"/>
                <w:color w:val="auto"/>
              </w:rPr>
              <w:t>(1)</w:t>
            </w:r>
          </w:p>
        </w:tc>
        <w:tc>
          <w:tcPr>
            <w:tcW w:w="92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19,891,937</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line="128"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1,989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181,312</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28"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(859)</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0"/>
              <w:spacing w:after="0" w:line="128"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(80,814)</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(18,469)</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(137)</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83,022</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 xml:space="preserve">Balance – December 31, 2018 </w:t>
            </w:r>
            <w:r>
              <w:rPr>
                <w:rFonts w:ascii="Arial" w:cs="Arial" w:eastAsia="Arial" w:hAnsi="Arial"/>
                <w:sz w:val="14"/>
                <w:szCs w:val="14"/>
                <w:color w:val="auto"/>
              </w:rPr>
              <w:t>(1)</w:t>
            </w:r>
          </w:p>
        </w:tc>
        <w:tc>
          <w:tcPr>
            <w:tcW w:w="116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20,053,335</w:t>
            </w:r>
          </w:p>
        </w:tc>
        <w:tc>
          <w:tcPr>
            <w:tcW w:w="160" w:type="dxa"/>
            <w:vAlign w:val="bottom"/>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2,005</w:t>
            </w:r>
          </w:p>
        </w:tc>
        <w:tc>
          <w:tcPr>
            <w:tcW w:w="2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182,630</w:t>
            </w:r>
          </w:p>
        </w:tc>
        <w:tc>
          <w:tcPr>
            <w:tcW w:w="26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(2,786)</w:t>
            </w:r>
          </w:p>
        </w:tc>
        <w:tc>
          <w:tcPr>
            <w:tcW w:w="240" w:type="dxa"/>
            <w:vAlign w:val="bottom"/>
            <w:gridSpan w:val="2"/>
            <w:shd w:val="clear" w:color="auto" w:fill="CCEEFF"/>
          </w:tcPr>
          <w:p>
            <w:pPr>
              <w:jc w:val="right"/>
              <w:ind w:right="1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(58,035)</w:t>
            </w:r>
          </w:p>
        </w:tc>
        <w:tc>
          <w:tcPr>
            <w:tcW w:w="200" w:type="dxa"/>
            <w:vAlign w:val="bottom"/>
            <w:gridSpan w:val="2"/>
            <w:shd w:val="clear" w:color="auto" w:fill="CCEEFF"/>
          </w:tcPr>
          <w:p>
            <w:pPr>
              <w:jc w:val="right"/>
              <w:ind w:right="9"/>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(19,266)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104,463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spacing w:after="0" w:line="148" w:lineRule="exact"/>
              <w:rPr>
                <w:sz w:val="20"/>
                <w:szCs w:val="20"/>
                <w:color w:val="auto"/>
              </w:rPr>
            </w:pPr>
            <w:r>
              <w:rPr>
                <w:rFonts w:ascii="Arial" w:cs="Arial" w:eastAsia="Arial" w:hAnsi="Arial"/>
                <w:sz w:val="14"/>
                <w:szCs w:val="14"/>
                <w:color w:val="auto"/>
              </w:rPr>
              <w:t>Net Income</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425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4"/>
                <w:szCs w:val="14"/>
                <w:color w:val="auto"/>
              </w:rPr>
              <w:t>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4"/>
                <w:szCs w:val="14"/>
                <w:color w:val="auto"/>
              </w:rPr>
              <w:t>449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Share Repurchases</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(1,957)</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(1,957)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spacing w:after="0" w:line="148" w:lineRule="exact"/>
              <w:rPr>
                <w:sz w:val="20"/>
                <w:szCs w:val="20"/>
                <w:color w:val="auto"/>
              </w:rPr>
            </w:pPr>
            <w:r>
              <w:rPr>
                <w:rFonts w:ascii="Arial" w:cs="Arial" w:eastAsia="Arial" w:hAnsi="Arial"/>
                <w:sz w:val="14"/>
                <w:szCs w:val="14"/>
                <w:color w:val="auto"/>
              </w:rPr>
              <w:t>Stock Option Exercises</w:t>
            </w:r>
          </w:p>
        </w:tc>
        <w:tc>
          <w:tcPr>
            <w:tcW w:w="116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75,427</w:t>
            </w:r>
          </w:p>
        </w:tc>
        <w:tc>
          <w:tcPr>
            <w:tcW w:w="16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348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4"/>
                <w:szCs w:val="14"/>
                <w:color w:val="auto"/>
              </w:rPr>
              <w:t>356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Stock-Based Compensation -Stock</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Options</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line="129" w:lineRule="exact"/>
              <w:rPr>
                <w:sz w:val="20"/>
                <w:szCs w:val="20"/>
                <w:color w:val="auto"/>
              </w:rPr>
            </w:pPr>
            <w:r>
              <w:rPr>
                <w:rFonts w:ascii="Arial" w:cs="Arial" w:eastAsia="Arial" w:hAnsi="Arial"/>
                <w:sz w:val="14"/>
                <w:szCs w:val="14"/>
                <w:color w:val="auto"/>
                <w:w w:val="97"/>
              </w:rPr>
              <w:t>Stock-Based Compensation -Restricted</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140"/>
              <w:spacing w:after="0"/>
              <w:rPr>
                <w:sz w:val="20"/>
                <w:szCs w:val="20"/>
                <w:color w:val="auto"/>
              </w:rPr>
            </w:pPr>
            <w:r>
              <w:rPr>
                <w:rFonts w:ascii="Arial" w:cs="Arial" w:eastAsia="Arial" w:hAnsi="Arial"/>
                <w:sz w:val="14"/>
                <w:szCs w:val="14"/>
                <w:color w:val="auto"/>
              </w:rPr>
              <w:t>Stock</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5,834</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Tax Withholdings on Restricted Stock</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line="129" w:lineRule="exact"/>
              <w:rPr>
                <w:sz w:val="20"/>
                <w:szCs w:val="20"/>
                <w:color w:val="auto"/>
              </w:rPr>
            </w:pPr>
            <w:r>
              <w:rPr>
                <w:rFonts w:ascii="Arial" w:cs="Arial" w:eastAsia="Arial" w:hAnsi="Arial"/>
                <w:sz w:val="14"/>
                <w:szCs w:val="14"/>
                <w:color w:val="auto"/>
              </w:rPr>
              <w:t>Foreign Currency Translation</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435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ind w:left="140"/>
              <w:spacing w:after="0" w:line="153" w:lineRule="exact"/>
              <w:rPr>
                <w:sz w:val="20"/>
                <w:szCs w:val="20"/>
                <w:color w:val="auto"/>
              </w:rPr>
            </w:pPr>
            <w:r>
              <w:rPr>
                <w:rFonts w:ascii="Arial" w:cs="Arial" w:eastAsia="Arial" w:hAnsi="Arial"/>
                <w:sz w:val="14"/>
                <w:szCs w:val="14"/>
                <w:color w:val="auto"/>
              </w:rPr>
              <w:t>Adjustments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Borders>
              <w:bottom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Balance – March 31, 2019</w:t>
            </w:r>
          </w:p>
        </w:tc>
        <w:tc>
          <w:tcPr>
            <w:tcW w:w="92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20,134,596</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line="128"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2,013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183,163</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28"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(2,351)</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0"/>
              <w:spacing w:after="0" w:line="128"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(57,610)</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(21,231)</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(61)</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103,923</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820" w:right="740" w:hanging="328"/>
        <w:spacing w:after="0" w:line="276"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January 1, 2019, the Company adopted Accounting Standards Codification Topic 842 (ASC 842), Leases. Prior period balances have been adjusted for the effects of the new standard. See Note 1 for further information.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8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 – except share and per share amounts)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Consolidated Financial Statements of Ultralife Corporation (the “Company”) and its subsidiaries have been prepared in accordance with generally accepted accounting principles in the United States of America (“GAAP”) for interim financial information and with the instructions to Rule 8-03 of Regulation S-X. Accordingly, they do not include all of the information and footnotes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2018.</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December 31, 2018 consolidated balance sheet data referenced herein was derived from audited financial statements, but does not include all disclosures required by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4"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Effective January 1, 2019, the Company adopted Accounting Standards Update 2016-02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Adoption of the new standard did not materially impact the prior year consolidated statements of operations and cash flows. The prior year consolidated balance sheet has been revised for the effects of the new standard. The effects to our consolidated balance sheet as of December 31, 2018 are presented below.</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adopted the new standard applying the modified retrospective approach. The Company measured and recognized leases upon adoption which had commenced as of the beginning or during the prior year. The package of practical expedients permitted under the transition guidance of the new standard was elected which allowed us to carry forward the historical lease classification and determination of whether an arrangement is or contains a lease on existing leases. The use-of-hindsight transition practical expedient was applied to determine the lease term for existing leases, which resulted in the lengthening of the lease term at commencement for one of our operating facilities.</w:t>
      </w:r>
    </w:p>
    <w:p>
      <w:pPr>
        <w:spacing w:after="0" w:line="18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At contract inception, the Company determines whether the arrangement is or contains a lease and determines the lease classification. The lease term is determined based on the noncancellable term of the lease adjusted to the extent optional renewal terms and termination rights are reasonably certain. Lease expense is recognized evenly over the lease term. Variable lease payments are recognized as period costs. The present value of remaining lease payments are recognized as a liability on the balance sheet with a corresponding right-of-use asset adjusted for prepaid or accrued lease payments. The Company uses its incremental borrowing rate for the discount rate, unless the interest rate implicit in the lease contract is readily determinable. The Company has adopted the practical expedients to not separate non-lease components from lease components and to not present short-term leases on the balance sheet.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impact on the consolidated balance sheet as of December 31, 2018 is shown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Impact to Previously Reported Results</w:t>
            </w:r>
          </w:p>
        </w:tc>
        <w:tc>
          <w:tcPr>
            <w:tcW w:w="1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4820" w:type="dxa"/>
            <w:vAlign w:val="bottom"/>
            <w:gridSpan w:val="2"/>
          </w:tcPr>
          <w:p>
            <w:pPr>
              <w:spacing w:after="0"/>
              <w:rPr>
                <w:sz w:val="20"/>
                <w:szCs w:val="20"/>
                <w:color w:val="auto"/>
              </w:rPr>
            </w:pPr>
            <w:r>
              <w:rPr>
                <w:rFonts w:ascii="Arial" w:cs="Arial" w:eastAsia="Arial" w:hAnsi="Arial"/>
                <w:sz w:val="18"/>
                <w:szCs w:val="18"/>
                <w:color w:val="auto"/>
              </w:rPr>
              <w:t>Consolidated Balance Sheet as of December 31, 2018:</w:t>
            </w: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3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jc w:val="center"/>
              <w:ind w:right="310"/>
              <w:spacing w:after="0"/>
              <w:rPr>
                <w:sz w:val="20"/>
                <w:szCs w:val="20"/>
                <w:color w:val="auto"/>
              </w:rPr>
            </w:pPr>
            <w:r>
              <w:rPr>
                <w:rFonts w:ascii="Arial" w:cs="Arial" w:eastAsia="Arial" w:hAnsi="Arial"/>
                <w:sz w:val="18"/>
                <w:szCs w:val="18"/>
                <w:b w:val="1"/>
                <w:bCs w:val="1"/>
                <w:color w:val="auto"/>
                <w:w w:val="86"/>
              </w:rPr>
              <w:t>As</w:t>
            </w:r>
          </w:p>
        </w:tc>
        <w:tc>
          <w:tcPr>
            <w:tcW w:w="300" w:type="dxa"/>
            <w:vAlign w:val="bottom"/>
          </w:tcPr>
          <w:p>
            <w:pPr>
              <w:spacing w:after="0"/>
              <w:rPr>
                <w:sz w:val="24"/>
                <w:szCs w:val="24"/>
                <w:color w:val="auto"/>
              </w:rPr>
            </w:pPr>
          </w:p>
        </w:tc>
        <w:tc>
          <w:tcPr>
            <w:tcW w:w="1520" w:type="dxa"/>
            <w:vAlign w:val="bottom"/>
          </w:tcPr>
          <w:p>
            <w:pPr>
              <w:jc w:val="center"/>
              <w:ind w:right="270"/>
              <w:spacing w:after="0"/>
              <w:rPr>
                <w:sz w:val="20"/>
                <w:szCs w:val="20"/>
                <w:color w:val="auto"/>
              </w:rPr>
            </w:pPr>
            <w:r>
              <w:rPr>
                <w:rFonts w:ascii="Arial" w:cs="Arial" w:eastAsia="Arial" w:hAnsi="Arial"/>
                <w:sz w:val="18"/>
                <w:szCs w:val="18"/>
                <w:b w:val="1"/>
                <w:bCs w:val="1"/>
                <w:color w:val="auto"/>
                <w:w w:val="86"/>
              </w:rPr>
              <w:t>Lease</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3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jc w:val="center"/>
              <w:ind w:right="310"/>
              <w:spacing w:after="0"/>
              <w:rPr>
                <w:sz w:val="20"/>
                <w:szCs w:val="20"/>
                <w:color w:val="auto"/>
              </w:rPr>
            </w:pPr>
            <w:r>
              <w:rPr>
                <w:rFonts w:ascii="Arial" w:cs="Arial" w:eastAsia="Arial" w:hAnsi="Arial"/>
                <w:sz w:val="18"/>
                <w:szCs w:val="18"/>
                <w:b w:val="1"/>
                <w:bCs w:val="1"/>
                <w:color w:val="auto"/>
                <w:w w:val="87"/>
              </w:rPr>
              <w:t>Previously</w:t>
            </w:r>
          </w:p>
        </w:tc>
        <w:tc>
          <w:tcPr>
            <w:tcW w:w="300" w:type="dxa"/>
            <w:vAlign w:val="bottom"/>
          </w:tcPr>
          <w:p>
            <w:pPr>
              <w:spacing w:after="0"/>
              <w:rPr>
                <w:sz w:val="18"/>
                <w:szCs w:val="18"/>
                <w:color w:val="auto"/>
              </w:rPr>
            </w:pPr>
          </w:p>
        </w:tc>
        <w:tc>
          <w:tcPr>
            <w:tcW w:w="1520" w:type="dxa"/>
            <w:vAlign w:val="bottom"/>
          </w:tcPr>
          <w:p>
            <w:pPr>
              <w:jc w:val="center"/>
              <w:ind w:right="270"/>
              <w:spacing w:after="0"/>
              <w:rPr>
                <w:sz w:val="20"/>
                <w:szCs w:val="20"/>
                <w:color w:val="auto"/>
              </w:rPr>
            </w:pPr>
            <w:r>
              <w:rPr>
                <w:rFonts w:ascii="Arial" w:cs="Arial" w:eastAsia="Arial" w:hAnsi="Arial"/>
                <w:sz w:val="18"/>
                <w:szCs w:val="18"/>
                <w:b w:val="1"/>
                <w:bCs w:val="1"/>
                <w:color w:val="auto"/>
                <w:w w:val="92"/>
              </w:rPr>
              <w:t>Standard</w:t>
            </w:r>
          </w:p>
        </w:tc>
        <w:tc>
          <w:tcPr>
            <w:tcW w:w="36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As</w:t>
            </w:r>
          </w:p>
        </w:tc>
      </w:tr>
      <w:tr>
        <w:trPr>
          <w:trHeight w:val="234"/>
        </w:trPr>
        <w:tc>
          <w:tcPr>
            <w:tcW w:w="30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1"/>
              </w:rPr>
              <w:t>Reported</w:t>
            </w: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2"/>
              </w:rPr>
              <w:t>Adjustment</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20"/>
                <w:szCs w:val="20"/>
                <w:color w:val="auto"/>
              </w:rPr>
            </w:pPr>
          </w:p>
        </w:tc>
      </w:tr>
      <w:tr>
        <w:trPr>
          <w:trHeight w:val="209"/>
        </w:trPr>
        <w:tc>
          <w:tcPr>
            <w:tcW w:w="3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r>
      <w:tr>
        <w:trPr>
          <w:trHeight w:val="215"/>
        </w:trPr>
        <w:tc>
          <w:tcPr>
            <w:tcW w:w="3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16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2,429</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2,368</w:t>
            </w:r>
          </w:p>
        </w:tc>
      </w:tr>
      <w:tr>
        <w:trPr>
          <w:trHeight w:val="215"/>
        </w:trPr>
        <w:tc>
          <w:tcPr>
            <w:tcW w:w="3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3,534</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439</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3,973</w:t>
            </w:r>
          </w:p>
        </w:tc>
      </w:tr>
      <w:tr>
        <w:trPr>
          <w:trHeight w:val="215"/>
        </w:trPr>
        <w:tc>
          <w:tcPr>
            <w:tcW w:w="3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16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376</w:t>
            </w:r>
          </w:p>
        </w:tc>
        <w:tc>
          <w:tcPr>
            <w:tcW w:w="3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r>
      <w:tr>
        <w:trPr>
          <w:trHeight w:val="215"/>
        </w:trPr>
        <w:tc>
          <w:tcPr>
            <w:tcW w:w="3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(57,964)</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(58,035)</w:t>
            </w:r>
          </w:p>
        </w:tc>
      </w:tr>
      <w:tr>
        <w:trPr>
          <w:trHeight w:val="20"/>
        </w:trPr>
        <w:tc>
          <w:tcPr>
            <w:tcW w:w="300" w:type="dxa"/>
            <w:vAlign w:val="bottom"/>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Note 9 for further disclosure regarding lease accounting.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 Not Yet Adopted</w:t>
      </w:r>
    </w:p>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There have been no developments to recently issued accounting standards, including the expected dates of adoption and anticipated effects on the Company’s consolidated financial statements, from those disclosed in the Company’s 2018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SUBSEQUENT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Southwest Electronic Energy Corporation</w:t>
      </w:r>
    </w:p>
    <w:p>
      <w:pPr>
        <w:spacing w:after="0" w:line="224"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On May 1, 2019, Ultralife Corporation completed the acquisition of 100% of the issued and outstanding shares of Southwest Electronic Energy Corporation (“SWE”) for an aggregate purchase price of $25.0 million in cash, net of cash acquired and subject to customary post-closing working capital adjustments.</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SWE is a leading independent designer and manufacturer of high-performance smart battery systems and battery packs to customer specifications using lithium cells. SWE serves a variety of industrial markets, including oil &amp; gas, remote monitoring, process control and marine, which demand uncompromised safety, service, reliability and quality. The Company acquired SWE as a bolt-on acquisition to further support our strategy of commercial revenue diversification by providing entry to the oil and gas exploration and production, and subsea electrification markets, which are currently unserved by Ultralife. Another key benefit includes obtaining a highly valuable technical team of battery pack and charger system engineers and technicians to add to our new product development-based revenue growth initiatives in our commercial end-markets particularly asset tracking, smart metering and other industrial applications.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SWE acquisition was completed pursuant to a Stock Purchase Agreement dated May 1, 2019 (the “Stock Purchase Agreement”) by and among Ultralife, SWE, Southwest Electronic Energy Medical Research Institute, a Texas non-profit (the “Seller”), and Claude Leonard Benckenstein, an individual (the “Shareholder”).</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aggregate purchase price for the SWE Acquisition was funded by the Company through a combination of cash on hand and borrowings under the Credit Facilities (see Note 3).</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Stock Purchase Agreement contains customary terms and conditions including representations, warranties and indemnification provisions. A portion of the consideration paid to the Seller will be held in escrow for post-closing adjustments and indemnification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7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8" w:name="page9"/>
    <w:bookmarkEnd w:id="8"/>
    <w:p>
      <w:pPr>
        <w:jc w:val="both"/>
        <w:spacing w:after="0" w:line="262" w:lineRule="auto"/>
        <w:rPr>
          <w:sz w:val="20"/>
          <w:szCs w:val="20"/>
          <w:color w:val="auto"/>
        </w:rPr>
      </w:pPr>
      <w:r>
        <w:rPr>
          <w:rFonts w:ascii="Arial" w:cs="Arial" w:eastAsia="Arial" w:hAnsi="Arial"/>
          <w:sz w:val="18"/>
          <w:szCs w:val="18"/>
          <w:color w:val="auto"/>
        </w:rPr>
        <w:t>The acquisition of SWE will be accounted for as a business combination, and accordingly, the assets acquired and liabilities assumed will be recognized at fair value as of the acquisition date. The operating results and cash flows of SWE will be included in the consolidated financial statements from the date of acquisition in the Company's Battery &amp; Energy Products segment.</w:t>
      </w:r>
    </w:p>
    <w:p>
      <w:pPr>
        <w:spacing w:after="0" w:line="18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Due to the timing of the acquisition, the initial accounting is not yet complete. The Company is in the process of preparing the preliminary estimate of the fair value of assets acquired and liabilities assumed and the associated adjustments for supplemental pro forma revenue and earnings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Amendment Agreement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On May 1, 2019, in connection with the SWE acquisition, the Company entered into the First Amendment Agreement with KeyBank National Association.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3 for further information.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FACILITY</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May 1, 2019, Ultralife, SWE, and CLB, INC., a Texas corporation and wholly owned subsidiary of SWE (“CLB”), as borrowers, entered into the First Amendment Agreement (the “First Amendment Agreement”) with KeyBank National Association (“KeyBank” or the “Bank”), as lender and administrative agent, to amend the Credit and Security Agreement by and among Ultralife and KeyBank dated May 31, 2017 (the “Credit Agreement”, and together with the First Amendment Agreement, the “Amended Credit Agreement”).</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Amended Credit Agreement, among other things, provides for a five-year, $8.0 million senior secured term loan (the “Term Loan Facility”) and extends the term of the $30.0 million senior secured revolving credit facility (the “Revolving Credit Facility”, and together with the Term Loan Facility, the “Credit Facilities”) through May 31, 2022. Up to six months prior to May 31, 2022, the Revolving Credit Facility may be increased to $50.0 million with the Bank’s concurrence.</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Upon closing of the SWE Acquisition on May 1, 2019, the Company drew down the full amount of the Term Loan Facility and $6.8 million under the Revolving Credit Facility. The remaining availability under the Revolving Credit Facility is subject to certain borrowing base limits based on receivables and inventories.</w:t>
      </w:r>
    </w:p>
    <w:p>
      <w:pPr>
        <w:spacing w:after="0" w:line="18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is required to repay the borrowings under the Term Loan Facility in sixty (60) equal consecutive monthly payments commencing on May 31, 2019, in arrears, together with applicable interest. All unpaid principal and accrued and unpaid interest with respect to the Term Loan Facility is due and payable in full on April 30, 2024. All unpaid principal and accrued and unpaid interest with respect to the Revolving Credit Facility is due and payable in full on May 31, 2022. The Company may voluntarily prepay principal amounts outstanding at any time subject to certain restrictions.</w:t>
      </w:r>
    </w:p>
    <w:p>
      <w:pPr>
        <w:spacing w:after="0" w:line="171"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In addition to the customary affirmative and negative covenants, the Company must maintain a consolidated fixed charge coverage ratio of equal to or greater than 1.15 to 1.0, and a consolidated senior leverage ratio of equal to or less than 2.5 to 1.0, each as defined in the Amended Credit Agreement.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Credit Facilities are secured by substantially all the assets of the Company.</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Interest will accrue on outstanding indebtedness under the Credit Facilities at the Base Rate or the Overnight LIBOR Rate, as selected by the Company, plus the applicable margin. The Base Rate is the higher of (a) the Prime Rate, (b) the Federal Funds Effective Rate plus 50 basis points, and (c) the Overnight LIBOR Rate plus one hundred basis points. The applicable margin ranges from zero to negative 50 basis points for the Base Rate and from 185 to 215 basis points for the Overnight LIBOR Rate and are determined based on the Company’s senior leverage ratio.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Company must pay a fee of 0.1% to 0.2% based on the average daily unused availability under the Revolving Credit Facility.</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Payments must be made by the Company to the extent borrowings exceed the maximum amount then permitted to be drawn on the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 REPURCHASE PROGRAM</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October 31, 2018, the Company’s Board of Directors approved a share repurchase program (the “Share Repurchase Program”) which became effective on November 1, 2018, under which the Company is authorized to purchase up to 2.5 million shares of its outstanding common stock over a period not to exceed twelve months.</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Share Repurchase Program, shares may be purchased in open market transactions, including through block purchases, through privately negotiated transactions, or pursuant to any trading plan that may be adopted in accordance with Rule 10b5-1 of the Securities Exchange Act of 1934. The timing, manner, price and amount of any repurchase will be determined at the Company’s discretion and the Share Repurchase Program may be suspended, terminated or modified by the Company’s Board of Directors at any time for any reason and does not obligate the Company to purchase any specific number of shares. Under the Program, all purchases will be made in accordance with Securities Exchange Act Rule 10b-18, which sets certain restrictions on the method, timing, price and volume of open market stock repurchases.</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During the quarter ended March 31, 2019, we repurchased a total of 267,300 shares of our common stock for an aggregate consideration (including fees and commissions) of $1,957.</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From the inception of the Share Repurchase Program on November 1, 2018, we repurchased a total of 372,974 shares of our common stock for an aggregate consideration (including fees and commissions) of $2,699.</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w:t>
      </w:r>
    </w:p>
    <w:p>
      <w:pPr>
        <w:spacing w:after="0" w:line="2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Basic earnings per share (“EPS”) is computed by dividing earnings attributable to the Company’s common shareholders by the weighted-average shares outstanding during the period. Diluted EPS includes the dilutive effect of securities, if any, and is calculated using the treasury stock method. For the three-month period ended March 31, 2019, 1,052,410 stock options and 11,666 restricted stock awards were included in the calculation of Diluted EPS as such securities are dilutive. Inclusion of these securities resulted in 484,843 additional shares in the calculation of fully diluted earnings per share. For the comparable three-month period ended April 1, 2018, 1,324,753 stock options and 17,500 restricted stock awards were included in the calculation of Diluted EPS resulting in 498,109 additional shares in the calculation of fully diluted earnings per share. There were 448,250 and 214,000 outstanding stock options for the three-month periods ended March 31, 2019 and April 1, 2018, respectively, which were not included in EPS as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SUPPLEMENTAL BALANCE SHEET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cash and restricted cash totaling $21,240 and $25,934 as of March 31, 2019 and December 31, 2018, respectively.</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1520" w:type="dxa"/>
            <w:vAlign w:val="bottom"/>
          </w:tcPr>
          <w:p>
            <w:pPr>
              <w:ind w:left="3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4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r>
      <w:tr>
        <w:trPr>
          <w:trHeight w:val="209"/>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$20,929</w:t>
            </w:r>
          </w:p>
        </w:tc>
        <w:tc>
          <w:tcPr>
            <w:tcW w:w="17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$25,583</w:t>
            </w:r>
          </w:p>
        </w:tc>
        <w:tc>
          <w:tcPr>
            <w:tcW w:w="100" w:type="dxa"/>
            <w:vAlign w:val="bottom"/>
            <w:shd w:val="clear" w:color="auto" w:fill="CCEEFF"/>
          </w:tcPr>
          <w:p>
            <w:pPr>
              <w:spacing w:after="0"/>
              <w:rPr>
                <w:sz w:val="18"/>
                <w:szCs w:val="18"/>
                <w:color w:val="auto"/>
              </w:rPr>
            </w:pPr>
          </w:p>
        </w:tc>
      </w:tr>
      <w:tr>
        <w:trPr>
          <w:trHeight w:val="229"/>
        </w:trPr>
        <w:tc>
          <w:tcPr>
            <w:tcW w:w="7480" w:type="dxa"/>
            <w:vAlign w:val="bottom"/>
          </w:tcPr>
          <w:p>
            <w:pPr>
              <w:spacing w:after="0"/>
              <w:rPr>
                <w:sz w:val="20"/>
                <w:szCs w:val="20"/>
                <w:color w:val="auto"/>
              </w:rPr>
            </w:pPr>
            <w:r>
              <w:rPr>
                <w:rFonts w:ascii="Arial" w:cs="Arial" w:eastAsia="Arial" w:hAnsi="Arial"/>
                <w:sz w:val="18"/>
                <w:szCs w:val="18"/>
                <w:color w:val="auto"/>
              </w:rPr>
              <w:t>Restricted Cash</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311</w:t>
            </w:r>
          </w:p>
        </w:tc>
        <w:tc>
          <w:tcPr>
            <w:tcW w:w="20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351</w:t>
            </w:r>
          </w:p>
        </w:tc>
        <w:tc>
          <w:tcPr>
            <w:tcW w:w="100" w:type="dxa"/>
            <w:vAlign w:val="bottom"/>
          </w:tcPr>
          <w:p>
            <w:pPr>
              <w:spacing w:after="0"/>
              <w:rPr>
                <w:sz w:val="19"/>
                <w:szCs w:val="19"/>
                <w:color w:val="auto"/>
              </w:rPr>
            </w:pPr>
          </w:p>
        </w:tc>
      </w:tr>
      <w:tr>
        <w:trPr>
          <w:trHeight w:val="289"/>
        </w:trPr>
        <w:tc>
          <w:tcPr>
            <w:tcW w:w="7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$21,240</w:t>
            </w:r>
          </w:p>
        </w:tc>
        <w:tc>
          <w:tcPr>
            <w:tcW w:w="2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$25,934</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As of March 31, 2019 and December 31, 2018, restricted cash included $228 and $266, respectively, relating to a government grant awarded in the People’s Republic of China to fund specified technological research and development initiatives. The grant proceeds are realized to income as a direct offset to expense as the related expenditures are incurred. For the quarter ended March 31, 2019, grant proceeds of approximately $38 were realized to income.</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March 31, 2019 and December 31, 2018, restricted cash includes euro-denominated deposits of $83 and $85, respectively, withheld by the Dutch tax authorities and third party VAT representatives in connection with a previously utilized logistics arrangement in the Netherlands.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is included as a component of the cash balance for purposes of the consolidated statements of cash flows.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Inventories</w:t>
      </w:r>
    </w:p>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Inventories are stated at the lower of cost or market, net of obsolescence reserves, with cost determined under the first-in, first-out (FIFO) method. The composition of inventories, net was: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13,274</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2,067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8,638</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27,906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22,843</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Equipment and Improvements,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78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820" w:type="dxa"/>
            <w:vAlign w:val="bottom"/>
            <w:gridSpan w:val="2"/>
          </w:tcPr>
          <w:p>
            <w:pPr>
              <w:spacing w:after="0"/>
              <w:rPr>
                <w:sz w:val="20"/>
                <w:szCs w:val="20"/>
                <w:color w:val="auto"/>
              </w:rPr>
            </w:pPr>
            <w:r>
              <w:rPr>
                <w:rFonts w:ascii="Arial" w:cs="Arial" w:eastAsia="Arial" w:hAnsi="Arial"/>
                <w:sz w:val="18"/>
                <w:szCs w:val="18"/>
                <w:color w:val="auto"/>
              </w:rPr>
              <w:t>Major classes of property, equipment and improvements consisted of the following:</w:t>
            </w:r>
          </w:p>
        </w:tc>
        <w:tc>
          <w:tcPr>
            <w:tcW w:w="240" w:type="dxa"/>
            <w:vAlign w:val="bottom"/>
          </w:tcPr>
          <w:p>
            <w:pPr>
              <w:spacing w:after="0"/>
              <w:rPr>
                <w:sz w:val="24"/>
                <w:szCs w:val="2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8,284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8,267</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51,772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51,261</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2,073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73,619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71,601</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(61,221)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(60,857)</w:t>
            </w: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Equipment and Improvements, Net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12,398</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Depreciation expense for property, equipment and improvements was $447 and $484 for the three-month periods ended March 31, 2019 and April 1, 2018, respectively.</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activity by segment for the three-month periods ended March 31, 2019 and April 1,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Communi-</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Energy</w:t>
            </w: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cations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Products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Systems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2017</w:t>
            </w: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20,458</w:t>
            </w:r>
          </w:p>
        </w:tc>
        <w:tc>
          <w:tcPr>
            <w:tcW w:w="260" w:type="dxa"/>
            <w:vAlign w:val="bottom"/>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 April 1, 2018</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20,698</w:t>
            </w:r>
          </w:p>
        </w:tc>
        <w:tc>
          <w:tcPr>
            <w:tcW w:w="260" w:type="dxa"/>
            <w:vAlign w:val="bottom"/>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(589)</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(589)</w:t>
            </w:r>
          </w:p>
        </w:tc>
        <w:tc>
          <w:tcPr>
            <w:tcW w:w="26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2018</w:t>
            </w:r>
          </w:p>
        </w:tc>
        <w:tc>
          <w:tcPr>
            <w:tcW w:w="16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20,109</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49"/>
        </w:trPr>
        <w:tc>
          <w:tcPr>
            <w:tcW w:w="340" w:type="dxa"/>
            <w:vAlign w:val="bottom"/>
          </w:tcPr>
          <w:p>
            <w:pPr>
              <w:spacing w:after="0"/>
              <w:rPr>
                <w:sz w:val="21"/>
                <w:szCs w:val="21"/>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2019</w:t>
            </w: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20,251</w:t>
            </w:r>
          </w:p>
        </w:tc>
        <w:tc>
          <w:tcPr>
            <w:tcW w:w="260" w:type="dxa"/>
            <w:vAlign w:val="bottom"/>
          </w:tcPr>
          <w:p>
            <w:pPr>
              <w:spacing w:after="0"/>
              <w:rPr>
                <w:sz w:val="21"/>
                <w:szCs w:val="21"/>
                <w:color w:val="auto"/>
              </w:rPr>
            </w:pPr>
          </w:p>
        </w:tc>
      </w:tr>
      <w:tr>
        <w:trPr>
          <w:trHeight w:val="411"/>
        </w:trPr>
        <w:tc>
          <w:tcPr>
            <w:tcW w:w="340" w:type="dxa"/>
            <w:vAlign w:val="bottom"/>
          </w:tcPr>
          <w:p>
            <w:pPr>
              <w:spacing w:after="0"/>
              <w:rPr>
                <w:sz w:val="24"/>
                <w:szCs w:val="24"/>
                <w:color w:val="auto"/>
              </w:rPr>
            </w:pPr>
          </w:p>
        </w:tc>
        <w:tc>
          <w:tcPr>
            <w:tcW w:w="4120" w:type="dxa"/>
            <w:vAlign w:val="bottom"/>
            <w:tcBorders>
              <w:top w:val="single" w:sz="8" w:color="CCEEFF"/>
            </w:tcBorders>
          </w:tcPr>
          <w:p>
            <w:pPr>
              <w:spacing w:after="0"/>
              <w:rPr>
                <w:sz w:val="24"/>
                <w:szCs w:val="24"/>
                <w:color w:val="auto"/>
              </w:rPr>
            </w:pPr>
          </w:p>
        </w:tc>
        <w:tc>
          <w:tcPr>
            <w:tcW w:w="164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Pr>
          <w:p>
            <w:pPr>
              <w:spacing w:after="0"/>
              <w:rPr>
                <w:sz w:val="24"/>
                <w:szCs w:val="24"/>
                <w:color w:val="auto"/>
              </w:rPr>
            </w:pPr>
          </w:p>
        </w:tc>
      </w:tr>
      <w:tr>
        <w:trPr>
          <w:trHeight w:val="114"/>
        </w:trPr>
        <w:tc>
          <w:tcPr>
            <w:tcW w:w="340" w:type="dxa"/>
            <w:vAlign w:val="bottom"/>
            <w:tcBorders>
              <w:bottom w:val="single" w:sz="8" w:color="auto"/>
            </w:tcBorders>
          </w:tcPr>
          <w:p>
            <w:pPr>
              <w:spacing w:after="0"/>
              <w:rPr>
                <w:sz w:val="9"/>
                <w:szCs w:val="9"/>
                <w:color w:val="auto"/>
              </w:rPr>
            </w:pPr>
          </w:p>
        </w:tc>
        <w:tc>
          <w:tcPr>
            <w:tcW w:w="412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79"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Other Intangible Assets, Net</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6100" w:type="dxa"/>
            <w:vAlign w:val="bottom"/>
            <w:gridSpan w:val="2"/>
          </w:tcPr>
          <w:p>
            <w:pPr>
              <w:spacing w:after="0"/>
              <w:rPr>
                <w:sz w:val="20"/>
                <w:szCs w:val="20"/>
                <w:color w:val="auto"/>
              </w:rPr>
            </w:pPr>
            <w:r>
              <w:rPr>
                <w:rFonts w:ascii="Arial" w:cs="Arial" w:eastAsia="Arial" w:hAnsi="Arial"/>
                <w:sz w:val="18"/>
                <w:szCs w:val="18"/>
                <w:color w:val="auto"/>
              </w:rPr>
              <w:t>The composition of other intangible assets was: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3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92"/>
              </w:rPr>
              <w:t>at March 31, 2019</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34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320"/>
              <w:spacing w:after="0" w:line="190" w:lineRule="exact"/>
              <w:rPr>
                <w:sz w:val="20"/>
                <w:szCs w:val="20"/>
                <w:color w:val="auto"/>
              </w:rPr>
            </w:pPr>
            <w:r>
              <w:rPr>
                <w:rFonts w:ascii="Arial" w:cs="Arial" w:eastAsia="Arial" w:hAnsi="Arial"/>
                <w:sz w:val="18"/>
                <w:szCs w:val="18"/>
                <w:b w:val="1"/>
                <w:bCs w:val="1"/>
                <w:color w:val="auto"/>
                <w:w w:val="88"/>
              </w:rPr>
              <w:t>Accumulated</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Amortization</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980" w:type="dxa"/>
            <w:vAlign w:val="bottom"/>
            <w:shd w:val="clear" w:color="auto" w:fill="CCEEFF"/>
          </w:tcPr>
          <w:p>
            <w:pPr>
              <w:jc w:val="right"/>
              <w:ind w:right="822"/>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3,407</w:t>
            </w:r>
          </w:p>
        </w:tc>
      </w:tr>
      <w:tr>
        <w:trPr>
          <w:trHeight w:val="215"/>
        </w:trPr>
        <w:tc>
          <w:tcPr>
            <w:tcW w:w="3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4,453</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2,077</w:t>
            </w:r>
          </w:p>
        </w:tc>
      </w:tr>
      <w:tr>
        <w:trPr>
          <w:trHeight w:val="215"/>
        </w:trPr>
        <w:tc>
          <w:tcPr>
            <w:tcW w:w="3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4,766</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r>
      <w:tr>
        <w:trPr>
          <w:trHeight w:val="215"/>
        </w:trPr>
        <w:tc>
          <w:tcPr>
            <w:tcW w:w="3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377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34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100" w:type="dxa"/>
            <w:vAlign w:val="bottom"/>
            <w:gridSpan w:val="2"/>
          </w:tcPr>
          <w:p>
            <w:pPr>
              <w:ind w:left="340"/>
              <w:spacing w:after="0"/>
              <w:rPr>
                <w:sz w:val="20"/>
                <w:szCs w:val="20"/>
                <w:color w:val="auto"/>
              </w:rPr>
            </w:pPr>
            <w:r>
              <w:rPr>
                <w:rFonts w:ascii="Arial" w:cs="Arial" w:eastAsia="Arial" w:hAnsi="Arial"/>
                <w:sz w:val="18"/>
                <w:szCs w:val="18"/>
                <w:color w:val="auto"/>
              </w:rPr>
              <w:t>Total Other Intangible Assets</w:t>
            </w:r>
          </w:p>
        </w:tc>
        <w:tc>
          <w:tcPr>
            <w:tcW w:w="980" w:type="dxa"/>
            <w:vAlign w:val="bottom"/>
            <w:tcBorders>
              <w:bottom w:val="single" w:sz="8" w:color="auto"/>
            </w:tcBorders>
          </w:tcPr>
          <w:p>
            <w:pPr>
              <w:jc w:val="right"/>
              <w:ind w:right="822"/>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16,203</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6,484</w:t>
            </w: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1"/>
        </w:trPr>
        <w:tc>
          <w:tcPr>
            <w:tcW w:w="3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at December 31, 2018</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34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320"/>
              <w:spacing w:after="0" w:line="190" w:lineRule="exact"/>
              <w:rPr>
                <w:sz w:val="20"/>
                <w:szCs w:val="20"/>
                <w:color w:val="auto"/>
              </w:rPr>
            </w:pPr>
            <w:r>
              <w:rPr>
                <w:rFonts w:ascii="Arial" w:cs="Arial" w:eastAsia="Arial" w:hAnsi="Arial"/>
                <w:sz w:val="18"/>
                <w:szCs w:val="18"/>
                <w:b w:val="1"/>
                <w:bCs w:val="1"/>
                <w:color w:val="auto"/>
                <w:w w:val="88"/>
              </w:rPr>
              <w:t>Accumulated</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Amortization</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980" w:type="dxa"/>
            <w:vAlign w:val="bottom"/>
            <w:shd w:val="clear" w:color="auto" w:fill="CCEEFF"/>
          </w:tcPr>
          <w:p>
            <w:pPr>
              <w:jc w:val="right"/>
              <w:ind w:right="822"/>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3,405</w:t>
            </w:r>
          </w:p>
        </w:tc>
      </w:tr>
      <w:tr>
        <w:trPr>
          <w:trHeight w:val="215"/>
        </w:trPr>
        <w:tc>
          <w:tcPr>
            <w:tcW w:w="3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4,392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2,079</w:t>
            </w:r>
          </w:p>
        </w:tc>
      </w:tr>
      <w:tr>
        <w:trPr>
          <w:trHeight w:val="215"/>
        </w:trPr>
        <w:tc>
          <w:tcPr>
            <w:tcW w:w="3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4,725</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w:t>
            </w:r>
          </w:p>
        </w:tc>
      </w:tr>
      <w:tr>
        <w:trPr>
          <w:trHeight w:val="215"/>
        </w:trPr>
        <w:tc>
          <w:tcPr>
            <w:tcW w:w="3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377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34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100" w:type="dxa"/>
            <w:vAlign w:val="bottom"/>
            <w:gridSpan w:val="2"/>
          </w:tcPr>
          <w:p>
            <w:pPr>
              <w:ind w:left="340"/>
              <w:spacing w:after="0"/>
              <w:rPr>
                <w:sz w:val="20"/>
                <w:szCs w:val="20"/>
                <w:color w:val="auto"/>
              </w:rPr>
            </w:pPr>
            <w:r>
              <w:rPr>
                <w:rFonts w:ascii="Arial" w:cs="Arial" w:eastAsia="Arial" w:hAnsi="Arial"/>
                <w:sz w:val="18"/>
                <w:szCs w:val="18"/>
                <w:color w:val="auto"/>
              </w:rPr>
              <w:t>Total Other Intangible Assets</w:t>
            </w:r>
          </w:p>
        </w:tc>
        <w:tc>
          <w:tcPr>
            <w:tcW w:w="980" w:type="dxa"/>
            <w:vAlign w:val="bottom"/>
          </w:tcPr>
          <w:p>
            <w:pPr>
              <w:jc w:val="right"/>
              <w:ind w:right="822"/>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16,109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9,605</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6,504</w:t>
            </w:r>
          </w:p>
        </w:tc>
      </w:tr>
      <w:tr>
        <w:trPr>
          <w:trHeight w:val="20"/>
        </w:trPr>
        <w:tc>
          <w:tcPr>
            <w:tcW w:w="3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change in the cost value of total intangible assets from December 31, 2018 to March 31, 2019 is a result of the effect of foreign currency translations.</w:t>
      </w:r>
    </w:p>
    <w:p>
      <w:pPr>
        <w:spacing w:after="0" w:line="2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Amortization expense for intangible assets was $92 and $102 for the three-month periods ended March 31, 2019 and April 1, 2018, respectively. Amortization included in research and development expenses was $33 and $38 for the three-month periods ended March 31, 2019 and April 1, 2018, respectively. Amortization included in selling, general and administrative expenses was $59 and $64 for the three-month periods ended March 31, 2019 and April 1, 2018, respectively.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7.   </w:t>
            </w:r>
            <w:r>
              <w:rPr>
                <w:rFonts w:ascii="Arial" w:cs="Arial" w:eastAsia="Arial" w:hAnsi="Arial"/>
                <w:sz w:val="18"/>
                <w:szCs w:val="18"/>
                <w:color w:val="auto"/>
              </w:rPr>
              <w:t>.</w:t>
            </w:r>
            <w:r>
              <w:rPr>
                <w:rFonts w:ascii="Arial" w:cs="Arial" w:eastAsia="Arial" w:hAnsi="Arial"/>
                <w:sz w:val="18"/>
                <w:szCs w:val="18"/>
                <w:b w:val="1"/>
                <w:bCs w:val="1"/>
                <w:i w:val="1"/>
                <w:iCs w:val="1"/>
                <w:color w:val="auto"/>
              </w:rPr>
              <w:t>STOCK-BASED COMPENSATION</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1"/>
        </w:trPr>
        <w:tc>
          <w:tcPr>
            <w:tcW w:w="5680" w:type="dxa"/>
            <w:vAlign w:val="bottom"/>
          </w:tcPr>
          <w:p>
            <w:pPr>
              <w:spacing w:after="0"/>
              <w:rPr>
                <w:sz w:val="20"/>
                <w:szCs w:val="20"/>
                <w:color w:val="auto"/>
              </w:rPr>
            </w:pPr>
            <w:r>
              <w:rPr>
                <w:rFonts w:ascii="Arial" w:cs="Arial" w:eastAsia="Arial" w:hAnsi="Arial"/>
                <w:sz w:val="18"/>
                <w:szCs w:val="18"/>
                <w:color w:val="auto"/>
                <w:w w:val="90"/>
              </w:rPr>
              <w:t>We recorded non-cash stock compensation expense in each period as follows:</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5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Three-Month Periods Ended</w:t>
            </w: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0"/>
        </w:trPr>
        <w:tc>
          <w:tcPr>
            <w:tcW w:w="5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0"/>
              <w:spacing w:after="0" w:line="190" w:lineRule="exact"/>
              <w:rPr>
                <w:sz w:val="20"/>
                <w:szCs w:val="20"/>
                <w:color w:val="auto"/>
              </w:rPr>
            </w:pPr>
            <w:r>
              <w:rPr>
                <w:rFonts w:ascii="Arial" w:cs="Arial" w:eastAsia="Arial" w:hAnsi="Arial"/>
                <w:sz w:val="18"/>
                <w:szCs w:val="18"/>
                <w:b w:val="1"/>
                <w:bCs w:val="1"/>
                <w:color w:val="auto"/>
              </w:rPr>
              <w:t>April 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5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4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174</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r>
      <w:tr>
        <w:trPr>
          <w:trHeight w:val="215"/>
        </w:trPr>
        <w:tc>
          <w:tcPr>
            <w:tcW w:w="568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185</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As of March 31, 2019, there was $372 of total unrecognized compensation cost related to outstanding stock options, which is expected to be recognized over a weighted average period of 0.8 years.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summarizes stock option activity for the three-month period ended March 31, 2019:</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left="279"/>
              <w:spacing w:after="0"/>
              <w:rPr>
                <w:sz w:val="20"/>
                <w:szCs w:val="20"/>
                <w:color w:val="auto"/>
              </w:rPr>
            </w:pPr>
            <w:r>
              <w:rPr>
                <w:rFonts w:ascii="Arial" w:cs="Arial" w:eastAsia="Arial" w:hAnsi="Arial"/>
                <w:sz w:val="18"/>
                <w:szCs w:val="18"/>
                <w:b w:val="1"/>
                <w:bCs w:val="1"/>
                <w:color w:val="auto"/>
                <w:w w:val="88"/>
              </w:rPr>
              <w:t>Weighted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left="279"/>
              <w:spacing w:after="0"/>
              <w:rPr>
                <w:sz w:val="20"/>
                <w:szCs w:val="20"/>
                <w:color w:val="auto"/>
              </w:rPr>
            </w:pPr>
            <w:r>
              <w:rPr>
                <w:rFonts w:ascii="Arial" w:cs="Arial" w:eastAsia="Arial" w:hAnsi="Arial"/>
                <w:sz w:val="18"/>
                <w:szCs w:val="18"/>
                <w:b w:val="1"/>
                <w:bCs w:val="1"/>
                <w:color w:val="auto"/>
                <w:w w:val="90"/>
              </w:rPr>
              <w:t>Average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7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Number of</w:t>
            </w:r>
          </w:p>
        </w:tc>
        <w:tc>
          <w:tcPr>
            <w:tcW w:w="1200" w:type="dxa"/>
            <w:vAlign w:val="bottom"/>
          </w:tcPr>
          <w:p>
            <w:pPr>
              <w:jc w:val="center"/>
              <w:ind w:left="279"/>
              <w:spacing w:after="0"/>
              <w:rPr>
                <w:sz w:val="20"/>
                <w:szCs w:val="20"/>
                <w:color w:val="auto"/>
              </w:rPr>
            </w:pPr>
            <w:r>
              <w:rPr>
                <w:rFonts w:ascii="Arial" w:cs="Arial" w:eastAsia="Arial" w:hAnsi="Arial"/>
                <w:sz w:val="18"/>
                <w:szCs w:val="18"/>
                <w:b w:val="1"/>
                <w:bCs w:val="1"/>
                <w:color w:val="auto"/>
                <w:w w:val="86"/>
              </w:rPr>
              <w:t>Exercise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1200" w:type="dxa"/>
            <w:vAlign w:val="bottom"/>
          </w:tcPr>
          <w:p>
            <w:pPr>
              <w:jc w:val="center"/>
              <w:ind w:left="279"/>
              <w:spacing w:after="0"/>
              <w:rPr>
                <w:sz w:val="20"/>
                <w:szCs w:val="20"/>
                <w:color w:val="auto"/>
              </w:rPr>
            </w:pPr>
            <w:r>
              <w:rPr>
                <w:rFonts w:ascii="Arial" w:cs="Arial" w:eastAsia="Arial" w:hAnsi="Arial"/>
                <w:sz w:val="18"/>
                <w:szCs w:val="18"/>
                <w:b w:val="1"/>
                <w:bCs w:val="1"/>
                <w:color w:val="auto"/>
                <w:w w:val="90"/>
              </w:rPr>
              <w:t>Price</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Term (years)</w:t>
            </w:r>
          </w:p>
        </w:tc>
        <w:tc>
          <w:tcPr>
            <w:tcW w:w="24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Outstanding at January 1,</w:t>
            </w:r>
          </w:p>
        </w:tc>
        <w:tc>
          <w:tcPr>
            <w:tcW w:w="15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1,576,087</w:t>
            </w:r>
          </w:p>
        </w:tc>
        <w:tc>
          <w:tcPr>
            <w:tcW w:w="1200" w:type="dxa"/>
            <w:vAlign w:val="bottom"/>
            <w:shd w:val="clear" w:color="auto" w:fill="CCEEFF"/>
          </w:tcPr>
          <w:p>
            <w:pPr>
              <w:jc w:val="right"/>
              <w:ind w:right="1039"/>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6.58</w:t>
            </w: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Granted</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(75,427)</w:t>
            </w:r>
          </w:p>
        </w:tc>
        <w:tc>
          <w:tcPr>
            <w:tcW w:w="1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4.71</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Forfeited or Expired</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2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Outstanding at March 31,</w:t>
            </w:r>
          </w:p>
        </w:tc>
        <w:tc>
          <w:tcPr>
            <w:tcW w:w="1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1,500,660</w:t>
            </w:r>
          </w:p>
        </w:tc>
        <w:tc>
          <w:tcPr>
            <w:tcW w:w="1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2019</w:t>
            </w:r>
          </w:p>
        </w:tc>
        <w:tc>
          <w:tcPr>
            <w:tcW w:w="1760" w:type="dxa"/>
            <w:vAlign w:val="bottom"/>
            <w:gridSpan w:val="2"/>
            <w:vMerge w:val="continue"/>
            <w:shd w:val="clear" w:color="auto" w:fill="CCEEFF"/>
          </w:tcPr>
          <w:p>
            <w:pPr>
              <w:spacing w:after="0"/>
              <w:rPr>
                <w:sz w:val="18"/>
                <w:szCs w:val="18"/>
                <w:color w:val="auto"/>
              </w:rPr>
            </w:pPr>
          </w:p>
        </w:tc>
        <w:tc>
          <w:tcPr>
            <w:tcW w:w="1200" w:type="dxa"/>
            <w:vAlign w:val="bottom"/>
            <w:shd w:val="clear" w:color="auto" w:fill="CCEEFF"/>
          </w:tcPr>
          <w:p>
            <w:pPr>
              <w:jc w:val="right"/>
              <w:ind w:right="1039"/>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w w:val="96"/>
              </w:rPr>
              <w:t>6.68</w:t>
            </w:r>
          </w:p>
        </w:tc>
        <w:tc>
          <w:tcPr>
            <w:tcW w:w="16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3.25</w:t>
            </w:r>
          </w:p>
        </w:tc>
        <w:tc>
          <w:tcPr>
            <w:tcW w:w="2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2260" w:type="dxa"/>
            <w:vAlign w:val="bottom"/>
          </w:tcPr>
          <w:p>
            <w:pPr>
              <w:spacing w:after="0" w:line="182" w:lineRule="exact"/>
              <w:rPr>
                <w:sz w:val="20"/>
                <w:szCs w:val="20"/>
                <w:color w:val="auto"/>
              </w:rPr>
            </w:pPr>
            <w:r>
              <w:rPr>
                <w:rFonts w:ascii="Arial" w:cs="Arial" w:eastAsia="Arial" w:hAnsi="Arial"/>
                <w:sz w:val="18"/>
                <w:szCs w:val="18"/>
                <w:color w:val="auto"/>
                <w:w w:val="96"/>
              </w:rPr>
              <w:t>Vested and Expected to Vest</w:t>
            </w:r>
          </w:p>
        </w:tc>
        <w:tc>
          <w:tcPr>
            <w:tcW w:w="1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1,409,243</w:t>
            </w: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60" w:type="dxa"/>
            <w:vAlign w:val="bottom"/>
          </w:tcPr>
          <w:p>
            <w:pPr>
              <w:ind w:left="140"/>
              <w:spacing w:after="0" w:line="189" w:lineRule="exact"/>
              <w:rPr>
                <w:sz w:val="20"/>
                <w:szCs w:val="20"/>
                <w:color w:val="auto"/>
              </w:rPr>
            </w:pPr>
            <w:r>
              <w:rPr>
                <w:rFonts w:ascii="Arial" w:cs="Arial" w:eastAsia="Arial" w:hAnsi="Arial"/>
                <w:sz w:val="18"/>
                <w:szCs w:val="18"/>
                <w:color w:val="auto"/>
              </w:rPr>
              <w:t>at March 31, 2019</w:t>
            </w:r>
          </w:p>
        </w:tc>
        <w:tc>
          <w:tcPr>
            <w:tcW w:w="1760" w:type="dxa"/>
            <w:vAlign w:val="bottom"/>
            <w:gridSpan w:val="2"/>
            <w:vMerge w:val="continue"/>
          </w:tcPr>
          <w:p>
            <w:pPr>
              <w:spacing w:after="0"/>
              <w:rPr>
                <w:sz w:val="16"/>
                <w:szCs w:val="16"/>
                <w:color w:val="auto"/>
              </w:rPr>
            </w:pPr>
          </w:p>
        </w:tc>
        <w:tc>
          <w:tcPr>
            <w:tcW w:w="1200" w:type="dxa"/>
            <w:vAlign w:val="bottom"/>
          </w:tcPr>
          <w:p>
            <w:pPr>
              <w:jc w:val="right"/>
              <w:ind w:right="1039"/>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w w:val="96"/>
              </w:rPr>
              <w:t>6.65</w:t>
            </w:r>
          </w:p>
        </w:tc>
        <w:tc>
          <w:tcPr>
            <w:tcW w:w="16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3.12</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5,280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Exercisable at March 31,</w:t>
            </w:r>
          </w:p>
        </w:tc>
        <w:tc>
          <w:tcPr>
            <w:tcW w:w="1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1,031,701</w:t>
            </w: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2019</w:t>
            </w:r>
          </w:p>
        </w:tc>
        <w:tc>
          <w:tcPr>
            <w:tcW w:w="1760" w:type="dxa"/>
            <w:vAlign w:val="bottom"/>
            <w:gridSpan w:val="2"/>
            <w:vMerge w:val="continue"/>
            <w:shd w:val="clear" w:color="auto" w:fill="CCEEFF"/>
          </w:tcPr>
          <w:p>
            <w:pPr>
              <w:spacing w:after="0"/>
              <w:rPr>
                <w:sz w:val="18"/>
                <w:szCs w:val="18"/>
                <w:color w:val="auto"/>
              </w:rPr>
            </w:pPr>
          </w:p>
        </w:tc>
        <w:tc>
          <w:tcPr>
            <w:tcW w:w="1200" w:type="dxa"/>
            <w:vAlign w:val="bottom"/>
            <w:shd w:val="clear" w:color="auto" w:fill="CCEEFF"/>
          </w:tcPr>
          <w:p>
            <w:pPr>
              <w:jc w:val="right"/>
              <w:ind w:right="1039"/>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w w:val="96"/>
              </w:rPr>
              <w:t>5.98</w:t>
            </w:r>
          </w:p>
        </w:tc>
        <w:tc>
          <w:tcPr>
            <w:tcW w:w="16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Cash received from stock option exercises under our stock-based compensation plans for the three-month periods ended March 31, 2019 and April 1, 2018 was $356 and $939, respectively.</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January 2018, 17,500 shares of restricted stock were awarded to certain of our employees. These shares vest in equal annual installments over three years. The weighted average grant date fair value of these awards was $7.16 per share. Unrecognized compensation cost related to these restricted shares was $42 at March 31, 2019.</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effective tax rate for the three months ended March 31, 2019 and April 1, 2018 was 8% and 3%, respectively. The increase in our effective tax rate for the current quarter compared to the prior quarter was primarily due to the reversal of the valuation allowance on our U.S. deferred tax assets as of December 31, 2018.</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effective tax rate for the three months ended March 31, 2019 was lower than the U.S. federal statutory rate primarily due to tax benefits relating to the exercise of stock options during the period.</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March 31, 2019, we have domestic net operating losses (“NOL”) carryforwards of $63,388, which expire 2019 thru 2035, and domestic tax credits of $1,817, which expire 2028 thru 2037, available to reduce future taxable income. Management has concluded it is more likely than not that these domestic NOL and credit carryforwards will be fully utilized.</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March 31, 2019, for certain past operations in the U.K., we continue to report a valuation allowance for NOL carryforwards of approximately $10,000, nearly all of which can be carried forward indefinitely. Utilization of the net operating losses may be limited due to the change in the past U.K. operation and cannot currently be used to reduce taxable income at our other U.K. subsidiary, Accutronics Ltd.</w:t>
      </w:r>
    </w:p>
    <w:p>
      <w:pPr>
        <w:spacing w:after="0" w:line="183"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As of March 31, 2019, we have not recognized a valuation allowance against our other foreign deferred tax assets, as realization is considered to be more likely than not.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the Company maintains its assertion that all foreign earnings will be indefinitely reinvested in those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unrecognized tax benefits related to uncertain tax positions at March 31, 2019 and December 31, 2018.</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13" w:name="page14"/>
    <w:bookmarkEnd w:id="13"/>
    <w:p>
      <w:pPr>
        <w:jc w:val="both"/>
        <w:ind w:right="60"/>
        <w:spacing w:after="0" w:line="256" w:lineRule="auto"/>
        <w:rPr>
          <w:sz w:val="20"/>
          <w:szCs w:val="20"/>
          <w:color w:val="auto"/>
        </w:rPr>
      </w:pPr>
      <w:r>
        <w:rPr>
          <w:rFonts w:ascii="Arial" w:cs="Arial" w:eastAsia="Arial" w:hAnsi="Arial"/>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2000 through 2018 remain subject to examination by the Internal Revenue Service (“IRS”) due to our net operating loss carryforwards. Our U.S. tax matters for the years 2000 through 2018 remain subject to examination by various state and local tax jurisdictions due to our net operating loss carryforwards. Our tax matters for the years 2010 through 2018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224"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The Company has operating leases predominantly for operating facilities. As of March 31, 2019, the remaining lease terms on our operating leases range from less than one year to approximately 3 years. Renewal options to extend our leases have been exercised. Termination options are not reasonably certain of exercise by the Company. There is no transfer of title or option to purchase the leased assets upon expiration. There are no residual value guarantees or material restrictive covenants.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The components of lease expense for the current and prior comparative period were as follows:</w:t>
            </w: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0"/>
        </w:trPr>
        <w:tc>
          <w:tcPr>
            <w:tcW w:w="6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8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66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120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16"/>
                <w:szCs w:val="16"/>
                <w:color w:val="auto"/>
              </w:rPr>
            </w:pPr>
          </w:p>
        </w:tc>
        <w:tc>
          <w:tcPr>
            <w:tcW w:w="1260" w:type="dxa"/>
            <w:vAlign w:val="bottom"/>
          </w:tcPr>
          <w:p>
            <w:pPr>
              <w:jc w:val="right"/>
              <w:ind w:right="10"/>
              <w:spacing w:after="0" w:line="190" w:lineRule="exact"/>
              <w:rPr>
                <w:sz w:val="20"/>
                <w:szCs w:val="20"/>
                <w:color w:val="auto"/>
              </w:rPr>
            </w:pPr>
            <w:r>
              <w:rPr>
                <w:rFonts w:ascii="Arial" w:cs="Arial" w:eastAsia="Arial" w:hAnsi="Arial"/>
                <w:sz w:val="18"/>
                <w:szCs w:val="18"/>
                <w:b w:val="1"/>
                <w:bCs w:val="1"/>
                <w:color w:val="auto"/>
              </w:rPr>
              <w:t>April 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60" w:type="dxa"/>
            <w:vAlign w:val="bottom"/>
          </w:tcPr>
          <w:p>
            <w:pPr>
              <w:spacing w:after="0"/>
              <w:rPr>
                <w:sz w:val="20"/>
                <w:szCs w:val="20"/>
                <w:color w:val="auto"/>
              </w:rPr>
            </w:pPr>
          </w:p>
        </w:tc>
        <w:tc>
          <w:tcPr>
            <w:tcW w:w="7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145</w:t>
            </w:r>
          </w:p>
        </w:tc>
        <w:tc>
          <w:tcPr>
            <w:tcW w:w="12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r>
      <w:tr>
        <w:trPr>
          <w:trHeight w:val="215"/>
        </w:trPr>
        <w:tc>
          <w:tcPr>
            <w:tcW w:w="660" w:type="dxa"/>
            <w:vAlign w:val="bottom"/>
          </w:tcPr>
          <w:p>
            <w:pPr>
              <w:spacing w:after="0"/>
              <w:rPr>
                <w:sz w:val="18"/>
                <w:szCs w:val="18"/>
                <w:color w:val="auto"/>
              </w:rPr>
            </w:pPr>
          </w:p>
        </w:tc>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Variable Lease Cost</w:t>
            </w: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49"/>
        </w:trPr>
        <w:tc>
          <w:tcPr>
            <w:tcW w:w="660" w:type="dxa"/>
            <w:vAlign w:val="bottom"/>
          </w:tcPr>
          <w:p>
            <w:pPr>
              <w:spacing w:after="0"/>
              <w:rPr>
                <w:sz w:val="21"/>
                <w:szCs w:val="21"/>
                <w:color w:val="auto"/>
              </w:rPr>
            </w:pPr>
          </w:p>
        </w:tc>
        <w:tc>
          <w:tcPr>
            <w:tcW w:w="74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 Lease Cost</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166</w:t>
            </w:r>
          </w:p>
        </w:tc>
        <w:tc>
          <w:tcPr>
            <w:tcW w:w="12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20"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40"/>
              <w:spacing w:after="0" w:line="190" w:lineRule="exact"/>
              <w:rPr>
                <w:sz w:val="20"/>
                <w:szCs w:val="20"/>
                <w:color w:val="auto"/>
              </w:rPr>
            </w:pPr>
            <w:r>
              <w:rPr>
                <w:rFonts w:ascii="Arial" w:cs="Arial" w:eastAsia="Arial" w:hAnsi="Arial"/>
                <w:sz w:val="18"/>
                <w:szCs w:val="18"/>
                <w:b w:val="1"/>
                <w:bCs w:val="1"/>
                <w:color w:val="auto"/>
              </w:rPr>
              <w:t>March 31,</w:t>
            </w: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70"/>
              <w:spacing w:after="0" w:line="190" w:lineRule="exact"/>
              <w:rPr>
                <w:sz w:val="20"/>
                <w:szCs w:val="20"/>
                <w:color w:val="auto"/>
              </w:rPr>
            </w:pPr>
            <w:r>
              <w:rPr>
                <w:rFonts w:ascii="Arial" w:cs="Arial" w:eastAsia="Arial" w:hAnsi="Arial"/>
                <w:sz w:val="18"/>
                <w:szCs w:val="18"/>
                <w:b w:val="1"/>
                <w:bCs w:val="1"/>
                <w:color w:val="auto"/>
              </w:rPr>
              <w:t>April 1,</w:t>
            </w: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150</w:t>
            </w:r>
          </w:p>
        </w:tc>
        <w:tc>
          <w:tcPr>
            <w:tcW w:w="3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7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3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Balance Sheet Classification</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Operating lease right-of-use asset</w:t>
            </w:r>
          </w:p>
        </w:tc>
        <w:tc>
          <w:tcPr>
            <w:tcW w:w="38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28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844</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Liabilities:</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operating lease liability</w:t>
            </w: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28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412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Operating lease liability, net of current portion</w:t>
            </w:r>
          </w:p>
        </w:tc>
        <w:tc>
          <w:tcPr>
            <w:tcW w:w="3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436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liability</w:t>
            </w:r>
          </w:p>
        </w:tc>
        <w:tc>
          <w:tcPr>
            <w:tcW w:w="38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848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860" w:type="dxa"/>
            <w:vAlign w:val="bottom"/>
          </w:tcPr>
          <w:p>
            <w:pPr>
              <w:ind w:left="15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40" w:top="583" w:right="1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Future minimum lease payments as of March 31, 2019 are as follows: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Maturity of Operating Lease Liabilities</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374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2020</w:t>
            </w:r>
          </w:p>
        </w:tc>
        <w:tc>
          <w:tcPr>
            <w:tcW w:w="37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r>
      <w:tr>
        <w:trPr>
          <w:trHeight w:val="215"/>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7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15"/>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2022</w:t>
            </w:r>
          </w:p>
        </w:tc>
        <w:tc>
          <w:tcPr>
            <w:tcW w:w="37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5"/>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7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3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7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r>
      <w:tr>
        <w:trPr>
          <w:trHeight w:val="215"/>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Less: Imputed interest</w:t>
            </w:r>
          </w:p>
        </w:tc>
        <w:tc>
          <w:tcPr>
            <w:tcW w:w="37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249"/>
        </w:trPr>
        <w:tc>
          <w:tcPr>
            <w:tcW w:w="20" w:type="dxa"/>
            <w:vAlign w:val="bottom"/>
          </w:tcPr>
          <w:p>
            <w:pPr>
              <w:spacing w:after="0"/>
              <w:rPr>
                <w:sz w:val="21"/>
                <w:szCs w:val="21"/>
                <w:color w:val="auto"/>
              </w:rPr>
            </w:pPr>
          </w:p>
        </w:tc>
        <w:tc>
          <w:tcPr>
            <w:tcW w:w="6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Present value of remaining lease payments</w:t>
            </w:r>
          </w:p>
        </w:tc>
        <w:tc>
          <w:tcPr>
            <w:tcW w:w="374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10.</w:t>
        <w:tab/>
        <w:t>COMMITMENTS AND CONTINGENCIES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 Purchase Commitments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we have made commitments to purchase approximately $2,363 of production machinery and equipment.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 Product Warranties</w:t>
      </w:r>
    </w:p>
    <w:p>
      <w:pPr>
        <w:spacing w:after="0" w:line="224"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first three months of 2019 and 2018 were as follows:</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28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Three-Month Periods Ended</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7480" w:type="dxa"/>
            <w:vAlign w:val="bottom"/>
          </w:tcPr>
          <w:p>
            <w:pPr>
              <w:spacing w:after="0"/>
              <w:rPr>
                <w:sz w:val="16"/>
                <w:szCs w:val="16"/>
                <w:color w:val="auto"/>
              </w:rPr>
            </w:pPr>
          </w:p>
        </w:tc>
        <w:tc>
          <w:tcPr>
            <w:tcW w:w="124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ind w:right="10"/>
              <w:spacing w:after="0" w:line="190" w:lineRule="exact"/>
              <w:rPr>
                <w:sz w:val="20"/>
                <w:szCs w:val="20"/>
                <w:color w:val="auto"/>
              </w:rPr>
            </w:pPr>
            <w:r>
              <w:rPr>
                <w:rFonts w:ascii="Arial" w:cs="Arial" w:eastAsia="Arial" w:hAnsi="Arial"/>
                <w:sz w:val="18"/>
                <w:szCs w:val="18"/>
                <w:b w:val="1"/>
                <w:bCs w:val="1"/>
                <w:color w:val="auto"/>
              </w:rPr>
              <w:t>April 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7480" w:type="dxa"/>
            <w:vAlign w:val="bottom"/>
          </w:tcPr>
          <w:p>
            <w:pPr>
              <w:spacing w:after="0"/>
              <w:rPr>
                <w:sz w:val="20"/>
                <w:szCs w:val="20"/>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 Beginning</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15"/>
        </w:trPr>
        <w:tc>
          <w:tcPr>
            <w:tcW w:w="748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1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5"/>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1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0"/>
        </w:trPr>
        <w:tc>
          <w:tcPr>
            <w:tcW w:w="74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480" w:type="dxa"/>
            <w:vAlign w:val="bottom"/>
          </w:tcPr>
          <w:p>
            <w:pPr>
              <w:spacing w:after="0"/>
              <w:rPr>
                <w:sz w:val="20"/>
                <w:szCs w:val="20"/>
                <w:color w:val="auto"/>
              </w:rPr>
            </w:pPr>
            <w:r>
              <w:rPr>
                <w:rFonts w:ascii="Arial" w:cs="Arial" w:eastAsia="Arial" w:hAnsi="Arial"/>
                <w:sz w:val="18"/>
                <w:szCs w:val="18"/>
                <w:color w:val="auto"/>
              </w:rPr>
              <w:t>Accrued Warranty Obligations – Ending</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22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r>
      <w:tr>
        <w:trPr>
          <w:trHeight w:val="20"/>
        </w:trPr>
        <w:tc>
          <w:tcPr>
            <w:tcW w:w="74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 Contingencies and Legal Matters</w:t>
      </w:r>
    </w:p>
    <w:p>
      <w:pPr>
        <w:spacing w:after="0" w:line="22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and there exists the possibility that ultimate resolution of these matters could have a material adverse impact on the Company’s financial position and results of operations in the period in which any such effects are recorded. We are not aware of any such situations at this time.</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80"/>
          </w:cols>
          <w:pgMar w:left="240" w:top="583" w:right="179" w:bottom="1440" w:gutter="0" w:footer="0" w:header="0"/>
        </w:sectPr>
      </w:pPr>
    </w:p>
    <w:bookmarkStart w:id="15" w:name="page16"/>
    <w:bookmarkEnd w:id="15"/>
    <w:p>
      <w:pPr>
        <w:ind w:left="440" w:hanging="432"/>
        <w:spacing w:after="0"/>
        <w:tabs>
          <w:tab w:leader="none" w:pos="44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SEGMENT INFORMATION</w:t>
      </w:r>
    </w:p>
    <w:p>
      <w:pPr>
        <w:spacing w:after="0" w:line="224" w:lineRule="exact"/>
        <w:rPr>
          <w:sz w:val="20"/>
          <w:szCs w:val="20"/>
          <w:color w:val="auto"/>
        </w:rPr>
      </w:pPr>
    </w:p>
    <w:p>
      <w:pPr>
        <w:jc w:val="both"/>
        <w:ind w:right="100"/>
        <w:spacing w:after="0" w:line="272" w:lineRule="auto"/>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 includes: lithium 9-volt, cylindrical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segment performance were as follows: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Three-Month Period Ended March 31, 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Communi-</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cations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7"/>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3"/>
              </w:rPr>
              <w:t>Systems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18,882</w:t>
            </w:r>
          </w:p>
        </w:tc>
      </w:tr>
      <w:tr>
        <w:trPr>
          <w:trHeight w:val="215"/>
        </w:trPr>
        <w:tc>
          <w:tcPr>
            <w:tcW w:w="3180" w:type="dxa"/>
            <w:vAlign w:val="bottom"/>
          </w:tcPr>
          <w:p>
            <w:pPr>
              <w:spacing w:after="0"/>
              <w:rPr>
                <w:sz w:val="20"/>
                <w:szCs w:val="20"/>
                <w:color w:val="auto"/>
              </w:rPr>
            </w:pPr>
            <w:r>
              <w:rPr>
                <w:rFonts w:ascii="Arial" w:cs="Arial" w:eastAsia="Arial" w:hAnsi="Arial"/>
                <w:sz w:val="18"/>
                <w:szCs w:val="18"/>
                <w:color w:val="auto"/>
              </w:rPr>
              <w:t>Segment Contribution</w:t>
            </w:r>
          </w:p>
        </w:tc>
        <w:tc>
          <w:tcPr>
            <w:tcW w:w="2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4,410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(4,536)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r>
      <w:tr>
        <w:trPr>
          <w:trHeight w:val="215"/>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5"/>
        </w:trPr>
        <w:tc>
          <w:tcPr>
            <w:tcW w:w="3180" w:type="dxa"/>
            <w:vAlign w:val="bottom"/>
          </w:tcPr>
          <w:p>
            <w:pPr>
              <w:spacing w:after="0"/>
              <w:rPr>
                <w:sz w:val="20"/>
                <w:szCs w:val="20"/>
                <w:color w:val="auto"/>
              </w:rPr>
            </w:pPr>
            <w:r>
              <w:rPr>
                <w:rFonts w:ascii="Arial" w:cs="Arial" w:eastAsia="Arial" w:hAnsi="Arial"/>
                <w:sz w:val="18"/>
                <w:szCs w:val="18"/>
                <w:color w:val="auto"/>
              </w:rPr>
              <w:t>Tax Provision</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5"/>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r>
      <w:tr>
        <w:trPr>
          <w:trHeight w:val="416"/>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w w:val="99"/>
              </w:rPr>
              <w:t>Three-Month Period Ended April 1, 2018:</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Communi-</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Energy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cations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7"/>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3"/>
              </w:rPr>
              <w:t>Systems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23,069</w:t>
            </w:r>
          </w:p>
        </w:tc>
      </w:tr>
      <w:tr>
        <w:trPr>
          <w:trHeight w:val="215"/>
        </w:trPr>
        <w:tc>
          <w:tcPr>
            <w:tcW w:w="3180" w:type="dxa"/>
            <w:vAlign w:val="bottom"/>
          </w:tcPr>
          <w:p>
            <w:pPr>
              <w:spacing w:after="0"/>
              <w:rPr>
                <w:sz w:val="20"/>
                <w:szCs w:val="20"/>
                <w:color w:val="auto"/>
              </w:rPr>
            </w:pPr>
            <w:r>
              <w:rPr>
                <w:rFonts w:ascii="Arial" w:cs="Arial" w:eastAsia="Arial" w:hAnsi="Arial"/>
                <w:sz w:val="18"/>
                <w:szCs w:val="18"/>
                <w:color w:val="auto"/>
              </w:rPr>
              <w:t>Segment Contribution</w:t>
            </w:r>
          </w:p>
        </w:tc>
        <w:tc>
          <w:tcPr>
            <w:tcW w:w="2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5,036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(4,926)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2,356</w:t>
            </w:r>
          </w:p>
        </w:tc>
      </w:tr>
      <w:tr>
        <w:trPr>
          <w:trHeight w:val="215"/>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r>
      <w:tr>
        <w:trPr>
          <w:trHeight w:val="215"/>
        </w:trPr>
        <w:tc>
          <w:tcPr>
            <w:tcW w:w="3180" w:type="dxa"/>
            <w:vAlign w:val="bottom"/>
          </w:tcPr>
          <w:p>
            <w:pPr>
              <w:spacing w:after="0"/>
              <w:rPr>
                <w:sz w:val="20"/>
                <w:szCs w:val="20"/>
                <w:color w:val="auto"/>
              </w:rPr>
            </w:pPr>
            <w:r>
              <w:rPr>
                <w:rFonts w:ascii="Arial" w:cs="Arial" w:eastAsia="Arial" w:hAnsi="Arial"/>
                <w:sz w:val="18"/>
                <w:szCs w:val="18"/>
                <w:color w:val="auto"/>
              </w:rPr>
              <w:t>Tax Provision</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15"/>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2,151</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disaggregate our business segment revenues by major source and geography.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gridSpan w:val="4"/>
          </w:tcPr>
          <w:p>
            <w:pPr>
              <w:ind w:left="660"/>
              <w:spacing w:after="0"/>
              <w:rPr>
                <w:sz w:val="20"/>
                <w:szCs w:val="20"/>
                <w:color w:val="auto"/>
              </w:rPr>
            </w:pPr>
            <w:r>
              <w:rPr>
                <w:rFonts w:ascii="Arial" w:cs="Arial" w:eastAsia="Arial" w:hAnsi="Arial"/>
                <w:sz w:val="18"/>
                <w:szCs w:val="18"/>
                <w:color w:val="auto"/>
                <w:w w:val="96"/>
              </w:rPr>
              <w:t>Commercial and Government/Defense Revenue Information:</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37"/>
        </w:trPr>
        <w:tc>
          <w:tcPr>
            <w:tcW w:w="6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7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Government/</w:t>
            </w:r>
          </w:p>
        </w:tc>
      </w:tr>
      <w:tr>
        <w:trPr>
          <w:trHeight w:val="230"/>
        </w:trPr>
        <w:tc>
          <w:tcPr>
            <w:tcW w:w="660" w:type="dxa"/>
            <w:vAlign w:val="bottom"/>
          </w:tcPr>
          <w:p>
            <w:pPr>
              <w:spacing w:after="0"/>
              <w:rPr>
                <w:sz w:val="19"/>
                <w:szCs w:val="19"/>
                <w:color w:val="auto"/>
              </w:rPr>
            </w:pPr>
          </w:p>
        </w:tc>
        <w:tc>
          <w:tcPr>
            <w:tcW w:w="4680" w:type="dxa"/>
            <w:vAlign w:val="bottom"/>
            <w:gridSpan w:val="3"/>
          </w:tcPr>
          <w:p>
            <w:pPr>
              <w:ind w:left="640"/>
              <w:spacing w:after="0"/>
              <w:rPr>
                <w:sz w:val="20"/>
                <w:szCs w:val="20"/>
                <w:color w:val="auto"/>
              </w:rPr>
            </w:pPr>
            <w:r>
              <w:rPr>
                <w:rFonts w:ascii="Arial" w:cs="Arial" w:eastAsia="Arial" w:hAnsi="Arial"/>
                <w:sz w:val="18"/>
                <w:szCs w:val="18"/>
                <w:color w:val="auto"/>
              </w:rPr>
              <w:t>Three-Month Period Ended March 31, 2019:</w:t>
            </w:r>
          </w:p>
        </w:tc>
        <w:tc>
          <w:tcPr>
            <w:tcW w:w="1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8"/>
              </w:rPr>
              <w:t>Revenue</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Defense</w:t>
            </w:r>
          </w:p>
        </w:tc>
        <w:tc>
          <w:tcPr>
            <w:tcW w:w="120" w:type="dxa"/>
            <w:vAlign w:val="bottom"/>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15,998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20" w:type="dxa"/>
            <w:vAlign w:val="bottom"/>
            <w:tcBorders>
              <w:left w:val="single" w:sz="8" w:color="CCEEFF"/>
            </w:tcBorders>
            <w:shd w:val="clear" w:color="auto" w:fill="CCEEFF"/>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Communications Systems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2,884</w:t>
            </w:r>
          </w:p>
        </w:tc>
        <w:tc>
          <w:tcPr>
            <w:tcW w:w="22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2,884</w:t>
            </w:r>
          </w:p>
        </w:tc>
        <w:tc>
          <w:tcPr>
            <w:tcW w:w="1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18,882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w:t>
            </w:r>
          </w:p>
        </w:tc>
        <w:tc>
          <w:tcPr>
            <w:tcW w:w="120" w:type="dxa"/>
            <w:vAlign w:val="bottom"/>
            <w:tcBorders>
              <w:left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53%</w:t>
            </w: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i w:val="1"/>
                <w:iCs w:val="1"/>
                <w:color w:val="auto"/>
              </w:rPr>
              <w:t>47%</w:t>
            </w:r>
          </w:p>
        </w:tc>
      </w:tr>
      <w:tr>
        <w:trPr>
          <w:trHeight w:val="402"/>
        </w:trPr>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Government/</w:t>
            </w:r>
          </w:p>
        </w:tc>
      </w:tr>
      <w:tr>
        <w:trPr>
          <w:trHeight w:val="230"/>
        </w:trPr>
        <w:tc>
          <w:tcPr>
            <w:tcW w:w="660" w:type="dxa"/>
            <w:vAlign w:val="bottom"/>
          </w:tcPr>
          <w:p>
            <w:pPr>
              <w:spacing w:after="0"/>
              <w:rPr>
                <w:sz w:val="19"/>
                <w:szCs w:val="19"/>
                <w:color w:val="auto"/>
              </w:rPr>
            </w:pPr>
          </w:p>
        </w:tc>
        <w:tc>
          <w:tcPr>
            <w:tcW w:w="4680" w:type="dxa"/>
            <w:vAlign w:val="bottom"/>
            <w:gridSpan w:val="3"/>
          </w:tcPr>
          <w:p>
            <w:pPr>
              <w:ind w:left="640"/>
              <w:spacing w:after="0"/>
              <w:rPr>
                <w:sz w:val="20"/>
                <w:szCs w:val="20"/>
                <w:color w:val="auto"/>
              </w:rPr>
            </w:pPr>
            <w:r>
              <w:rPr>
                <w:rFonts w:ascii="Arial" w:cs="Arial" w:eastAsia="Arial" w:hAnsi="Arial"/>
                <w:sz w:val="18"/>
                <w:szCs w:val="18"/>
                <w:color w:val="auto"/>
              </w:rPr>
              <w:t>Three-Month Period Ended April 1, 2018:</w:t>
            </w:r>
          </w:p>
        </w:tc>
        <w:tc>
          <w:tcPr>
            <w:tcW w:w="1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8"/>
              </w:rPr>
              <w:t>Revenue</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Defense</w:t>
            </w:r>
          </w:p>
        </w:tc>
        <w:tc>
          <w:tcPr>
            <w:tcW w:w="120" w:type="dxa"/>
            <w:vAlign w:val="bottom"/>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17,224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120" w:type="dxa"/>
            <w:vAlign w:val="bottom"/>
            <w:tcBorders>
              <w:left w:val="single" w:sz="8" w:color="CCEEFF"/>
            </w:tcBorders>
            <w:shd w:val="clear" w:color="auto" w:fill="CCEEFF"/>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Communications Systems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5,845</w:t>
            </w:r>
          </w:p>
        </w:tc>
        <w:tc>
          <w:tcPr>
            <w:tcW w:w="22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5,845</w:t>
            </w:r>
          </w:p>
        </w:tc>
        <w:tc>
          <w:tcPr>
            <w:tcW w:w="1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23,069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13,443</w:t>
            </w:r>
          </w:p>
        </w:tc>
        <w:tc>
          <w:tcPr>
            <w:tcW w:w="120" w:type="dxa"/>
            <w:vAlign w:val="bottom"/>
            <w:tcBorders>
              <w:left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42%</w:t>
            </w: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i w:val="1"/>
                <w:iCs w:val="1"/>
                <w:color w:val="auto"/>
              </w:rPr>
              <w:t>58%</w:t>
            </w:r>
          </w:p>
        </w:tc>
      </w:tr>
      <w:tr>
        <w:trPr>
          <w:trHeight w:val="416"/>
        </w:trPr>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4"/>
        </w:trPr>
        <w:tc>
          <w:tcPr>
            <w:tcW w:w="6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bl>
    <w:p>
      <w:pPr>
        <w:sectPr>
          <w:pgSz w:w="11900" w:h="16838" w:orient="portrait"/>
          <w:cols w:equalWidth="0" w:num="1">
            <w:col w:w="11520"/>
          </w:cols>
          <w:pgMar w:left="240" w:top="1067" w:right="139" w:bottom="1440" w:gutter="0" w:footer="0" w:header="0"/>
        </w:sectPr>
      </w:pPr>
    </w:p>
    <w:bookmarkStart w:id="16" w:name="page17"/>
    <w:bookmarkEnd w:id="16"/>
    <w:p>
      <w:pPr>
        <w:ind w:left="652"/>
        <w:spacing w:after="0"/>
        <w:rPr>
          <w:sz w:val="20"/>
          <w:szCs w:val="20"/>
          <w:color w:val="auto"/>
        </w:rPr>
      </w:pPr>
      <w:r>
        <w:rPr>
          <w:rFonts w:ascii="Arial" w:cs="Arial" w:eastAsia="Arial" w:hAnsi="Arial"/>
          <w:sz w:val="18"/>
          <w:szCs w:val="18"/>
          <w:u w:val="single" w:color="auto"/>
          <w:color w:val="auto"/>
        </w:rPr>
        <w:t>U.S. and Non-U.S. Revenue Information</w:t>
      </w:r>
      <w:r>
        <w:rPr>
          <w:rFonts w:ascii="Arial" w:cs="Arial" w:eastAsia="Arial" w:hAnsi="Arial"/>
          <w:sz w:val="29"/>
          <w:szCs w:val="29"/>
          <w:u w:val="single" w:color="auto"/>
          <w:color w:val="auto"/>
          <w:vertAlign w:val="superscript"/>
        </w:rPr>
        <w:t>1</w:t>
      </w:r>
      <w:r>
        <w:rPr>
          <w:rFonts w:ascii="Arial" w:cs="Arial" w:eastAsia="Arial" w:hAnsi="Arial"/>
          <w:sz w:val="18"/>
          <w:szCs w:val="18"/>
          <w:u w:val="single" w:color="auto"/>
          <w:color w:val="auto"/>
        </w:rPr>
        <w:t>:</w:t>
      </w:r>
    </w:p>
    <w:p>
      <w:pPr>
        <w:spacing w:after="0" w:line="363"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Three-Month Period Ended March 31, 2019:</w:t>
      </w:r>
    </w:p>
    <w:p>
      <w:pPr>
        <w:spacing w:after="0" w:line="46"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Battery &amp; Energy Products</w:t>
      </w:r>
    </w:p>
    <w:p>
      <w:pPr>
        <w:spacing w:after="0" w:line="8"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Communications Systems</w:t>
      </w:r>
    </w:p>
    <w:p>
      <w:pPr>
        <w:spacing w:after="0" w:line="48" w:lineRule="exact"/>
        <w:rPr>
          <w:sz w:val="20"/>
          <w:szCs w:val="20"/>
          <w:color w:val="auto"/>
        </w:rPr>
      </w:pPr>
    </w:p>
    <w:p>
      <w:pPr>
        <w:ind w:left="1452"/>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92"/>
        <w:spacing w:after="0"/>
        <w:rPr>
          <w:sz w:val="20"/>
          <w:szCs w:val="20"/>
          <w:color w:val="auto"/>
        </w:rPr>
      </w:pPr>
      <w:r>
        <w:rPr>
          <w:rFonts w:ascii="Arial" w:cs="Arial" w:eastAsia="Arial" w:hAnsi="Arial"/>
          <w:sz w:val="17"/>
          <w:szCs w:val="17"/>
          <w:color w:val="auto"/>
        </w:rPr>
        <w:t>Three-Month Period Ended April 1, 2018:</w:t>
      </w:r>
    </w:p>
    <w:p>
      <w:pPr>
        <w:spacing w:after="0" w:line="34"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Battery &amp; Energy Products</w:t>
      </w:r>
    </w:p>
    <w:p>
      <w:pPr>
        <w:spacing w:after="0" w:line="8"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Communications Systems</w:t>
      </w:r>
    </w:p>
    <w:p>
      <w:pPr>
        <w:spacing w:after="0" w:line="48" w:lineRule="exact"/>
        <w:rPr>
          <w:sz w:val="20"/>
          <w:szCs w:val="20"/>
          <w:color w:val="auto"/>
        </w:rPr>
      </w:pPr>
    </w:p>
    <w:p>
      <w:pPr>
        <w:ind w:left="1452"/>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spacing w:after="0"/>
              <w:rPr>
                <w:sz w:val="18"/>
                <w:szCs w:val="18"/>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Non-United</w:t>
            </w:r>
          </w:p>
        </w:tc>
      </w:tr>
      <w:tr>
        <w:trPr>
          <w:trHeight w:val="230"/>
        </w:trPr>
        <w:tc>
          <w:tcPr>
            <w:tcW w:w="260" w:type="dxa"/>
            <w:vAlign w:val="bottom"/>
          </w:tcPr>
          <w:p>
            <w:pPr>
              <w:spacing w:after="0"/>
              <w:rPr>
                <w:sz w:val="19"/>
                <w:szCs w:val="19"/>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8"/>
                <w:szCs w:val="18"/>
                <w:color w:val="auto"/>
                <w:w w:val="88"/>
              </w:rPr>
              <w:t>Revenue</w:t>
            </w:r>
          </w:p>
        </w:tc>
        <w:tc>
          <w:tcPr>
            <w:tcW w:w="200" w:type="dxa"/>
            <w:vAlign w:val="bottom"/>
          </w:tcPr>
          <w:p>
            <w:pPr>
              <w:spacing w:after="0"/>
              <w:rPr>
                <w:sz w:val="19"/>
                <w:szCs w:val="19"/>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w w:val="96"/>
              </w:rPr>
              <w:t>United States</w:t>
            </w:r>
          </w:p>
        </w:tc>
        <w:tc>
          <w:tcPr>
            <w:tcW w:w="22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82"/>
              </w:rPr>
              <w:t>States</w:t>
            </w:r>
          </w:p>
        </w:tc>
      </w:tr>
      <w:tr>
        <w:trPr>
          <w:trHeight w:val="194"/>
        </w:trPr>
        <w:tc>
          <w:tcPr>
            <w:tcW w:w="26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15,998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7,567</w:t>
            </w:r>
          </w:p>
        </w:tc>
        <w:tc>
          <w:tcPr>
            <w:tcW w:w="24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8,431</w:t>
            </w:r>
          </w:p>
        </w:tc>
        <w:tc>
          <w:tcPr>
            <w:tcW w:w="120" w:type="dxa"/>
            <w:vAlign w:val="bottom"/>
          </w:tcPr>
          <w:p>
            <w:pPr>
              <w:spacing w:after="0"/>
              <w:rPr>
                <w:sz w:val="16"/>
                <w:szCs w:val="16"/>
                <w:color w:val="auto"/>
              </w:rPr>
            </w:pPr>
          </w:p>
        </w:tc>
      </w:tr>
      <w:tr>
        <w:trPr>
          <w:trHeight w:val="230"/>
        </w:trPr>
        <w:tc>
          <w:tcPr>
            <w:tcW w:w="2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2,884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2,454</w:t>
            </w:r>
          </w:p>
        </w:tc>
        <w:tc>
          <w:tcPr>
            <w:tcW w:w="2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430</w:t>
            </w:r>
          </w:p>
        </w:tc>
      </w:tr>
      <w:tr>
        <w:trPr>
          <w:trHeight w:val="209"/>
        </w:trPr>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18,882</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10,021</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8,861</w:t>
            </w:r>
          </w:p>
        </w:tc>
        <w:tc>
          <w:tcPr>
            <w:tcW w:w="120" w:type="dxa"/>
            <w:vAlign w:val="bottom"/>
          </w:tcPr>
          <w:p>
            <w:pPr>
              <w:spacing w:after="0"/>
              <w:rPr>
                <w:sz w:val="18"/>
                <w:szCs w:val="18"/>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53%</w:t>
            </w:r>
          </w:p>
        </w:tc>
        <w:tc>
          <w:tcPr>
            <w:tcW w:w="2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i w:val="1"/>
                <w:iCs w:val="1"/>
                <w:color w:val="auto"/>
              </w:rPr>
              <w:t>47%</w:t>
            </w:r>
          </w:p>
        </w:tc>
      </w:tr>
      <w:tr>
        <w:trPr>
          <w:trHeight w:val="402"/>
        </w:trPr>
        <w:tc>
          <w:tcPr>
            <w:tcW w:w="260" w:type="dxa"/>
            <w:vAlign w:val="bottom"/>
          </w:tcPr>
          <w:p>
            <w:pPr>
              <w:spacing w:after="0"/>
              <w:rPr>
                <w:sz w:val="24"/>
                <w:szCs w:val="24"/>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Non-United</w:t>
            </w:r>
          </w:p>
        </w:tc>
      </w:tr>
      <w:tr>
        <w:trPr>
          <w:trHeight w:val="230"/>
        </w:trPr>
        <w:tc>
          <w:tcPr>
            <w:tcW w:w="260" w:type="dxa"/>
            <w:vAlign w:val="bottom"/>
          </w:tcPr>
          <w:p>
            <w:pPr>
              <w:spacing w:after="0"/>
              <w:rPr>
                <w:sz w:val="19"/>
                <w:szCs w:val="19"/>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8"/>
                <w:szCs w:val="18"/>
                <w:color w:val="auto"/>
                <w:w w:val="88"/>
              </w:rPr>
              <w:t>Revenue</w:t>
            </w:r>
          </w:p>
        </w:tc>
        <w:tc>
          <w:tcPr>
            <w:tcW w:w="200" w:type="dxa"/>
            <w:vAlign w:val="bottom"/>
          </w:tcPr>
          <w:p>
            <w:pPr>
              <w:spacing w:after="0"/>
              <w:rPr>
                <w:sz w:val="19"/>
                <w:szCs w:val="19"/>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w w:val="96"/>
              </w:rPr>
              <w:t>United States</w:t>
            </w:r>
          </w:p>
        </w:tc>
        <w:tc>
          <w:tcPr>
            <w:tcW w:w="22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82"/>
              </w:rPr>
              <w:t>States</w:t>
            </w:r>
          </w:p>
        </w:tc>
      </w:tr>
      <w:tr>
        <w:trPr>
          <w:trHeight w:val="194"/>
        </w:trPr>
        <w:tc>
          <w:tcPr>
            <w:tcW w:w="26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17,224</w:t>
            </w:r>
          </w:p>
        </w:tc>
        <w:tc>
          <w:tcPr>
            <w:tcW w:w="180" w:type="dxa"/>
            <w:vAlign w:val="bottom"/>
            <w:gridSpan w:val="2"/>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9,415</w:t>
            </w:r>
          </w:p>
        </w:tc>
        <w:tc>
          <w:tcPr>
            <w:tcW w:w="24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7,809</w:t>
            </w:r>
          </w:p>
        </w:tc>
        <w:tc>
          <w:tcPr>
            <w:tcW w:w="120" w:type="dxa"/>
            <w:vAlign w:val="bottom"/>
          </w:tcPr>
          <w:p>
            <w:pPr>
              <w:spacing w:after="0"/>
              <w:rPr>
                <w:sz w:val="16"/>
                <w:szCs w:val="16"/>
                <w:color w:val="auto"/>
              </w:rPr>
            </w:pPr>
          </w:p>
        </w:tc>
      </w:tr>
      <w:tr>
        <w:trPr>
          <w:trHeight w:val="230"/>
        </w:trPr>
        <w:tc>
          <w:tcPr>
            <w:tcW w:w="2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5,845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5,573</w:t>
            </w:r>
          </w:p>
        </w:tc>
        <w:tc>
          <w:tcPr>
            <w:tcW w:w="2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272</w:t>
            </w:r>
          </w:p>
        </w:tc>
      </w:tr>
      <w:tr>
        <w:trPr>
          <w:trHeight w:val="209"/>
        </w:trPr>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23,069</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14,988</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8,081</w:t>
            </w:r>
          </w:p>
        </w:tc>
        <w:tc>
          <w:tcPr>
            <w:tcW w:w="120" w:type="dxa"/>
            <w:vAlign w:val="bottom"/>
          </w:tcPr>
          <w:p>
            <w:pPr>
              <w:spacing w:after="0"/>
              <w:rPr>
                <w:sz w:val="18"/>
                <w:szCs w:val="18"/>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65%</w:t>
            </w:r>
          </w:p>
        </w:tc>
        <w:tc>
          <w:tcPr>
            <w:tcW w:w="2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i w:val="1"/>
                <w:iCs w:val="1"/>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-1589405</wp:posOffset>
            </wp:positionV>
            <wp:extent cx="6489700" cy="136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89700" cy="136525"/>
                    </a:xfrm>
                    <a:prstGeom prst="rect">
                      <a:avLst/>
                    </a:prstGeom>
                    <a:noFill/>
                  </pic:spPr>
                </pic:pic>
              </a:graphicData>
            </a:graphic>
          </wp:anchor>
        </w:drawing>
        <w:drawing>
          <wp:anchor simplePos="0" relativeHeight="251657728" behindDoc="1" locked="0" layoutInCell="0" allowOverlap="1">
            <wp:simplePos x="0" y="0"/>
            <wp:positionH relativeFrom="column">
              <wp:posOffset>-3237865</wp:posOffset>
            </wp:positionH>
            <wp:positionV relativeFrom="paragraph">
              <wp:posOffset>-1307465</wp:posOffset>
            </wp:positionV>
            <wp:extent cx="648970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9700" cy="162560"/>
                    </a:xfrm>
                    <a:prstGeom prst="rect">
                      <a:avLst/>
                    </a:prstGeom>
                    <a:noFill/>
                  </pic:spPr>
                </pic:pic>
              </a:graphicData>
            </a:graphic>
          </wp:anchor>
        </w:drawing>
        <w:drawing>
          <wp:anchor simplePos="0" relativeHeight="251657728" behindDoc="1" locked="0" layoutInCell="0" allowOverlap="1">
            <wp:simplePos x="0" y="0"/>
            <wp:positionH relativeFrom="column">
              <wp:posOffset>-3237865</wp:posOffset>
            </wp:positionH>
            <wp:positionV relativeFrom="paragraph">
              <wp:posOffset>-589915</wp:posOffset>
            </wp:positionV>
            <wp:extent cx="6489700" cy="136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89700" cy="136525"/>
                    </a:xfrm>
                    <a:prstGeom prst="rect">
                      <a:avLst/>
                    </a:prstGeom>
                    <a:noFill/>
                  </pic:spPr>
                </pic:pic>
              </a:graphicData>
            </a:graphic>
          </wp:anchor>
        </w:drawing>
        <w:drawing>
          <wp:anchor simplePos="0" relativeHeight="251657728" behindDoc="1" locked="0" layoutInCell="0" allowOverlap="1">
            <wp:simplePos x="0" y="0"/>
            <wp:positionH relativeFrom="column">
              <wp:posOffset>-3237865</wp:posOffset>
            </wp:positionH>
            <wp:positionV relativeFrom="paragraph">
              <wp:posOffset>-307975</wp:posOffset>
            </wp:positionV>
            <wp:extent cx="648970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8970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72" w:space="720"/>
            <w:col w:w="5120"/>
          </w:cols>
          <w:pgMar w:left="248" w:top="586" w:right="139" w:bottom="1440" w:gutter="0" w:footer="0" w:header="0"/>
        </w:sectPr>
      </w:pPr>
    </w:p>
    <w:p>
      <w:pPr>
        <w:spacing w:after="0" w:line="242" w:lineRule="exact"/>
        <w:rPr>
          <w:sz w:val="20"/>
          <w:szCs w:val="20"/>
          <w:color w:val="auto"/>
        </w:rPr>
      </w:pPr>
    </w:p>
    <w:p>
      <w:pPr>
        <w:ind w:left="5612" w:right="2480" w:hanging="5612"/>
        <w:spacing w:after="0" w:line="401" w:lineRule="auto"/>
        <w:tabs>
          <w:tab w:leader="none" w:pos="108" w:val="left"/>
        </w:tabs>
        <w:numPr>
          <w:ilvl w:val="0"/>
          <w:numId w:val="15"/>
        </w:numPr>
        <w:rPr>
          <w:rFonts w:ascii="Arial" w:cs="Arial" w:eastAsia="Arial" w:hAnsi="Arial"/>
          <w:sz w:val="29"/>
          <w:szCs w:val="29"/>
          <w:color w:val="auto"/>
          <w:vertAlign w:val="superscript"/>
        </w:rPr>
      </w:pPr>
      <w:r>
        <w:rPr>
          <w:rFonts w:ascii="Arial" w:cs="Arial" w:eastAsia="Arial" w:hAnsi="Arial"/>
          <w:sz w:val="17"/>
          <w:szCs w:val="17"/>
          <w:color w:val="auto"/>
        </w:rPr>
        <w:t>Sales classified to U.S. include shipments to U.S.-based prime contractors which in some cases may serve non-U.S. projects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2472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512"/>
          </w:cols>
          <w:pgMar w:left="248" w:top="586" w:right="1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certain key customers; possible future declines in demand for the products that use our batteries or communications systems; the unique risks associated with our China operations; potential costs because of the warranties we supply with our products and services; potential disruptions in our supply of raw materials and components; our efforts to develop new commercial applications for our products; reduced U.S. and foreign military spending including the uncertainty associated with government budget approvals; possible breaches in security and other disruptions; variability in our quarterly and annual results and the price of our common stock; safety risks, including the risk of fire; our inability to comply with changes to the regulations for the shipment of our products; our resources being overwhelmed by our growth prospects; our ability to retain top management and key personnel; possible impairments of our goodwill and other intangible assets; our customers’ demand falling short of volume expectations in our supply agreements; negative publicity of Lithium-ion batteries; our exposure to foreign currency fluctuations; the risk that we are unable to protect our proprietary and intellectual property; rules and procedures regarding contracting with the U.S. and foreign governments; our ability to utilize our net operating loss carryforwards; exposure to possible violations of the U.S. Foreign Corrupt Practices Act, the U.K. Bribery Act or other anti-corruption laws;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2018.</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Quarterly Report on Form 10-Q or our Annual Report on Form 10-K for the year ended December 31, 2018 to reflect new information or risks, future events or other developments.</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discussion and analysis should be read in conjunction with the accompanying Consolidated Financial Statements and Notes thereto appearing elsewhere in this Form 10-Q and the Risk Factors and our Consolidated Financial Statements and Notes thereto contained in our Form 10-K for the year ended December 31, 2018.</w:t>
      </w:r>
    </w:p>
    <w:p>
      <w:pPr>
        <w:spacing w:after="0" w:line="183"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financial information in this Management’s Discussion and Analysis of Financial Condition and Results of Operations is presented in thousands of dollars, except for share and per share amounts.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06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General</w:t>
      </w:r>
    </w:p>
    <w:p>
      <w:pPr>
        <w:spacing w:after="0" w:line="22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We continually evaluate ways to grow, including the design, development and sale of new products, expansion of our sales force to penetrate new markets and geographies, as well as seeking opportunities to expand through acquisitions.</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sell our products worldwide through a variety of trade channels, including original equipment manufacturers (“OEMs”), industrial and defense supply distributors, and directly to U.S. and international defense departments. We enjoy strong name recognition in our markets under our Ultralife® Batteries, Lithium Power®, McDowell Research®, AMTITM, ABLETM, ACCUTRONICS™, ACCUPRO™, and ENTELLION™ brands. We have sales, operations and product development facilities in North America, Europe and Asia.</w:t>
      </w:r>
    </w:p>
    <w:p>
      <w:pPr>
        <w:spacing w:after="0" w:line="18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11 in the Notes to Consolidated Financial Statements.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revenues of $18,882 for the three-month period ended March 31, 2019, decreased by $4,187 or 18.1%, from $23,069 during the three-month period ended April 1, 2018, due to the timing differences in government/defense battery shipments and the start-up of production and shipment of Communications Systems products to support the U.S. Army’s Network Modernization initiatives under the delivery orders announced in October 2018, which were less than Q1 2018 shipments of Vehicle Amplifier Adapters for the U.S. Army’s Special Force Assistance Brigades under a contract awarded in December 2017 and power supplies shipments to a large global defense prime contractor.</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for the three-month period ended March 31, 2019 was $5,084 or 26.9% of revenues, compared to $7,282 or 31.6% of revenues, for the same quarter a year ago. The 470 basis point decrease in gross margin resulted from costs incurred to commence production of Communications Systems large program awards announced in October 2018 for shipment in 2019 and the product mix of our shipments.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19" w:name="page20"/>
    <w:bookmarkEnd w:id="19"/>
    <w:p>
      <w:pPr>
        <w:jc w:val="both"/>
        <w:spacing w:after="0" w:line="276" w:lineRule="auto"/>
        <w:rPr>
          <w:sz w:val="20"/>
          <w:szCs w:val="20"/>
          <w:color w:val="auto"/>
        </w:rPr>
      </w:pPr>
      <w:r>
        <w:rPr>
          <w:rFonts w:ascii="Arial" w:cs="Arial" w:eastAsia="Arial" w:hAnsi="Arial"/>
          <w:sz w:val="18"/>
          <w:szCs w:val="18"/>
          <w:color w:val="auto"/>
        </w:rPr>
        <w:t>Operating expenses decreased to $4,536 during the three-month period ended March 31, 2019, compared to $4,926 during the three-month period ended April 1, 2018. The decrease of $390 or 7.9% was attributable to continued tight control over discretionary spending.</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income for the three-month period ended March 31, 2019 was $548 or 2.9% of revenues, compared to $2,356 or 10.2% for the year-earlier period. The decrease in operating income primarily resulted from lower sales in our Communications Systems business and the costs to transition to production to fulfill the large program awards announced in October 2018.</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income attributable to Ultralife was $425, or $.03 per share – basic and diluted, for the three-month period ended March 31, 2019 compared to $2,151, or $0.14 per share – basic and $0.13 per share – diluted, for the three-month period ended April 1, 2018. Adjusted EBITDA, defined as net income (loss) attributable to Ultralife before net interest expense, provision (benefit) for income taxes, depreciation and amortization, and stock-based compensation expense, plus/minus expenses/income that we do not consider reflective of our ongoing operations, amounted to $1,204 or 6.4% of revenues in the first quarter of 2019 compared to $2,973 or 12.9% of revenues for the first quarter of 2018. See the section “Adjusted EBITDA” beginning on page 21 for a reconciliation of Adjusted EBITDA to net income attributable to Ultralife.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With key amplifier product shipments now increasing and robust opportunities for growth from our diversified set of commercial and government/defense customers ahead of us, we remain well positioned for another year of profitable growth in 2019.</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March 31, 2019 and April 1, 2018</w:t>
      </w:r>
    </w:p>
    <w:p>
      <w:pPr>
        <w:spacing w:after="0" w:line="220"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three-month period ended March 31, 2019 amounted to $18,882, a decrease of $4,187, or 18.1%, from the $23,069</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for the three-month period ended April 1, 2018.</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Battery &amp; Energy Products revenues decreased $1,226, or 7.1%, to $15,998 from $17,224 for the three-month period ended April 1, 2018. Commercial revenues for the first quarter of 2019 comprised 63% of total revenues for the segment and increased 4.0% over the prior year period. This increase primarily resulted from 10.4% revenue growth attributable to our medical customers, partially offset by a reduction in the sales of our 9-Volt batteries. Government and defense sales decreased 21.2% primarily due to the lumpiness of orders from some of our U.S. and international defense customers.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Communications Systems revenues decreased $2,961, or 50.7%, to $2,884 from $5,845 for the three-month period ended April 1, 2018. This decrease is primarily due to the initial start-up production and shipment of products to support the U.S. Army’s Network Modernization initiatives under the delivery orders announced in October 2018 which were less than Q1 2018 shipments of Vehicle Amplifier Adapters for the U.S. Army’s Special Force Assistance Brigades under a contract awarded in December 2017 and power supplies shipments to a large global defense prime contractor.</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Cost of Products Sold. </w:t>
      </w:r>
      <w:r>
        <w:rPr>
          <w:rFonts w:ascii="Arial" w:cs="Arial" w:eastAsia="Arial" w:hAnsi="Arial"/>
          <w:sz w:val="18"/>
          <w:szCs w:val="18"/>
          <w:color w:val="auto"/>
        </w:rPr>
        <w:t>Cost of products sold totaled $13,798 for the quarter ended March 31, 2019, a decrease of $1,989, or 12.6%, from the $15,787</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for the same three-month period a year ago. Consolidated cost of products sold as a percentage of total revenue increased to 73.1% for the three-month period ended March 31, 2019 from 68.4% for the three-month period ended April 1, 2018. Correspondingly, consolidated gross margin was 26.9% for the three-month period ended March 31, 2019, compared with 31.6% for the three-month period ended April 1, 2018, primarily reflecting sales mix and costs incurred to commence the initial production of Communications Systems products to begin shipments under large program awards announced in October 2018.</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our Battery &amp; Energy Products segment, gross profit for the first quarter of 2019 was $4,410 or 27.6% of revenues, a decrease of $626 or 12.4% from gross profit of $5,036 or 29.2% of revenues, for the first quarter of 2018. The decrease in Battery &amp; Energy Products’ gross margin for 2019 was due to product mix.</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20" w:name="page21"/>
    <w:bookmarkEnd w:id="20"/>
    <w:p>
      <w:pPr>
        <w:jc w:val="both"/>
        <w:spacing w:after="0" w:line="262" w:lineRule="auto"/>
        <w:rPr>
          <w:sz w:val="20"/>
          <w:szCs w:val="20"/>
          <w:color w:val="auto"/>
        </w:rPr>
      </w:pPr>
      <w:r>
        <w:rPr>
          <w:rFonts w:ascii="Arial" w:cs="Arial" w:eastAsia="Arial" w:hAnsi="Arial"/>
          <w:sz w:val="18"/>
          <w:szCs w:val="18"/>
          <w:color w:val="auto"/>
        </w:rPr>
        <w:t>For our Communications Systems segment, gross profit for the first quarter of 2019 was $674 or 23.4% of revenues, a decrease of $1,572 or 70.0%, from gross profit of $2,246, or 38.4% of revenues, for the first quarter of 2018. The decrease in gross margin during 2019 was primarily due to costs incurred to commence production of large program awards announced in October 2018.</w:t>
      </w:r>
    </w:p>
    <w:p>
      <w:pPr>
        <w:spacing w:after="0" w:line="179" w:lineRule="exact"/>
        <w:rPr>
          <w:sz w:val="20"/>
          <w:szCs w:val="20"/>
          <w:color w:val="auto"/>
        </w:rPr>
      </w:pPr>
    </w:p>
    <w:p>
      <w:pPr>
        <w:jc w:val="both"/>
        <w:ind w:right="20"/>
        <w:spacing w:after="0" w:line="345"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Total operating expenses for the three-month period ended March 31, 2019 totaled $4,536, a decrease of $390 or 7.9% from the $4,926</w:t>
      </w:r>
      <w:r>
        <w:rPr>
          <w:rFonts w:ascii="Arial" w:cs="Arial" w:eastAsia="Arial" w:hAnsi="Arial"/>
          <w:sz w:val="16"/>
          <w:szCs w:val="16"/>
          <w:b w:val="1"/>
          <w:bCs w:val="1"/>
          <w:color w:val="auto"/>
        </w:rPr>
        <w:t xml:space="preserve"> </w:t>
      </w:r>
      <w:r>
        <w:rPr>
          <w:rFonts w:ascii="Arial" w:cs="Arial" w:eastAsia="Arial" w:hAnsi="Arial"/>
          <w:sz w:val="16"/>
          <w:szCs w:val="16"/>
          <w:color w:val="auto"/>
        </w:rPr>
        <w:t>reported during the three-month period ended April 1, 2018. The decrease resulted from continued tight control over discretionary spending in 2019.</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Overall, operating expenses as a percentage of revenues were 24.0% for the quarter ended March 31, 2019 compared to 21.4% for the quarter ended April 1, 2018. Amortization expense associated with intangible assets related to our acquisitions was $92 for the first quarter of 2019 ($59 in selling, general and administrative expenses and $33 in research and development costs), compared with $102 for the first quarter of 2018 ($64 in selling, general, and administrative expenses and $38 in research and development costs). Research and development costs were $1,036 for the three-month period ended March 31, 2019, a decrease of $65 or 5.9%, from $1,101 for the three-months ended April 1, 2018. The decrease primarily reflects the timing of development and testing costs associated with new products. Selling, general, and administrative expenses decreased $325 or 8.5%, to $3,500 during the first quarter of 2019 from $3,825 during the first quarter of 2018. The decrease is attributable to continued tight control over discretionary administrative spending.</w:t>
      </w:r>
    </w:p>
    <w:p>
      <w:pPr>
        <w:spacing w:after="0" w:line="1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color w:val="auto"/>
        </w:rPr>
        <w:t xml:space="preserve">Other Expense. </w:t>
      </w:r>
      <w:r>
        <w:rPr>
          <w:rFonts w:ascii="Arial" w:cs="Arial" w:eastAsia="Arial" w:hAnsi="Arial"/>
          <w:sz w:val="16"/>
          <w:szCs w:val="16"/>
          <w:color w:val="auto"/>
        </w:rPr>
        <w:t>Other expense totaled $58 for the three-month period ended March 31, 2019 compared to $133 for the three-month period ended April 1,</w:t>
      </w:r>
      <w:r>
        <w:rPr>
          <w:rFonts w:ascii="Arial" w:cs="Arial" w:eastAsia="Arial" w:hAnsi="Arial"/>
          <w:sz w:val="16"/>
          <w:szCs w:val="16"/>
          <w:b w:val="1"/>
          <w:bCs w:val="1"/>
          <w:color w:val="auto"/>
        </w:rPr>
        <w:t xml:space="preserve"> </w:t>
      </w:r>
      <w:r>
        <w:rPr>
          <w:rFonts w:ascii="Arial" w:cs="Arial" w:eastAsia="Arial" w:hAnsi="Arial"/>
          <w:sz w:val="16"/>
          <w:szCs w:val="16"/>
          <w:color w:val="auto"/>
        </w:rPr>
        <w:t>2018. Interest and financing expense decreased $28, from $33 for the first quarter of 2018 to $5 for the comparable period in 2019. The decrease is due to the offsetting interest earned on our higher cash balances from the year-earlier period. Miscellaneous expense amounted to $53 for the first quarter of 2019 compared with $100 for the first quarter of 2018, primarily due to the strengthening of the U.S. dollar relative to Pounds Sterling and the Euro.</w:t>
      </w:r>
    </w:p>
    <w:p>
      <w:pPr>
        <w:spacing w:after="0" w:line="15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tax provision for the 2019 first quarter was $41 compared to $55 for the first quarter of 2018. See Note 8 in the Notes to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for additional information regarding our income taxes.</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Net Income Attributable to Ultralife. </w:t>
      </w:r>
      <w:r>
        <w:rPr>
          <w:rFonts w:ascii="Arial" w:cs="Arial" w:eastAsia="Arial" w:hAnsi="Arial"/>
          <w:sz w:val="18"/>
          <w:szCs w:val="18"/>
          <w:color w:val="auto"/>
        </w:rPr>
        <w:t>Net income attributable to Ultralife was $425, or $.03 per share – basic and diluted for the three-month period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2019 compared to $2,151, or $0.14 per share – basic and $0.13 per share – diluted, for the three-month period ended April 1, 2018. Average weighted common shares outstanding used to compute diluted earnings per share increased from 16,202,314 in the first quarter of 2018 to 16,224,790 in the first quarter of 2019. The increase in 2019 is attributable to stock option exercises since the first quarter of 2018 and an increase in the weighted average stock price to compute diluted shares from $8.17 for the first quarter of 2018 to $9.40 for the first quarter of 2019, partially offset by the repurchase of shares in the 2019 period.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evaluating our business, we consider and use Adjusted EBITDA, a non-GAAP financial measure, as a supplemental measure of our operating performance. We define Adjusted EBITDA as net income attributable to Ultralife before net interest expense, provision (benefit) for income taxes, depreciation and amortization, and stock-based compensation expense. We also use Adjusted EBITDA as a supplemental measure to review and assess our operating performance and to enhance comparability between periods. We also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attributable to Ultralife, the most comparable financial measure under U.S. generally accepted accounting principles (“U.S. GAAP”).</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21" w:name="page22"/>
    <w:bookmarkEnd w:id="21"/>
    <w:p>
      <w:pPr>
        <w:jc w:val="both"/>
        <w:spacing w:after="0" w:line="289"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U.S. GAAP financial measures such as operating income. We believe that Adjusted EBITDA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6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term Adjusted EBITDA is not defined under U.S. GAAP, and is not a measure of operating income, operating performance or liquidity presented in accordance with U.S. GAAP. Our Adjusted EBITDA has limitations as an analytical tool, and when assessing our operating performance, Adjusted EBITDA should not be considered in isolation or as a substitute for net income attributable to Ultralife or other consolidated statement of operations data prepared in accordance with U.S. GAAP. Some of these limitations include, but are not limited to, the following:</w:t>
      </w:r>
    </w:p>
    <w:p>
      <w:pPr>
        <w:spacing w:after="0" w:line="171" w:lineRule="exact"/>
        <w:rPr>
          <w:sz w:val="20"/>
          <w:szCs w:val="20"/>
          <w:color w:val="auto"/>
        </w:rPr>
      </w:pPr>
    </w:p>
    <w:p>
      <w:pPr>
        <w:jc w:val="both"/>
        <w:ind w:left="1080" w:hanging="319"/>
        <w:spacing w:after="0" w:line="25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6" w:lineRule="exact"/>
        <w:rPr>
          <w:rFonts w:ascii="Arial" w:cs="Arial" w:eastAsia="Arial" w:hAnsi="Arial"/>
          <w:sz w:val="18"/>
          <w:szCs w:val="18"/>
          <w:color w:val="auto"/>
        </w:rPr>
      </w:pPr>
    </w:p>
    <w:p>
      <w:pPr>
        <w:ind w:left="1080" w:hanging="319"/>
        <w:spacing w:after="0" w:line="306"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47" w:lineRule="exact"/>
        <w:rPr>
          <w:rFonts w:ascii="Arial" w:cs="Arial" w:eastAsia="Arial" w:hAnsi="Arial"/>
          <w:sz w:val="17"/>
          <w:szCs w:val="17"/>
          <w:color w:val="auto"/>
        </w:rPr>
      </w:pPr>
    </w:p>
    <w:p>
      <w:pPr>
        <w:jc w:val="both"/>
        <w:ind w:left="1080" w:hanging="319"/>
        <w:spacing w:after="0" w:line="262"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3" w:lineRule="exact"/>
        <w:rPr>
          <w:rFonts w:ascii="Arial" w:cs="Arial" w:eastAsia="Arial" w:hAnsi="Arial"/>
          <w:sz w:val="18"/>
          <w:szCs w:val="18"/>
          <w:color w:val="auto"/>
        </w:rPr>
      </w:pPr>
    </w:p>
    <w:p>
      <w:pPr>
        <w:ind w:left="1080" w:hanging="319"/>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24" w:lineRule="exact"/>
        <w:rPr>
          <w:sz w:val="20"/>
          <w:szCs w:val="20"/>
          <w:color w:val="auto"/>
        </w:rPr>
      </w:pPr>
    </w:p>
    <w:p>
      <w:pPr>
        <w:jc w:val="both"/>
        <w:ind w:right="520"/>
        <w:spacing w:after="0" w:line="262"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income attributable to Ultralife.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Adjusted EBITDA is calculated as follows for the periods presented:</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2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Three-Month Periods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Ended</w:t>
            </w:r>
          </w:p>
        </w:tc>
        <w:tc>
          <w:tcPr>
            <w:tcW w:w="1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40"/>
              <w:spacing w:after="0" w:line="190" w:lineRule="exact"/>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6"/>
                <w:szCs w:val="16"/>
                <w:color w:val="auto"/>
              </w:rPr>
            </w:pPr>
          </w:p>
        </w:tc>
        <w:tc>
          <w:tcPr>
            <w:tcW w:w="1240" w:type="dxa"/>
            <w:vAlign w:val="bottom"/>
          </w:tcPr>
          <w:p>
            <w:pPr>
              <w:jc w:val="right"/>
              <w:ind w:right="390"/>
              <w:spacing w:after="0" w:line="190" w:lineRule="exact"/>
              <w:rPr>
                <w:sz w:val="20"/>
                <w:szCs w:val="20"/>
                <w:color w:val="auto"/>
              </w:rPr>
            </w:pPr>
            <w:r>
              <w:rPr>
                <w:rFonts w:ascii="Arial" w:cs="Arial" w:eastAsia="Arial" w:hAnsi="Arial"/>
                <w:sz w:val="18"/>
                <w:szCs w:val="18"/>
                <w:b w:val="1"/>
                <w:bCs w:val="1"/>
                <w:color w:val="auto"/>
              </w:rPr>
              <w:t>April 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Add:</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and Financing Expense, Net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Expense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Pr>
          <w:p>
            <w:pPr>
              <w:ind w:left="140"/>
              <w:spacing w:after="0"/>
              <w:rPr>
                <w:sz w:val="20"/>
                <w:szCs w:val="20"/>
                <w:color w:val="auto"/>
              </w:rPr>
            </w:pPr>
            <w:r>
              <w:rPr>
                <w:rFonts w:ascii="Arial" w:cs="Arial" w:eastAsia="Arial" w:hAnsi="Arial"/>
                <w:sz w:val="18"/>
                <w:szCs w:val="18"/>
                <w:color w:val="auto"/>
              </w:rPr>
              <w:t>Amortization of Intangible Assets and Financing Fees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1,204</w:t>
            </w:r>
          </w:p>
        </w:tc>
        <w:tc>
          <w:tcPr>
            <w:tcW w:w="1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March 31, 2019, cash totaled $21,240, a decrease of $4,694 as compared to $25,934 of cash held at December 31, 2018, primarily driven by the procurement of inventory for large program awards for our Communications Systems business, strategic capital investment for our Battery &amp; Energy Products business, and repurchases of our common stock under our Share Repurchase Program.</w:t>
      </w:r>
    </w:p>
    <w:p>
      <w:pPr>
        <w:spacing w:after="0" w:line="18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During the three-month period ended March 31, 2019, net cash of $545 was used in operations, driven by a $4,963 increase in inventory primarily relating to large program awards announced in October 2018 for our Communications Systems business. Cash used in operations was largely offset by net income of $449 plus non-cash expenses (depreciation, amortization, stock-based compensation and deferred taxes) totaling $728 and a net decrease of $3,241 in other working capital items primarily attributable to the timing of customer collections and supplier payments.</w:t>
      </w:r>
    </w:p>
    <w:p>
      <w:pPr>
        <w:spacing w:after="0" w:line="171"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Cash used in investing activities for the three-month period ended March 31, 2019 consisted of capital expenditures of $2,581 primarily due to investment in automation equipment pertaining to our Battery &amp; Energy Products business, including 3-Volt cell production.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Net cash used in financing activities for the three months ended March 31, 2019 was attributable to share repurchases under our Share Repurchase Program totaling $1,957, partially offset by stock option exercise proceeds of $356.</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March 31, 2019, the Company has significant U.S. net operating loss carryforwards available to utilize as an offset to future taxable income. See Note 8 in the notes to consolidated financial statements for additional information.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March 31, 2019, we had made commitments to purchase approximately $2,363 of production machinery and equipment, which we expect to fund through operating cash flows or debt borrowings.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Debt Commitments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On May 1, 2019, in connection with financing the SWE acquisition (see Note 2 to the notes to consolidated financial statements), the Company drew down $8.0 million on its Term Loan Facility and $6.8 million under its Revolving Credit Facility.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Company believes that the cash flow generated from future operations and availability under our Revolving Credit Facility will be sufficient to meet our general funding requirements for the foreseeable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notes to consolidated financial statements for further information regarding our credit facilities.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2018 Annual Report on Form 10-K should be reviewed for a greater understanding of how our financial performance is recorded and reported.</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During the first three months of 2019, there were no significant changes in the manner in which our significant accounting policies were applied or in which related assumptions and estimates were developed. Refer to Note 1 in the notes to consolidated financial statements for updated accounting policies to reflect the Company’s adoption of Topic 842 -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of January 1, 2019.</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4"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24" w:name="page25"/>
    <w:bookmarkEnd w:id="24"/>
    <w:p>
      <w:pPr>
        <w:spacing w:after="0"/>
        <w:tabs>
          <w:tab w:leader="none" w:pos="900" w:val="left"/>
        </w:tabs>
        <w:rPr>
          <w:sz w:val="20"/>
          <w:szCs w:val="20"/>
          <w:color w:val="auto"/>
        </w:rPr>
      </w:pPr>
      <w:r>
        <w:rPr>
          <w:rFonts w:ascii="Arial" w:cs="Arial" w:eastAsia="Arial" w:hAnsi="Arial"/>
          <w:sz w:val="18"/>
          <w:szCs w:val="18"/>
          <w:b w:val="1"/>
          <w:bCs w:val="1"/>
          <w:color w:val="auto"/>
        </w:rPr>
        <w:t>PART II.</w:t>
        <w:tab/>
        <w:t>OTHER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Refer to Note 4 of the Notes to Consolidated Financial Statements (Part I, Item 1 of this Form 10-Q) for further discussion regarding share repurchases.</w:t>
      </w:r>
    </w:p>
    <w:p>
      <w:pPr>
        <w:spacing w:after="0" w:line="2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October 31, 2018, the Company’s Board of Directors approved a share repurchase program (the “Share Repurchase Program”) which became effective on November 1, 2018 and under which the Company was authorized to repurchase up to 2.5 million shares of its outstanding common stock over a period not to exceed twelve months.</w:t>
      </w:r>
    </w:p>
    <w:p>
      <w:pPr>
        <w:spacing w:after="0" w:line="18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Share repurchases under this program were made in accordance with SEC Rule 10b-18 using a variety of methods, which included open market purchases and block trades in compliance with applicable insider trading and other securities laws and regulations. With the exception of repurchases made during stock trading black-out periods under 10b5-1 Plans, the timing, manner, price and amount of any repurchases were determined at the Company’s discretion.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repurchases of common stock for the first quarter of 2019 under this program:</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r>
      <w:tr>
        <w:trPr>
          <w:trHeight w:val="215"/>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15"/>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Shares That</w:t>
            </w:r>
          </w:p>
        </w:tc>
      </w:tr>
      <w:tr>
        <w:trPr>
          <w:trHeight w:val="215"/>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2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As Part of</w:t>
            </w:r>
          </w:p>
        </w:tc>
        <w:tc>
          <w:tcPr>
            <w:tcW w:w="2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May Yet Be</w:t>
            </w:r>
          </w:p>
        </w:tc>
      </w:tr>
      <w:tr>
        <w:trPr>
          <w:trHeight w:val="215"/>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2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Purchased</w:t>
            </w:r>
          </w:p>
        </w:tc>
      </w:tr>
      <w:tr>
        <w:trPr>
          <w:trHeight w:val="215"/>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Price Paid</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Under the</w:t>
            </w: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2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w:t>
            </w:r>
          </w:p>
        </w:tc>
        <w:tc>
          <w:tcPr>
            <w:tcW w:w="2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January 2019</w:t>
            </w:r>
          </w:p>
        </w:tc>
        <w:tc>
          <w:tcPr>
            <w:tcW w:w="18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267,100</w:t>
            </w:r>
          </w:p>
        </w:tc>
        <w:tc>
          <w:tcPr>
            <w:tcW w:w="206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88"/>
              </w:rPr>
              <w:t>$7.29</w:t>
            </w:r>
          </w:p>
        </w:tc>
        <w:tc>
          <w:tcPr>
            <w:tcW w:w="20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372,774</w:t>
            </w:r>
          </w:p>
        </w:tc>
        <w:tc>
          <w:tcPr>
            <w:tcW w:w="20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2,127,226</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February 2019</w:t>
            </w:r>
          </w:p>
        </w:tc>
        <w:tc>
          <w:tcPr>
            <w:tcW w:w="1840" w:type="dxa"/>
            <w:vAlign w:val="bottom"/>
          </w:tcPr>
          <w:p>
            <w:pPr>
              <w:jc w:val="center"/>
              <w:ind w:left="10"/>
              <w:spacing w:after="0"/>
              <w:rPr>
                <w:sz w:val="20"/>
                <w:szCs w:val="20"/>
                <w:color w:val="auto"/>
              </w:rPr>
            </w:pPr>
            <w:r>
              <w:rPr>
                <w:rFonts w:ascii="Arial" w:cs="Arial" w:eastAsia="Arial" w:hAnsi="Arial"/>
                <w:sz w:val="18"/>
                <w:szCs w:val="18"/>
                <w:color w:val="auto"/>
                <w:w w:val="86"/>
              </w:rPr>
              <w:t>200</w:t>
            </w:r>
          </w:p>
        </w:tc>
        <w:tc>
          <w:tcPr>
            <w:tcW w:w="206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7.49</w:t>
            </w:r>
          </w:p>
        </w:tc>
        <w:tc>
          <w:tcPr>
            <w:tcW w:w="2040" w:type="dxa"/>
            <w:vAlign w:val="bottom"/>
            <w:gridSpan w:val="2"/>
          </w:tcPr>
          <w:p>
            <w:pPr>
              <w:jc w:val="right"/>
              <w:ind w:right="470"/>
              <w:spacing w:after="0"/>
              <w:rPr>
                <w:sz w:val="20"/>
                <w:szCs w:val="20"/>
                <w:color w:val="auto"/>
              </w:rPr>
            </w:pPr>
            <w:r>
              <w:rPr>
                <w:rFonts w:ascii="Arial" w:cs="Arial" w:eastAsia="Arial" w:hAnsi="Arial"/>
                <w:sz w:val="18"/>
                <w:szCs w:val="18"/>
                <w:color w:val="auto"/>
              </w:rPr>
              <w:t>372,974</w:t>
            </w:r>
          </w:p>
        </w:tc>
        <w:tc>
          <w:tcPr>
            <w:tcW w:w="2040" w:type="dxa"/>
            <w:vAlign w:val="bottom"/>
            <w:gridSpan w:val="2"/>
          </w:tcPr>
          <w:p>
            <w:pPr>
              <w:jc w:val="right"/>
              <w:ind w:right="410"/>
              <w:spacing w:after="0"/>
              <w:rPr>
                <w:sz w:val="20"/>
                <w:szCs w:val="20"/>
                <w:color w:val="auto"/>
              </w:rPr>
            </w:pPr>
            <w:r>
              <w:rPr>
                <w:rFonts w:ascii="Arial" w:cs="Arial" w:eastAsia="Arial" w:hAnsi="Arial"/>
                <w:sz w:val="18"/>
                <w:szCs w:val="18"/>
                <w:color w:val="auto"/>
              </w:rPr>
              <w:t>2,127,026</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2019</w:t>
            </w:r>
          </w:p>
        </w:tc>
        <w:tc>
          <w:tcPr>
            <w:tcW w:w="184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372,974</w:t>
            </w:r>
          </w:p>
        </w:tc>
        <w:tc>
          <w:tcPr>
            <w:tcW w:w="204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2,127,026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840" w:type="dxa"/>
            <w:vAlign w:val="bottom"/>
          </w:tcPr>
          <w:p>
            <w:pPr>
              <w:jc w:val="center"/>
              <w:ind w:left="10"/>
              <w:spacing w:after="0"/>
              <w:rPr>
                <w:sz w:val="20"/>
                <w:szCs w:val="20"/>
                <w:color w:val="auto"/>
              </w:rPr>
            </w:pPr>
            <w:r>
              <w:rPr>
                <w:rFonts w:ascii="Arial" w:cs="Arial" w:eastAsia="Arial" w:hAnsi="Arial"/>
                <w:sz w:val="18"/>
                <w:szCs w:val="18"/>
                <w:color w:val="auto"/>
                <w:w w:val="89"/>
              </w:rPr>
              <w:t>267,300</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40" w:type="dxa"/>
            <w:vAlign w:val="bottom"/>
            <w:gridSpan w:val="2"/>
          </w:tcPr>
          <w:p>
            <w:pPr>
              <w:jc w:val="right"/>
              <w:ind w:right="470"/>
              <w:spacing w:after="0"/>
              <w:rPr>
                <w:sz w:val="20"/>
                <w:szCs w:val="20"/>
                <w:color w:val="auto"/>
              </w:rPr>
            </w:pPr>
            <w:r>
              <w:rPr>
                <w:rFonts w:ascii="Arial" w:cs="Arial" w:eastAsia="Arial" w:hAnsi="Arial"/>
                <w:sz w:val="18"/>
                <w:szCs w:val="18"/>
                <w:color w:val="auto"/>
              </w:rPr>
              <w:t>372,974</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All repurchases were made using cash resources. The above table excludes shares repurchased to settle employee tax withholding related to the vesting of stock awards.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6"/>
        </w:trPr>
        <w:tc>
          <w:tcPr>
            <w:tcW w:w="5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Exhibit</w:t>
            </w: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5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Index</w:t>
            </w:r>
          </w:p>
        </w:tc>
        <w:tc>
          <w:tcPr>
            <w:tcW w:w="300" w:type="dxa"/>
            <w:vAlign w:val="bottom"/>
          </w:tcPr>
          <w:p>
            <w:pPr>
              <w:spacing w:after="0"/>
              <w:rPr>
                <w:sz w:val="19"/>
                <w:szCs w:val="19"/>
                <w:color w:val="auto"/>
              </w:rPr>
            </w:pPr>
          </w:p>
        </w:tc>
        <w:tc>
          <w:tcPr>
            <w:tcW w:w="5460" w:type="dxa"/>
            <w:vAlign w:val="bottom"/>
            <w:gridSpan w:val="4"/>
          </w:tcPr>
          <w:p>
            <w:pPr>
              <w:spacing w:after="0"/>
              <w:rPr>
                <w:sz w:val="20"/>
                <w:szCs w:val="20"/>
                <w:color w:val="auto"/>
              </w:rPr>
            </w:pPr>
            <w:r>
              <w:rPr>
                <w:rFonts w:ascii="Arial" w:cs="Arial" w:eastAsia="Arial" w:hAnsi="Arial"/>
                <w:sz w:val="18"/>
                <w:szCs w:val="18"/>
                <w:color w:val="auto"/>
              </w:rPr>
              <w:t>Exhibit Description</w:t>
            </w:r>
          </w:p>
        </w:tc>
        <w:tc>
          <w:tcPr>
            <w:tcW w:w="3840" w:type="dxa"/>
            <w:vAlign w:val="bottom"/>
            <w:gridSpan w:val="2"/>
          </w:tcPr>
          <w:p>
            <w:pPr>
              <w:ind w:left="320"/>
              <w:spacing w:after="0"/>
              <w:rPr>
                <w:sz w:val="20"/>
                <w:szCs w:val="20"/>
                <w:color w:val="auto"/>
              </w:rPr>
            </w:pPr>
            <w:r>
              <w:rPr>
                <w:rFonts w:ascii="Arial" w:cs="Arial" w:eastAsia="Arial" w:hAnsi="Arial"/>
                <w:sz w:val="18"/>
                <w:szCs w:val="18"/>
                <w:color w:val="auto"/>
              </w:rPr>
              <w:t>Incorporated By Reference from</w:t>
            </w:r>
          </w:p>
        </w:tc>
        <w:tc>
          <w:tcPr>
            <w:tcW w:w="4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4"/>
        </w:trPr>
        <w:tc>
          <w:tcPr>
            <w:tcW w:w="5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33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Rule 13a-14(a) / 15d-14(a) CEO Certifications</w:t>
              </w:r>
            </w:hyperlink>
          </w:p>
        </w:tc>
        <w:tc>
          <w:tcPr>
            <w:tcW w:w="2100" w:type="dxa"/>
            <w:vAlign w:val="bottom"/>
          </w:tcPr>
          <w:p>
            <w:pPr>
              <w:spacing w:after="0"/>
              <w:rPr>
                <w:sz w:val="24"/>
                <w:szCs w:val="24"/>
                <w:color w:val="auto"/>
              </w:rPr>
            </w:pPr>
          </w:p>
        </w:tc>
        <w:tc>
          <w:tcPr>
            <w:tcW w:w="3840" w:type="dxa"/>
            <w:vAlign w:val="bottom"/>
            <w:gridSpan w:val="2"/>
          </w:tcPr>
          <w:p>
            <w:pPr>
              <w:ind w:left="320"/>
              <w:spacing w:after="0"/>
              <w:rPr>
                <w:sz w:val="20"/>
                <w:szCs w:val="20"/>
                <w:color w:val="auto"/>
              </w:rPr>
            </w:pPr>
            <w:r>
              <w:rPr>
                <w:rFonts w:ascii="Arial" w:cs="Arial" w:eastAsia="Arial" w:hAnsi="Arial"/>
                <w:sz w:val="18"/>
                <w:szCs w:val="18"/>
                <w:color w:val="auto"/>
              </w:rPr>
              <w:t>Filed herewith</w:t>
            </w:r>
          </w:p>
        </w:tc>
        <w:tc>
          <w:tcPr>
            <w:tcW w:w="40" w:type="dxa"/>
            <w:vAlign w:val="bottom"/>
          </w:tcPr>
          <w:p>
            <w:pPr>
              <w:spacing w:after="0"/>
              <w:rPr>
                <w:sz w:val="24"/>
                <w:szCs w:val="24"/>
                <w:color w:val="auto"/>
              </w:rPr>
            </w:pPr>
          </w:p>
        </w:tc>
      </w:tr>
      <w:tr>
        <w:trPr>
          <w:trHeight w:val="195"/>
        </w:trPr>
        <w:tc>
          <w:tcPr>
            <w:tcW w:w="1780" w:type="dxa"/>
            <w:vAlign w:val="bottom"/>
            <w:gridSpan w:val="2"/>
          </w:tcPr>
          <w:p>
            <w:pPr>
              <w:ind w:left="540"/>
              <w:spacing w:after="0" w:line="195" w:lineRule="exact"/>
              <w:rPr>
                <w:sz w:val="20"/>
                <w:szCs w:val="20"/>
                <w:color w:val="auto"/>
              </w:rPr>
            </w:pPr>
            <w:r>
              <w:rPr>
                <w:rFonts w:ascii="Arial" w:cs="Arial" w:eastAsia="Arial" w:hAnsi="Arial"/>
                <w:sz w:val="18"/>
                <w:szCs w:val="18"/>
                <w:color w:val="auto"/>
              </w:rPr>
              <w:t>31.2</w:t>
            </w:r>
          </w:p>
        </w:tc>
        <w:tc>
          <w:tcPr>
            <w:tcW w:w="300" w:type="dxa"/>
            <w:vAlign w:val="bottom"/>
          </w:tcPr>
          <w:p>
            <w:pPr>
              <w:spacing w:after="0"/>
              <w:rPr>
                <w:sz w:val="16"/>
                <w:szCs w:val="16"/>
                <w:color w:val="auto"/>
              </w:rPr>
            </w:pPr>
          </w:p>
        </w:tc>
        <w:tc>
          <w:tcPr>
            <w:tcW w:w="5460" w:type="dxa"/>
            <w:vAlign w:val="bottom"/>
            <w:gridSpan w:val="4"/>
          </w:tcPr>
          <w:p>
            <w:pPr>
              <w:spacing w:after="0" w:line="195" w:lineRule="exact"/>
              <w:rPr>
                <w:rFonts w:ascii="Arial" w:cs="Arial" w:eastAsia="Arial" w:hAnsi="Arial"/>
                <w:sz w:val="18"/>
                <w:szCs w:val="18"/>
                <w:color w:val="0000EE"/>
              </w:rPr>
            </w:pPr>
            <w:hyperlink w:anchor="page30">
              <w:r>
                <w:rPr>
                  <w:rFonts w:ascii="Arial" w:cs="Arial" w:eastAsia="Arial" w:hAnsi="Arial"/>
                  <w:sz w:val="18"/>
                  <w:szCs w:val="18"/>
                  <w:color w:val="0000EE"/>
                </w:rPr>
                <w:t>Rule 13a-14(a) / 15d-14(a) CFO Certifications</w:t>
              </w:r>
            </w:hyperlink>
          </w:p>
        </w:tc>
        <w:tc>
          <w:tcPr>
            <w:tcW w:w="3840" w:type="dxa"/>
            <w:vAlign w:val="bottom"/>
            <w:gridSpan w:val="2"/>
          </w:tcPr>
          <w:p>
            <w:pPr>
              <w:ind w:left="320"/>
              <w:spacing w:after="0" w:line="195" w:lineRule="exact"/>
              <w:rPr>
                <w:sz w:val="20"/>
                <w:szCs w:val="20"/>
                <w:color w:val="auto"/>
              </w:rPr>
            </w:pPr>
            <w:r>
              <w:rPr>
                <w:rFonts w:ascii="Arial" w:cs="Arial" w:eastAsia="Arial" w:hAnsi="Arial"/>
                <w:sz w:val="18"/>
                <w:szCs w:val="18"/>
                <w:color w:val="auto"/>
              </w:rPr>
              <w:t>Filed herewith</w:t>
            </w:r>
          </w:p>
        </w:tc>
        <w:tc>
          <w:tcPr>
            <w:tcW w:w="40" w:type="dxa"/>
            <w:vAlign w:val="bottom"/>
          </w:tcPr>
          <w:p>
            <w:pPr>
              <w:spacing w:after="0"/>
              <w:rPr>
                <w:sz w:val="16"/>
                <w:szCs w:val="16"/>
                <w:color w:val="auto"/>
              </w:rPr>
            </w:pPr>
          </w:p>
        </w:tc>
      </w:tr>
      <w:tr>
        <w:trPr>
          <w:trHeight w:val="195"/>
        </w:trPr>
        <w:tc>
          <w:tcPr>
            <w:tcW w:w="1780" w:type="dxa"/>
            <w:vAlign w:val="bottom"/>
            <w:gridSpan w:val="2"/>
          </w:tcPr>
          <w:p>
            <w:pPr>
              <w:ind w:left="540"/>
              <w:spacing w:after="0" w:line="195" w:lineRule="exact"/>
              <w:rPr>
                <w:sz w:val="20"/>
                <w:szCs w:val="20"/>
                <w:color w:val="auto"/>
              </w:rPr>
            </w:pPr>
            <w:r>
              <w:rPr>
                <w:rFonts w:ascii="Arial" w:cs="Arial" w:eastAsia="Arial" w:hAnsi="Arial"/>
                <w:sz w:val="18"/>
                <w:szCs w:val="18"/>
                <w:color w:val="auto"/>
              </w:rPr>
              <w:t>32</w:t>
            </w:r>
          </w:p>
        </w:tc>
        <w:tc>
          <w:tcPr>
            <w:tcW w:w="300" w:type="dxa"/>
            <w:vAlign w:val="bottom"/>
          </w:tcPr>
          <w:p>
            <w:pPr>
              <w:spacing w:after="0"/>
              <w:rPr>
                <w:sz w:val="16"/>
                <w:szCs w:val="16"/>
                <w:color w:val="auto"/>
              </w:rPr>
            </w:pPr>
          </w:p>
        </w:tc>
        <w:tc>
          <w:tcPr>
            <w:tcW w:w="3340" w:type="dxa"/>
            <w:vAlign w:val="bottom"/>
            <w:tcBorders>
              <w:top w:val="single" w:sz="8" w:color="0000EE"/>
            </w:tcBorders>
            <w:gridSpan w:val="2"/>
          </w:tcPr>
          <w:p>
            <w:pPr>
              <w:spacing w:after="0" w:line="195" w:lineRule="exact"/>
              <w:rPr>
                <w:rFonts w:ascii="Arial" w:cs="Arial" w:eastAsia="Arial" w:hAnsi="Arial"/>
                <w:sz w:val="18"/>
                <w:szCs w:val="18"/>
                <w:color w:val="0000EE"/>
              </w:rPr>
            </w:pPr>
            <w:hyperlink w:anchor="page31">
              <w:r>
                <w:rPr>
                  <w:rFonts w:ascii="Arial" w:cs="Arial" w:eastAsia="Arial" w:hAnsi="Arial"/>
                  <w:sz w:val="18"/>
                  <w:szCs w:val="18"/>
                  <w:color w:val="0000EE"/>
                </w:rPr>
                <w:t>Section 1350 Certifications</w:t>
              </w:r>
            </w:hyperlink>
          </w:p>
        </w:tc>
        <w:tc>
          <w:tcPr>
            <w:tcW w:w="2120" w:type="dxa"/>
            <w:vAlign w:val="bottom"/>
            <w:gridSpan w:val="2"/>
          </w:tcPr>
          <w:p>
            <w:pPr>
              <w:spacing w:after="0"/>
              <w:rPr>
                <w:sz w:val="16"/>
                <w:szCs w:val="16"/>
                <w:color w:val="auto"/>
              </w:rPr>
            </w:pPr>
          </w:p>
        </w:tc>
        <w:tc>
          <w:tcPr>
            <w:tcW w:w="3840" w:type="dxa"/>
            <w:vAlign w:val="bottom"/>
            <w:gridSpan w:val="2"/>
          </w:tcPr>
          <w:p>
            <w:pPr>
              <w:ind w:left="320"/>
              <w:spacing w:after="0" w:line="195" w:lineRule="exact"/>
              <w:rPr>
                <w:sz w:val="20"/>
                <w:szCs w:val="20"/>
                <w:color w:val="auto"/>
              </w:rPr>
            </w:pPr>
            <w:r>
              <w:rPr>
                <w:rFonts w:ascii="Arial" w:cs="Arial" w:eastAsia="Arial" w:hAnsi="Arial"/>
                <w:sz w:val="18"/>
                <w:szCs w:val="18"/>
                <w:color w:val="auto"/>
              </w:rPr>
              <w:t>Filed herewith</w:t>
            </w:r>
          </w:p>
        </w:tc>
        <w:tc>
          <w:tcPr>
            <w:tcW w:w="40" w:type="dxa"/>
            <w:vAlign w:val="bottom"/>
          </w:tcPr>
          <w:p>
            <w:pPr>
              <w:spacing w:after="0"/>
              <w:rPr>
                <w:sz w:val="16"/>
                <w:szCs w:val="16"/>
                <w:color w:val="auto"/>
              </w:rPr>
            </w:pPr>
          </w:p>
        </w:tc>
      </w:tr>
      <w:tr>
        <w:trPr>
          <w:trHeight w:val="221"/>
        </w:trPr>
        <w:tc>
          <w:tcPr>
            <w:tcW w:w="5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300" w:type="dxa"/>
            <w:vAlign w:val="bottom"/>
          </w:tcPr>
          <w:p>
            <w:pPr>
              <w:spacing w:after="0"/>
              <w:rPr>
                <w:sz w:val="19"/>
                <w:szCs w:val="19"/>
                <w:color w:val="auto"/>
              </w:rPr>
            </w:pPr>
          </w:p>
        </w:tc>
        <w:tc>
          <w:tcPr>
            <w:tcW w:w="196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3"/>
              </w:rPr>
              <w:t>XBRL Instance Document</w:t>
            </w:r>
          </w:p>
        </w:tc>
        <w:tc>
          <w:tcPr>
            <w:tcW w:w="3500" w:type="dxa"/>
            <w:vAlign w:val="bottom"/>
            <w:gridSpan w:val="3"/>
          </w:tcPr>
          <w:p>
            <w:pPr>
              <w:spacing w:after="0"/>
              <w:rPr>
                <w:sz w:val="19"/>
                <w:szCs w:val="19"/>
                <w:color w:val="auto"/>
              </w:rPr>
            </w:pPr>
          </w:p>
        </w:tc>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300" w:type="dxa"/>
            <w:vAlign w:val="bottom"/>
          </w:tcPr>
          <w:p>
            <w:pPr>
              <w:spacing w:after="0"/>
              <w:rPr>
                <w:sz w:val="18"/>
                <w:szCs w:val="18"/>
                <w:color w:val="auto"/>
              </w:rPr>
            </w:pPr>
          </w:p>
        </w:tc>
        <w:tc>
          <w:tcPr>
            <w:tcW w:w="546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300" w:type="dxa"/>
            <w:vAlign w:val="bottom"/>
          </w:tcPr>
          <w:p>
            <w:pPr>
              <w:spacing w:after="0"/>
              <w:rPr>
                <w:sz w:val="18"/>
                <w:szCs w:val="18"/>
                <w:color w:val="auto"/>
              </w:rPr>
            </w:pPr>
          </w:p>
        </w:tc>
        <w:tc>
          <w:tcPr>
            <w:tcW w:w="5460" w:type="dxa"/>
            <w:vAlign w:val="bottom"/>
            <w:gridSpan w:val="4"/>
          </w:tcPr>
          <w:p>
            <w:pPr>
              <w:spacing w:after="0"/>
              <w:rPr>
                <w:sz w:val="20"/>
                <w:szCs w:val="20"/>
                <w:color w:val="auto"/>
              </w:rPr>
            </w:pPr>
            <w:r>
              <w:rPr>
                <w:rFonts w:ascii="Arial" w:cs="Arial" w:eastAsia="Arial" w:hAnsi="Arial"/>
                <w:sz w:val="18"/>
                <w:szCs w:val="18"/>
                <w:color w:val="auto"/>
              </w:rPr>
              <w:t>XBRL Taxonomy Calculation Linkbase Document</w:t>
            </w: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300" w:type="dxa"/>
            <w:vAlign w:val="bottom"/>
          </w:tcPr>
          <w:p>
            <w:pPr>
              <w:spacing w:after="0"/>
              <w:rPr>
                <w:sz w:val="18"/>
                <w:szCs w:val="18"/>
                <w:color w:val="auto"/>
              </w:rPr>
            </w:pPr>
          </w:p>
        </w:tc>
        <w:tc>
          <w:tcPr>
            <w:tcW w:w="5460" w:type="dxa"/>
            <w:vAlign w:val="bottom"/>
            <w:gridSpan w:val="4"/>
          </w:tcPr>
          <w:p>
            <w:pPr>
              <w:spacing w:after="0"/>
              <w:rPr>
                <w:sz w:val="20"/>
                <w:szCs w:val="20"/>
                <w:color w:val="auto"/>
              </w:rPr>
            </w:pPr>
            <w:r>
              <w:rPr>
                <w:rFonts w:ascii="Arial" w:cs="Arial" w:eastAsia="Arial" w:hAnsi="Arial"/>
                <w:sz w:val="18"/>
                <w:szCs w:val="18"/>
                <w:color w:val="auto"/>
              </w:rPr>
              <w:t>XBRL Taxonomy Label Linkbase Document</w:t>
            </w: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300" w:type="dxa"/>
            <w:vAlign w:val="bottom"/>
          </w:tcPr>
          <w:p>
            <w:pPr>
              <w:spacing w:after="0"/>
              <w:rPr>
                <w:sz w:val="18"/>
                <w:szCs w:val="18"/>
                <w:color w:val="auto"/>
              </w:rPr>
            </w:pPr>
          </w:p>
        </w:tc>
        <w:tc>
          <w:tcPr>
            <w:tcW w:w="5460" w:type="dxa"/>
            <w:vAlign w:val="bottom"/>
            <w:gridSpan w:val="4"/>
          </w:tcPr>
          <w:p>
            <w:pPr>
              <w:spacing w:after="0"/>
              <w:rPr>
                <w:sz w:val="20"/>
                <w:szCs w:val="20"/>
                <w:color w:val="auto"/>
              </w:rPr>
            </w:pPr>
            <w:r>
              <w:rPr>
                <w:rFonts w:ascii="Arial" w:cs="Arial" w:eastAsia="Arial" w:hAnsi="Arial"/>
                <w:sz w:val="18"/>
                <w:szCs w:val="18"/>
                <w:color w:val="auto"/>
              </w:rPr>
              <w:t>XBRL Taxonomy Presentation Linkbase Document</w:t>
            </w: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300" w:type="dxa"/>
            <w:vAlign w:val="bottom"/>
          </w:tcPr>
          <w:p>
            <w:pPr>
              <w:spacing w:after="0"/>
              <w:rPr>
                <w:sz w:val="19"/>
                <w:szCs w:val="19"/>
                <w:color w:val="auto"/>
              </w:rPr>
            </w:pPr>
          </w:p>
        </w:tc>
        <w:tc>
          <w:tcPr>
            <w:tcW w:w="5460" w:type="dxa"/>
            <w:vAlign w:val="bottom"/>
            <w:gridSpan w:val="4"/>
          </w:tcPr>
          <w:p>
            <w:pPr>
              <w:spacing w:after="0"/>
              <w:rPr>
                <w:sz w:val="20"/>
                <w:szCs w:val="20"/>
                <w:color w:val="auto"/>
              </w:rPr>
            </w:pPr>
            <w:r>
              <w:rPr>
                <w:rFonts w:ascii="Arial" w:cs="Arial" w:eastAsia="Arial" w:hAnsi="Arial"/>
                <w:sz w:val="18"/>
                <w:szCs w:val="18"/>
                <w:color w:val="auto"/>
              </w:rPr>
              <w:t>XBRL Taxonomy Definition Document</w:t>
            </w:r>
          </w:p>
        </w:tc>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31"/>
        </w:trPr>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760" w:type="dxa"/>
            <w:vAlign w:val="bottom"/>
            <w:gridSpan w:val="5"/>
          </w:tcPr>
          <w:p>
            <w:pPr>
              <w:jc w:val="right"/>
              <w:ind w:right="174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4"/>
        </w:trPr>
        <w:tc>
          <w:tcPr>
            <w:tcW w:w="5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79"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3"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120" w:type="dxa"/>
            <w:vAlign w:val="bottom"/>
            <w:gridSpan w:val="4"/>
          </w:tcPr>
          <w:p>
            <w:pPr>
              <w:spacing w:after="0"/>
              <w:rPr>
                <w:sz w:val="20"/>
                <w:szCs w:val="20"/>
                <w:color w:val="auto"/>
              </w:rPr>
            </w:pPr>
            <w:r>
              <w:rPr>
                <w:rFonts w:ascii="Arial" w:cs="Arial" w:eastAsia="Arial" w:hAnsi="Arial"/>
                <w:sz w:val="18"/>
                <w:szCs w:val="18"/>
                <w:b w:val="1"/>
                <w:bCs w:val="1"/>
                <w:color w:val="auto"/>
              </w:rPr>
              <w:t>ULTRALIFE CORPORATION</w:t>
            </w:r>
          </w:p>
        </w:tc>
      </w:tr>
      <w:tr>
        <w:trPr>
          <w:trHeight w:val="236"/>
        </w:trPr>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Borders>
              <w:top w:val="single" w:sz="8" w:color="auto"/>
            </w:tcBorders>
            <w:gridSpan w:val="3"/>
          </w:tcPr>
          <w:p>
            <w:pPr>
              <w:ind w:left="800"/>
              <w:spacing w:after="0"/>
              <w:rPr>
                <w:sz w:val="20"/>
                <w:szCs w:val="20"/>
                <w:color w:val="auto"/>
              </w:rPr>
            </w:pPr>
            <w:r>
              <w:rPr>
                <w:rFonts w:ascii="Arial" w:cs="Arial" w:eastAsia="Arial" w:hAnsi="Arial"/>
                <w:sz w:val="18"/>
                <w:szCs w:val="18"/>
                <w:color w:val="auto"/>
              </w:rPr>
              <w:t>(Registrant)</w:t>
            </w:r>
          </w:p>
        </w:tc>
        <w:tc>
          <w:tcPr>
            <w:tcW w:w="3700" w:type="dxa"/>
            <w:vAlign w:val="bottom"/>
          </w:tcPr>
          <w:p>
            <w:pPr>
              <w:spacing w:after="0"/>
              <w:rPr>
                <w:sz w:val="20"/>
                <w:szCs w:val="20"/>
                <w:color w:val="auto"/>
              </w:rPr>
            </w:pPr>
          </w:p>
        </w:tc>
      </w:tr>
      <w:tr>
        <w:trPr>
          <w:trHeight w:val="390"/>
        </w:trPr>
        <w:tc>
          <w:tcPr>
            <w:tcW w:w="3260" w:type="dxa"/>
            <w:vAlign w:val="bottom"/>
            <w:gridSpan w:val="3"/>
          </w:tcPr>
          <w:p>
            <w:pPr>
              <w:ind w:left="520"/>
              <w:spacing w:after="0"/>
              <w:rPr>
                <w:sz w:val="20"/>
                <w:szCs w:val="20"/>
                <w:color w:val="auto"/>
              </w:rPr>
            </w:pPr>
            <w:r>
              <w:rPr>
                <w:rFonts w:ascii="Arial" w:cs="Arial" w:eastAsia="Arial" w:hAnsi="Arial"/>
                <w:sz w:val="18"/>
                <w:szCs w:val="18"/>
                <w:color w:val="auto"/>
              </w:rPr>
              <w:t>Date: May 2, 2019</w:t>
            </w:r>
          </w:p>
        </w:tc>
        <w:tc>
          <w:tcPr>
            <w:tcW w:w="1740" w:type="dxa"/>
            <w:vAlign w:val="bottom"/>
          </w:tcPr>
          <w:p>
            <w:pPr>
              <w:ind w:left="1400"/>
              <w:spacing w:after="0"/>
              <w:rPr>
                <w:sz w:val="20"/>
                <w:szCs w:val="20"/>
                <w:color w:val="auto"/>
              </w:rPr>
            </w:pPr>
            <w:r>
              <w:rPr>
                <w:rFonts w:ascii="Arial" w:cs="Arial" w:eastAsia="Arial" w:hAnsi="Arial"/>
                <w:sz w:val="18"/>
                <w:szCs w:val="18"/>
                <w:color w:val="auto"/>
              </w:rPr>
              <w:t>By:</w:t>
            </w:r>
          </w:p>
        </w:tc>
        <w:tc>
          <w:tcPr>
            <w:tcW w:w="6420" w:type="dxa"/>
            <w:vAlign w:val="bottom"/>
            <w:gridSpan w:val="6"/>
          </w:tcPr>
          <w:p>
            <w:pPr>
              <w:ind w:left="80"/>
              <w:spacing w:after="0"/>
              <w:rPr>
                <w:sz w:val="20"/>
                <w:szCs w:val="20"/>
                <w:color w:val="auto"/>
              </w:rPr>
            </w:pPr>
            <w:r>
              <w:rPr>
                <w:rFonts w:ascii="Arial" w:cs="Arial" w:eastAsia="Arial" w:hAnsi="Arial"/>
                <w:sz w:val="18"/>
                <w:szCs w:val="18"/>
                <w:color w:val="auto"/>
              </w:rPr>
              <w:t>/s/ Michael D. Popielec</w:t>
            </w:r>
          </w:p>
        </w:tc>
      </w:tr>
      <w:tr>
        <w:trPr>
          <w:trHeight w:val="221"/>
        </w:trPr>
        <w:tc>
          <w:tcPr>
            <w:tcW w:w="9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1"/>
              </w:rPr>
              <w:t>Michael D. Popielec</w:t>
            </w:r>
          </w:p>
        </w:tc>
        <w:tc>
          <w:tcPr>
            <w:tcW w:w="4640" w:type="dxa"/>
            <w:vAlign w:val="bottom"/>
            <w:gridSpan w:val="2"/>
          </w:tcPr>
          <w:p>
            <w:pPr>
              <w:spacing w:after="0"/>
              <w:rPr>
                <w:sz w:val="19"/>
                <w:szCs w:val="19"/>
                <w:color w:val="auto"/>
              </w:rPr>
            </w:pPr>
          </w:p>
        </w:tc>
      </w:tr>
      <w:tr>
        <w:trPr>
          <w:trHeight w:val="215"/>
        </w:trPr>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(Principal Executive Officer)</w:t>
            </w:r>
          </w:p>
        </w:tc>
      </w:tr>
      <w:tr>
        <w:trPr>
          <w:trHeight w:val="390"/>
        </w:trPr>
        <w:tc>
          <w:tcPr>
            <w:tcW w:w="3260" w:type="dxa"/>
            <w:vAlign w:val="bottom"/>
            <w:gridSpan w:val="3"/>
          </w:tcPr>
          <w:p>
            <w:pPr>
              <w:ind w:left="520"/>
              <w:spacing w:after="0"/>
              <w:rPr>
                <w:sz w:val="20"/>
                <w:szCs w:val="20"/>
                <w:color w:val="auto"/>
              </w:rPr>
            </w:pPr>
            <w:r>
              <w:rPr>
                <w:rFonts w:ascii="Arial" w:cs="Arial" w:eastAsia="Arial" w:hAnsi="Arial"/>
                <w:sz w:val="18"/>
                <w:szCs w:val="18"/>
                <w:color w:val="auto"/>
              </w:rPr>
              <w:t>Date: May 2, 2019</w:t>
            </w:r>
          </w:p>
        </w:tc>
        <w:tc>
          <w:tcPr>
            <w:tcW w:w="1740" w:type="dxa"/>
            <w:vAlign w:val="bottom"/>
          </w:tcPr>
          <w:p>
            <w:pPr>
              <w:ind w:left="1400"/>
              <w:spacing w:after="0"/>
              <w:rPr>
                <w:sz w:val="20"/>
                <w:szCs w:val="20"/>
                <w:color w:val="auto"/>
              </w:rPr>
            </w:pPr>
            <w:r>
              <w:rPr>
                <w:rFonts w:ascii="Arial" w:cs="Arial" w:eastAsia="Arial" w:hAnsi="Arial"/>
                <w:sz w:val="18"/>
                <w:szCs w:val="18"/>
                <w:color w:val="auto"/>
              </w:rPr>
              <w:t>By:</w:t>
            </w:r>
          </w:p>
        </w:tc>
        <w:tc>
          <w:tcPr>
            <w:tcW w:w="6420" w:type="dxa"/>
            <w:vAlign w:val="bottom"/>
            <w:gridSpan w:val="6"/>
          </w:tcPr>
          <w:p>
            <w:pPr>
              <w:ind w:left="80"/>
              <w:spacing w:after="0"/>
              <w:rPr>
                <w:sz w:val="20"/>
                <w:szCs w:val="20"/>
                <w:color w:val="auto"/>
              </w:rPr>
            </w:pPr>
            <w:r>
              <w:rPr>
                <w:rFonts w:ascii="Arial" w:cs="Arial" w:eastAsia="Arial" w:hAnsi="Arial"/>
                <w:sz w:val="18"/>
                <w:szCs w:val="18"/>
                <w:color w:val="auto"/>
              </w:rPr>
              <w:t>/s/ Philip A. Fain</w:t>
            </w:r>
          </w:p>
        </w:tc>
      </w:tr>
      <w:tr>
        <w:trPr>
          <w:trHeight w:val="221"/>
        </w:trPr>
        <w:tc>
          <w:tcPr>
            <w:tcW w:w="9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Philip A. Fain</w:t>
            </w:r>
          </w:p>
        </w:tc>
        <w:tc>
          <w:tcPr>
            <w:tcW w:w="5100" w:type="dxa"/>
            <w:vAlign w:val="bottom"/>
            <w:gridSpan w:val="3"/>
          </w:tcPr>
          <w:p>
            <w:pPr>
              <w:spacing w:after="0"/>
              <w:rPr>
                <w:sz w:val="19"/>
                <w:szCs w:val="19"/>
                <w:color w:val="auto"/>
              </w:rPr>
            </w:pPr>
          </w:p>
        </w:tc>
      </w:tr>
      <w:tr>
        <w:trPr>
          <w:trHeight w:val="215"/>
        </w:trPr>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Chief Financial Officer and Treasurer</w:t>
            </w:r>
          </w:p>
        </w:tc>
      </w:tr>
      <w:tr>
        <w:trPr>
          <w:trHeight w:val="215"/>
        </w:trPr>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20" w:type="dxa"/>
            <w:vAlign w:val="bottom"/>
            <w:gridSpan w:val="4"/>
          </w:tcPr>
          <w:p>
            <w:pPr>
              <w:ind w:left="180"/>
              <w:spacing w:after="0"/>
              <w:rPr>
                <w:sz w:val="20"/>
                <w:szCs w:val="20"/>
                <w:color w:val="auto"/>
              </w:rPr>
            </w:pPr>
            <w:r>
              <w:rPr>
                <w:rFonts w:ascii="Arial" w:cs="Arial" w:eastAsia="Arial" w:hAnsi="Arial"/>
                <w:sz w:val="18"/>
                <w:szCs w:val="18"/>
                <w:color w:val="auto"/>
              </w:rPr>
              <w:t>Principal Accounting Officer)</w:t>
            </w:r>
          </w:p>
        </w:tc>
      </w:tr>
      <w:tr>
        <w:trPr>
          <w:trHeight w:val="431"/>
        </w:trPr>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gridSpan w:val="3"/>
          </w:tcPr>
          <w:p>
            <w:pPr>
              <w:jc w:val="right"/>
              <w:ind w:right="430"/>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14"/>
        </w:trPr>
        <w:tc>
          <w:tcPr>
            <w:tcW w:w="9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79"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9560" w:type="dxa"/>
            <w:vAlign w:val="bottom"/>
          </w:tcPr>
          <w:p>
            <w:pPr>
              <w:ind w:left="3580"/>
              <w:spacing w:after="0"/>
              <w:rPr>
                <w:sz w:val="20"/>
                <w:szCs w:val="20"/>
                <w:color w:val="auto"/>
              </w:rPr>
            </w:pPr>
            <w:r>
              <w:rPr>
                <w:rFonts w:ascii="Arial" w:cs="Arial" w:eastAsia="Arial" w:hAnsi="Arial"/>
                <w:sz w:val="18"/>
                <w:szCs w:val="18"/>
                <w:b w:val="1"/>
                <w:bCs w:val="1"/>
                <w:color w:val="auto"/>
              </w:rPr>
              <w:t>Index to Exhibits</w:t>
            </w:r>
          </w:p>
        </w:tc>
      </w:tr>
      <w:tr>
        <w:trPr>
          <w:trHeight w:val="416"/>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9560" w:type="dxa"/>
            <w:vAlign w:val="bottom"/>
          </w:tcPr>
          <w:p>
            <w:pPr>
              <w:ind w:left="140"/>
              <w:spacing w:after="0"/>
              <w:rPr>
                <w:sz w:val="20"/>
                <w:szCs w:val="20"/>
                <w:color w:val="auto"/>
              </w:rPr>
            </w:pPr>
            <w:r>
              <w:rPr>
                <w:rFonts w:ascii="Arial" w:cs="Arial" w:eastAsia="Arial" w:hAnsi="Arial"/>
                <w:sz w:val="18"/>
                <w:szCs w:val="18"/>
                <w:color w:val="auto"/>
                <w:w w:val="90"/>
              </w:rPr>
              <w:t>Certification of Chief Executive Officer Pursuant to Rule 13a-14(a) of the Securities Exchange Act of 1934, as adopted pursuant to</w:t>
            </w:r>
          </w:p>
        </w:tc>
      </w:tr>
      <w:tr>
        <w:trPr>
          <w:trHeight w:val="215"/>
        </w:trPr>
        <w:tc>
          <w:tcPr>
            <w:tcW w:w="820" w:type="dxa"/>
            <w:vAlign w:val="bottom"/>
          </w:tcPr>
          <w:p>
            <w:pPr>
              <w:spacing w:after="0"/>
              <w:rPr>
                <w:sz w:val="18"/>
                <w:szCs w:val="18"/>
                <w:color w:val="auto"/>
              </w:rPr>
            </w:pPr>
          </w:p>
        </w:tc>
        <w:tc>
          <w:tcPr>
            <w:tcW w:w="956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9560" w:type="dxa"/>
            <w:vAlign w:val="bottom"/>
          </w:tcPr>
          <w:p>
            <w:pPr>
              <w:ind w:left="1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adopted pursuant to</w:t>
            </w:r>
          </w:p>
        </w:tc>
      </w:tr>
      <w:tr>
        <w:trPr>
          <w:trHeight w:val="215"/>
        </w:trPr>
        <w:tc>
          <w:tcPr>
            <w:tcW w:w="820" w:type="dxa"/>
            <w:vAlign w:val="bottom"/>
          </w:tcPr>
          <w:p>
            <w:pPr>
              <w:spacing w:after="0"/>
              <w:rPr>
                <w:sz w:val="18"/>
                <w:szCs w:val="18"/>
                <w:color w:val="auto"/>
              </w:rPr>
            </w:pPr>
          </w:p>
        </w:tc>
        <w:tc>
          <w:tcPr>
            <w:tcW w:w="956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9560" w:type="dxa"/>
            <w:vAlign w:val="bottom"/>
          </w:tcPr>
          <w:p>
            <w:pPr>
              <w:ind w:left="1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956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956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956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956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956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9560" w:type="dxa"/>
            <w:vAlign w:val="bottom"/>
          </w:tcPr>
          <w:p>
            <w:pPr>
              <w:ind w:left="140"/>
              <w:spacing w:after="0"/>
              <w:rPr>
                <w:sz w:val="20"/>
                <w:szCs w:val="20"/>
                <w:color w:val="auto"/>
              </w:rPr>
            </w:pPr>
            <w:r>
              <w:rPr>
                <w:rFonts w:ascii="Arial" w:cs="Arial" w:eastAsia="Arial" w:hAnsi="Arial"/>
                <w:sz w:val="18"/>
                <w:szCs w:val="18"/>
                <w:color w:val="auto"/>
              </w:rPr>
              <w:t>XBRL Taxonomy Definition Document</w:t>
            </w:r>
          </w:p>
        </w:tc>
      </w:tr>
      <w:tr>
        <w:trPr>
          <w:trHeight w:val="431"/>
        </w:trPr>
        <w:tc>
          <w:tcPr>
            <w:tcW w:w="820" w:type="dxa"/>
            <w:vAlign w:val="bottom"/>
          </w:tcPr>
          <w:p>
            <w:pPr>
              <w:spacing w:after="0"/>
              <w:rPr>
                <w:sz w:val="24"/>
                <w:szCs w:val="24"/>
                <w:color w:val="auto"/>
              </w:rPr>
            </w:pPr>
          </w:p>
        </w:tc>
        <w:tc>
          <w:tcPr>
            <w:tcW w:w="9560" w:type="dxa"/>
            <w:vAlign w:val="bottom"/>
          </w:tcPr>
          <w:p>
            <w:pPr>
              <w:ind w:left="414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0380"/>
          </w:cols>
          <w:pgMar w:left="900" w:top="579" w:right="619" w:bottom="1440" w:gutter="0" w:footer="0" w:header="0"/>
        </w:sectPr>
      </w:pPr>
    </w:p>
    <w:bookmarkStart w:id="28" w:name="page29"/>
    <w:bookmarkEnd w:id="28"/>
    <w:p>
      <w:pPr>
        <w:ind w:left="10500"/>
        <w:spacing w:after="0"/>
        <w:rPr>
          <w:sz w:val="20"/>
          <w:szCs w:val="20"/>
          <w:color w:val="auto"/>
        </w:rPr>
      </w:pPr>
      <w:r>
        <w:rPr>
          <w:rFonts w:ascii="Arial" w:cs="Arial" w:eastAsia="Arial" w:hAnsi="Arial"/>
          <w:sz w:val="16"/>
          <w:szCs w:val="16"/>
          <w:b w:val="1"/>
          <w:bCs w:val="1"/>
          <w:color w:val="auto"/>
        </w:rPr>
        <w:t>Exhibit 31.1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2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3" w:lineRule="exact"/>
        <w:rPr>
          <w:rFonts w:ascii="Arial" w:cs="Arial" w:eastAsia="Arial" w:hAnsi="Arial"/>
          <w:sz w:val="18"/>
          <w:szCs w:val="18"/>
          <w:color w:val="auto"/>
        </w:rPr>
      </w:pPr>
    </w:p>
    <w:p>
      <w:pPr>
        <w:jc w:val="both"/>
        <w:ind w:left="660" w:hanging="652"/>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27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jc w:val="both"/>
        <w:ind w:left="660" w:hanging="652"/>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3"/>
        <w:spacing w:after="0" w:line="262"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323"/>
        <w:spacing w:after="0" w:line="262"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0" w:hanging="323"/>
        <w:spacing w:after="0" w:line="340"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jc w:val="both"/>
        <w:ind w:left="1300" w:hanging="323"/>
        <w:spacing w:after="0" w:line="262"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300" w:hanging="323"/>
        <w:spacing w:after="0" w:line="306" w:lineRule="auto"/>
        <w:tabs>
          <w:tab w:leader="none" w:pos="13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300" w:right="20" w:hanging="323"/>
        <w:spacing w:after="0" w:line="276"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8"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740" w:type="dxa"/>
            <w:vAlign w:val="bottom"/>
            <w:gridSpan w:val="3"/>
          </w:tcPr>
          <w:p>
            <w:pPr>
              <w:spacing w:after="0"/>
              <w:rPr>
                <w:sz w:val="20"/>
                <w:szCs w:val="20"/>
                <w:color w:val="auto"/>
              </w:rPr>
            </w:pPr>
            <w:r>
              <w:rPr>
                <w:rFonts w:ascii="Arial" w:cs="Arial" w:eastAsia="Arial" w:hAnsi="Arial"/>
                <w:sz w:val="18"/>
                <w:szCs w:val="18"/>
                <w:color w:val="auto"/>
              </w:rPr>
              <w:t>Date: May 2, 2019</w:t>
            </w:r>
          </w:p>
        </w:tc>
        <w:tc>
          <w:tcPr>
            <w:tcW w:w="4720" w:type="dxa"/>
            <w:vAlign w:val="bottom"/>
            <w:gridSpan w:val="2"/>
          </w:tcPr>
          <w:p>
            <w:pPr>
              <w:ind w:left="1400"/>
              <w:spacing w:after="0"/>
              <w:rPr>
                <w:sz w:val="20"/>
                <w:szCs w:val="20"/>
                <w:color w:val="auto"/>
              </w:rPr>
            </w:pPr>
            <w:r>
              <w:rPr>
                <w:rFonts w:ascii="Arial" w:cs="Arial" w:eastAsia="Arial" w:hAnsi="Arial"/>
                <w:sz w:val="18"/>
                <w:szCs w:val="18"/>
                <w:color w:val="auto"/>
              </w:rPr>
              <w:t>By:  /s/ Michael D. Popielec</w:t>
            </w:r>
          </w:p>
        </w:tc>
      </w:tr>
      <w:tr>
        <w:trPr>
          <w:trHeight w:val="221"/>
        </w:trPr>
        <w:tc>
          <w:tcPr>
            <w:tcW w:w="4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9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Michael D. Popielec</w:t>
            </w:r>
          </w:p>
        </w:tc>
      </w:tr>
      <w:tr>
        <w:trPr>
          <w:trHeight w:val="230"/>
        </w:trPr>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940" w:type="dxa"/>
            <w:vAlign w:val="bottom"/>
          </w:tcPr>
          <w:p>
            <w:pPr>
              <w:ind w:left="200"/>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420"/>
          </w:cols>
          <w:pgMar w:left="240" w:top="121" w:right="239" w:bottom="1440" w:gutter="0" w:footer="0" w:header="0"/>
        </w:sectPr>
      </w:pPr>
    </w:p>
    <w:bookmarkStart w:id="29" w:name="page30"/>
    <w:bookmarkEnd w:id="29"/>
    <w:p>
      <w:pPr>
        <w:ind w:left="10500"/>
        <w:spacing w:after="0"/>
        <w:rPr>
          <w:sz w:val="20"/>
          <w:szCs w:val="20"/>
          <w:color w:val="auto"/>
        </w:rPr>
      </w:pPr>
      <w:r>
        <w:rPr>
          <w:rFonts w:ascii="Arial" w:cs="Arial" w:eastAsia="Arial" w:hAnsi="Arial"/>
          <w:sz w:val="16"/>
          <w:szCs w:val="16"/>
          <w:b w:val="1"/>
          <w:bCs w:val="1"/>
          <w:color w:val="auto"/>
        </w:rPr>
        <w:t>Exhibit 31.2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24"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3" w:lineRule="exact"/>
        <w:rPr>
          <w:rFonts w:ascii="Arial" w:cs="Arial" w:eastAsia="Arial" w:hAnsi="Arial"/>
          <w:sz w:val="18"/>
          <w:szCs w:val="18"/>
          <w:color w:val="auto"/>
        </w:rPr>
      </w:pPr>
    </w:p>
    <w:p>
      <w:pPr>
        <w:jc w:val="both"/>
        <w:ind w:left="660" w:hanging="652"/>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27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jc w:val="both"/>
        <w:ind w:left="660" w:hanging="652"/>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3"/>
        <w:spacing w:after="0" w:line="262"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323"/>
        <w:spacing w:after="0" w:line="262"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0" w:hanging="323"/>
        <w:spacing w:after="0" w:line="340"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jc w:val="both"/>
        <w:ind w:left="1300" w:hanging="323"/>
        <w:spacing w:after="0" w:line="262"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300" w:hanging="323"/>
        <w:spacing w:after="0" w:line="306"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300" w:right="20" w:hanging="323"/>
        <w:spacing w:after="0" w:line="27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8"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740" w:type="dxa"/>
            <w:vAlign w:val="bottom"/>
            <w:gridSpan w:val="3"/>
          </w:tcPr>
          <w:p>
            <w:pPr>
              <w:spacing w:after="0"/>
              <w:rPr>
                <w:sz w:val="20"/>
                <w:szCs w:val="20"/>
                <w:color w:val="auto"/>
              </w:rPr>
            </w:pPr>
            <w:r>
              <w:rPr>
                <w:rFonts w:ascii="Arial" w:cs="Arial" w:eastAsia="Arial" w:hAnsi="Arial"/>
                <w:sz w:val="18"/>
                <w:szCs w:val="18"/>
                <w:color w:val="auto"/>
              </w:rPr>
              <w:t>Date: May 2, 2019</w:t>
            </w:r>
          </w:p>
        </w:tc>
        <w:tc>
          <w:tcPr>
            <w:tcW w:w="4720" w:type="dxa"/>
            <w:vAlign w:val="bottom"/>
            <w:gridSpan w:val="2"/>
          </w:tcPr>
          <w:p>
            <w:pPr>
              <w:ind w:left="1400"/>
              <w:spacing w:after="0"/>
              <w:rPr>
                <w:sz w:val="20"/>
                <w:szCs w:val="20"/>
                <w:color w:val="auto"/>
              </w:rPr>
            </w:pPr>
            <w:r>
              <w:rPr>
                <w:rFonts w:ascii="Arial" w:cs="Arial" w:eastAsia="Arial" w:hAnsi="Arial"/>
                <w:sz w:val="18"/>
                <w:szCs w:val="18"/>
                <w:color w:val="auto"/>
              </w:rPr>
              <w:t>By:  /s/ Philip A. Fain</w:t>
            </w:r>
          </w:p>
        </w:tc>
      </w:tr>
      <w:tr>
        <w:trPr>
          <w:trHeight w:val="221"/>
        </w:trPr>
        <w:tc>
          <w:tcPr>
            <w:tcW w:w="4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9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Philip A. Fain</w:t>
            </w:r>
          </w:p>
        </w:tc>
      </w:tr>
      <w:tr>
        <w:trPr>
          <w:trHeight w:val="230"/>
        </w:trPr>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w w:val="90"/>
              </w:rPr>
              <w:t>Chief Financial Officer and Treasurer</w:t>
            </w:r>
          </w:p>
        </w:tc>
      </w:tr>
    </w:tbl>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March 31, 2019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8"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740" w:type="dxa"/>
            <w:vAlign w:val="bottom"/>
            <w:gridSpan w:val="3"/>
          </w:tcPr>
          <w:p>
            <w:pPr>
              <w:spacing w:after="0"/>
              <w:rPr>
                <w:sz w:val="20"/>
                <w:szCs w:val="20"/>
                <w:color w:val="auto"/>
              </w:rPr>
            </w:pPr>
            <w:r>
              <w:rPr>
                <w:rFonts w:ascii="Arial" w:cs="Arial" w:eastAsia="Arial" w:hAnsi="Arial"/>
                <w:sz w:val="18"/>
                <w:szCs w:val="18"/>
                <w:color w:val="auto"/>
              </w:rPr>
              <w:t>Date: May 2, 2019</w:t>
            </w:r>
          </w:p>
        </w:tc>
        <w:tc>
          <w:tcPr>
            <w:tcW w:w="1720" w:type="dxa"/>
            <w:vAlign w:val="bottom"/>
          </w:tcPr>
          <w:p>
            <w:pPr>
              <w:ind w:left="1400"/>
              <w:spacing w:after="0"/>
              <w:rPr>
                <w:sz w:val="20"/>
                <w:szCs w:val="20"/>
                <w:color w:val="auto"/>
              </w:rPr>
            </w:pPr>
            <w:r>
              <w:rPr>
                <w:rFonts w:ascii="Arial" w:cs="Arial" w:eastAsia="Arial" w:hAnsi="Arial"/>
                <w:sz w:val="18"/>
                <w:szCs w:val="18"/>
                <w:color w:val="auto"/>
              </w:rPr>
              <w:t>By:</w:t>
            </w:r>
          </w:p>
        </w:tc>
        <w:tc>
          <w:tcPr>
            <w:tcW w:w="3060" w:type="dxa"/>
            <w:vAlign w:val="bottom"/>
            <w:gridSpan w:val="3"/>
          </w:tcPr>
          <w:p>
            <w:pPr>
              <w:ind w:left="60"/>
              <w:spacing w:after="0"/>
              <w:rPr>
                <w:sz w:val="20"/>
                <w:szCs w:val="20"/>
                <w:color w:val="auto"/>
              </w:rPr>
            </w:pPr>
            <w:r>
              <w:rPr>
                <w:rFonts w:ascii="Arial" w:cs="Arial" w:eastAsia="Arial" w:hAnsi="Arial"/>
                <w:sz w:val="18"/>
                <w:szCs w:val="18"/>
                <w:color w:val="auto"/>
              </w:rPr>
              <w:t>/s/ Michael D. Popielec</w:t>
            </w:r>
          </w:p>
        </w:tc>
      </w:tr>
      <w:tr>
        <w:trPr>
          <w:trHeight w:val="221"/>
        </w:trPr>
        <w:tc>
          <w:tcPr>
            <w:tcW w:w="4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color w:val="auto"/>
              </w:rPr>
              <w:t>Michael D. Popielec</w:t>
            </w:r>
          </w:p>
        </w:tc>
      </w:tr>
      <w:tr>
        <w:trPr>
          <w:trHeight w:val="230"/>
        </w:trPr>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0" w:type="dxa"/>
            <w:vAlign w:val="bottom"/>
            <w:gridSpan w:val="2"/>
          </w:tcPr>
          <w:p>
            <w:pPr>
              <w:ind w:left="260"/>
              <w:spacing w:after="0"/>
              <w:rPr>
                <w:sz w:val="20"/>
                <w:szCs w:val="20"/>
                <w:color w:val="auto"/>
              </w:rPr>
            </w:pPr>
            <w:r>
              <w:rPr>
                <w:rFonts w:ascii="Arial" w:cs="Arial" w:eastAsia="Arial" w:hAnsi="Arial"/>
                <w:sz w:val="18"/>
                <w:szCs w:val="18"/>
                <w:color w:val="auto"/>
                <w:w w:val="90"/>
              </w:rPr>
              <w:t>President and Chief Executive Officer</w:t>
            </w:r>
          </w:p>
        </w:tc>
      </w:tr>
      <w:tr>
        <w:trPr>
          <w:trHeight w:val="390"/>
        </w:trPr>
        <w:tc>
          <w:tcPr>
            <w:tcW w:w="2740" w:type="dxa"/>
            <w:vAlign w:val="bottom"/>
            <w:gridSpan w:val="3"/>
          </w:tcPr>
          <w:p>
            <w:pPr>
              <w:spacing w:after="0"/>
              <w:rPr>
                <w:sz w:val="20"/>
                <w:szCs w:val="20"/>
                <w:color w:val="auto"/>
              </w:rPr>
            </w:pPr>
            <w:r>
              <w:rPr>
                <w:rFonts w:ascii="Arial" w:cs="Arial" w:eastAsia="Arial" w:hAnsi="Arial"/>
                <w:sz w:val="18"/>
                <w:szCs w:val="18"/>
                <w:color w:val="auto"/>
              </w:rPr>
              <w:t>Date: May 2, 2019</w:t>
            </w:r>
          </w:p>
        </w:tc>
        <w:tc>
          <w:tcPr>
            <w:tcW w:w="1720" w:type="dxa"/>
            <w:vAlign w:val="bottom"/>
          </w:tcPr>
          <w:p>
            <w:pPr>
              <w:ind w:left="1400"/>
              <w:spacing w:after="0"/>
              <w:rPr>
                <w:sz w:val="20"/>
                <w:szCs w:val="20"/>
                <w:color w:val="auto"/>
              </w:rPr>
            </w:pPr>
            <w:r>
              <w:rPr>
                <w:rFonts w:ascii="Arial" w:cs="Arial" w:eastAsia="Arial" w:hAnsi="Arial"/>
                <w:sz w:val="18"/>
                <w:szCs w:val="18"/>
                <w:color w:val="auto"/>
              </w:rPr>
              <w:t>By:</w:t>
            </w:r>
          </w:p>
        </w:tc>
        <w:tc>
          <w:tcPr>
            <w:tcW w:w="3060" w:type="dxa"/>
            <w:vAlign w:val="bottom"/>
            <w:gridSpan w:val="3"/>
          </w:tcPr>
          <w:p>
            <w:pPr>
              <w:ind w:left="60"/>
              <w:spacing w:after="0"/>
              <w:rPr>
                <w:sz w:val="20"/>
                <w:szCs w:val="20"/>
                <w:color w:val="auto"/>
              </w:rPr>
            </w:pPr>
            <w:r>
              <w:rPr>
                <w:rFonts w:ascii="Arial" w:cs="Arial" w:eastAsia="Arial" w:hAnsi="Arial"/>
                <w:sz w:val="18"/>
                <w:szCs w:val="18"/>
                <w:color w:val="auto"/>
              </w:rPr>
              <w:t>/s/ Philip A. Fain</w:t>
            </w:r>
          </w:p>
        </w:tc>
      </w:tr>
      <w:tr>
        <w:trPr>
          <w:trHeight w:val="221"/>
        </w:trPr>
        <w:tc>
          <w:tcPr>
            <w:tcW w:w="4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Philip A. Fain</w:t>
            </w:r>
          </w:p>
        </w:tc>
        <w:tc>
          <w:tcPr>
            <w:tcW w:w="2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0" w:type="dxa"/>
            <w:vAlign w:val="bottom"/>
            <w:gridSpan w:val="2"/>
          </w:tcPr>
          <w:p>
            <w:pPr>
              <w:ind w:left="260"/>
              <w:spacing w:after="0"/>
              <w:rPr>
                <w:sz w:val="20"/>
                <w:szCs w:val="20"/>
                <w:color w:val="auto"/>
              </w:rPr>
            </w:pPr>
            <w:r>
              <w:rPr>
                <w:rFonts w:ascii="Arial" w:cs="Arial" w:eastAsia="Arial" w:hAnsi="Arial"/>
                <w:sz w:val="18"/>
                <w:szCs w:val="18"/>
                <w:color w:val="auto"/>
                <w:w w:val="92"/>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2"/>
    </w:lvl>
  </w:abstractNum>
  <w:abstractNum w:abstractNumId="7">
    <w:nsid w:val="3352255A"/>
    <w:multiLevelType w:val="hybridMultilevel"/>
    <w:lvl w:ilvl="0">
      <w:lvlJc w:val="left"/>
      <w:lvlText w:val="%1."/>
      <w:numFmt w:val="decimal"/>
      <w:start w:val="3"/>
    </w:lvl>
  </w:abstractNum>
  <w:abstractNum w:abstractNumId="8">
    <w:nsid w:val="109CF92E"/>
    <w:multiLevelType w:val="hybridMultilevel"/>
    <w:lvl w:ilvl="0">
      <w:lvlJc w:val="left"/>
      <w:lvlText w:val="%1."/>
      <w:numFmt w:val="decimal"/>
      <w:start w:val="4"/>
    </w:lvl>
  </w:abstractNum>
  <w:abstractNum w:abstractNumId="9">
    <w:nsid w:val="DED7263"/>
    <w:multiLevelType w:val="hybridMultilevel"/>
    <w:lvl w:ilvl="0">
      <w:lvlJc w:val="left"/>
      <w:lvlText w:val="%1."/>
      <w:numFmt w:val="decimal"/>
      <w:start w:val="5"/>
    </w:lvl>
  </w:abstractNum>
  <w:abstractNum w:abstractNumId="10">
    <w:nsid w:val="7FDCC233"/>
    <w:multiLevelType w:val="hybridMultilevel"/>
    <w:lvl w:ilvl="0">
      <w:lvlJc w:val="left"/>
      <w:lvlText w:val="%1."/>
      <w:numFmt w:val="decimal"/>
      <w:start w:val="6"/>
    </w:lvl>
  </w:abstractNum>
  <w:abstractNum w:abstractNumId="11">
    <w:nsid w:val="1BEFD79F"/>
    <w:multiLevelType w:val="hybridMultilevel"/>
    <w:lvl w:ilvl="0">
      <w:lvlJc w:val="left"/>
      <w:lvlText w:val="%1."/>
      <w:numFmt w:val="decimal"/>
      <w:start w:val="8"/>
    </w:lvl>
  </w:abstractNum>
  <w:abstractNum w:abstractNumId="12">
    <w:nsid w:val="41A7C4C9"/>
    <w:multiLevelType w:val="hybridMultilevel"/>
    <w:lvl w:ilvl="0">
      <w:lvlJc w:val="left"/>
      <w:lvlText w:val="%1."/>
      <w:numFmt w:val="decimal"/>
      <w:start w:val="9"/>
    </w:lvl>
  </w:abstractNum>
  <w:abstractNum w:abstractNumId="13">
    <w:nsid w:val="6B68079A"/>
    <w:multiLevelType w:val="hybridMultilevel"/>
    <w:lvl w:ilvl="0">
      <w:lvlJc w:val="left"/>
      <w:lvlText w:val="%1."/>
      <w:numFmt w:val="decimal"/>
      <w:start w:val="11"/>
    </w:lvl>
  </w:abstractNum>
  <w:abstractNum w:abstractNumId="14">
    <w:nsid w:val="4E6AFB66"/>
    <w:multiLevelType w:val="hybridMultilevel"/>
    <w:lvl w:ilvl="0">
      <w:lvlJc w:val="left"/>
      <w:lvlText w:val="1"/>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2019-12-28T13:23:27Z</dcterms:created>
  <dcterms:modified xsi:type="dcterms:W3CDTF">2019-12-28T13:23:27Z</dcterms:modified>
</cp:coreProperties>
</file>