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05" w:lineRule="exact"/>
        <w:rPr>
          <w:sz w:val="24"/>
          <w:szCs w:val="24"/>
          <w:color w:val="auto"/>
        </w:rPr>
      </w:pPr>
    </w:p>
    <w:p>
      <w:pPr>
        <w:ind w:left="3340" w:right="1980" w:hanging="3332"/>
        <w:spacing w:after="0" w:line="282" w:lineRule="auto"/>
        <w:tabs>
          <w:tab w:leader="none" w:pos="57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ULTRALIFE CORPORATION</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0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16-1387013</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of organization)</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46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 xml:space="preserve">(315) </w:t>
            </w:r>
            <w:r>
              <w:rPr>
                <w:rFonts w:ascii="Times New Roman" w:cs="Times New Roman" w:eastAsia="Times New Roman" w:hAnsi="Times New Roman"/>
                <w:sz w:val="18"/>
                <w:szCs w:val="18"/>
                <w:color w:val="auto"/>
              </w:rPr>
              <w:t>332-7100</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16" w:right="339" w:bottom="1440" w:gutter="0" w:footer="0" w:header="0"/>
        </w:sectPr>
      </w:pPr>
    </w:p>
    <w:p>
      <w:pPr>
        <w:spacing w:after="0" w:line="22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60" w:space="720"/>
            <w:col w:w="2020" w:space="720"/>
            <w:col w:w="3520"/>
          </w:cols>
          <w:pgMar w:left="320" w:top="1116" w:right="339" w:bottom="1440" w:gutter="0" w:footer="0" w:header="0"/>
          <w:type w:val="continuous"/>
        </w:sectPr>
      </w:pPr>
    </w:p>
    <w:p>
      <w:pPr>
        <w:spacing w:after="0" w:line="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16"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680" w:space="720"/>
            <w:col w:w="6840"/>
          </w:cols>
          <w:pgMar w:left="320" w:top="1116"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680" w:space="720"/>
            <w:col w:w="6840"/>
          </w:cols>
          <w:pgMar w:left="320" w:top="1116" w:right="339" w:bottom="1440" w:gutter="0" w:footer="0" w:header="0"/>
          <w:type w:val="continuous"/>
        </w:sectPr>
      </w:pPr>
    </w:p>
    <w:p>
      <w:pPr>
        <w:spacing w:after="0" w:line="37" w:lineRule="exact"/>
        <w:rPr>
          <w:sz w:val="24"/>
          <w:szCs w:val="24"/>
          <w:color w:val="auto"/>
        </w:rPr>
      </w:pPr>
    </w:p>
    <w:p>
      <w:pPr>
        <w:jc w:val="center"/>
        <w:ind w:right="1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116" w:right="339" w:bottom="1440"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22, 2024, the registrant had 16,466,594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76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976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9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March 31, 2024 and December 31, 2023</w:t>
            </w:r>
          </w:p>
        </w:tc>
        <w:tc>
          <w:tcPr>
            <w:tcW w:w="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920" w:type="dxa"/>
            <w:vAlign w:val="bottom"/>
            <w:shd w:val="clear" w:color="auto" w:fill="CCEEFF"/>
          </w:tcPr>
          <w:p>
            <w:pPr>
              <w:spacing w:after="0"/>
              <w:rPr>
                <w:sz w:val="17"/>
                <w:szCs w:val="17"/>
                <w:color w:val="auto"/>
              </w:rPr>
            </w:pPr>
          </w:p>
        </w:tc>
        <w:tc>
          <w:tcPr>
            <w:tcW w:w="97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Consolidated Statements of Income (Loss) and Comprehensive Income (Loss) for the Three-Month Periods Ended March 31, 2024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20" w:type="dxa"/>
            <w:vAlign w:val="bottom"/>
            <w:shd w:val="clear" w:color="auto" w:fill="CCEEFF"/>
          </w:tcPr>
          <w:p>
            <w:pPr>
              <w:spacing w:after="0"/>
              <w:rPr>
                <w:sz w:val="20"/>
                <w:szCs w:val="20"/>
                <w:color w:val="auto"/>
              </w:rPr>
            </w:pP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March 31, 2023</w:t>
            </w:r>
          </w:p>
        </w:tc>
        <w:tc>
          <w:tcPr>
            <w:tcW w:w="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 for the Three-Month Periods Ended March 31, 2024 and March 31, 2023</w:t>
            </w:r>
          </w:p>
        </w:tc>
        <w:tc>
          <w:tcPr>
            <w:tcW w:w="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920" w:type="dxa"/>
            <w:vAlign w:val="bottom"/>
            <w:shd w:val="clear" w:color="auto" w:fill="CCEEFF"/>
          </w:tcPr>
          <w:p>
            <w:pPr>
              <w:spacing w:after="0"/>
              <w:rPr>
                <w:sz w:val="17"/>
                <w:szCs w:val="17"/>
                <w:color w:val="auto"/>
              </w:rPr>
            </w:pPr>
          </w:p>
        </w:tc>
        <w:tc>
          <w:tcPr>
            <w:tcW w:w="97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Three-Month Periods Ended March 31, 2024 and March 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20" w:type="dxa"/>
            <w:vAlign w:val="bottom"/>
            <w:shd w:val="clear" w:color="auto" w:fill="CCEEFF"/>
          </w:tcPr>
          <w:p>
            <w:pPr>
              <w:spacing w:after="0"/>
              <w:rPr>
                <w:sz w:val="20"/>
                <w:szCs w:val="20"/>
                <w:color w:val="auto"/>
              </w:rPr>
            </w:pP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Signatures</w:t>
            </w:r>
          </w:p>
        </w:tc>
        <w:tc>
          <w:tcPr>
            <w:tcW w:w="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8"/>
                <w:szCs w:val="18"/>
                <w:color w:val="auto"/>
              </w:rPr>
            </w:pPr>
          </w:p>
        </w:tc>
      </w:tr>
      <w:tr>
        <w:trPr>
          <w:trHeight w:val="574"/>
        </w:trPr>
        <w:tc>
          <w:tcPr>
            <w:tcW w:w="92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ULTRALIFE CORPORATION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$300 and $300, respectively</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94,302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180,551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178,276</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52,849</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20,887,446 shares at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March 31, 2024 and 20,783,607 shares at December 31, 2023; outstanding – 16,451,332 shares at March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 2024 and 16,347,493 shares at December 31, 2023</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189,995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189,160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(40,754)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 at cost; 4,436,114 shares at March 31, 2024 and 4,436,114 shares at December 31, 2023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(21,492)</w:t>
            </w:r>
          </w:p>
        </w:tc>
      </w:tr>
      <w:tr>
        <w:trPr>
          <w:trHeight w:val="210"/>
        </w:trPr>
        <w:tc>
          <w:tcPr>
            <w:tcW w:w="800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125,332</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128,945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125,427</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178,276</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4"/>
          </w:tcPr>
          <w:p>
            <w:pPr>
              <w:jc w:val="center"/>
              <w:ind w:left="15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r>
      <w:tr>
        <w:trPr>
          <w:trHeight w:val="187"/>
        </w:trPr>
        <w:tc>
          <w:tcPr>
            <w:tcW w:w="8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41,927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7,436</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7,410</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Ultralife Corporation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Ultralife Corporation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196"/>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(loss) per share attributable to Ultralife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(loss) per share attributable to Ultralife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Potential common shares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r>
      <w:tr>
        <w:trPr>
          <w:trHeight w:val="187"/>
        </w:trPr>
        <w:tc>
          <w:tcPr>
            <w:tcW w:w="8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2,904</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3,365</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(6,026)</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term loan facility</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December 31, 2022 </w:t>
      </w:r>
      <w:r>
        <w:rPr>
          <w:rFonts w:ascii="Times New Roman" w:cs="Times New Roman" w:eastAsia="Times New Roman" w:hAnsi="Times New Roman"/>
          <w:sz w:val="16"/>
          <w:szCs w:val="16"/>
          <w:color w:val="auto"/>
        </w:rPr>
        <w:t>Net loss</w:t>
      </w:r>
    </w:p>
    <w:p>
      <w:pPr>
        <w:spacing w:after="0" w:line="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color w:val="auto"/>
        </w:rPr>
        <w:t>Stock option exercises Stock-based compensation –</w:t>
      </w:r>
    </w:p>
    <w:p>
      <w:pPr>
        <w:ind w:left="180"/>
        <w:spacing w:after="0"/>
        <w:rPr>
          <w:sz w:val="20"/>
          <w:szCs w:val="20"/>
          <w:color w:val="auto"/>
        </w:rPr>
      </w:pPr>
      <w:r>
        <w:rPr>
          <w:rFonts w:ascii="Times New Roman" w:cs="Times New Roman" w:eastAsia="Times New Roman" w:hAnsi="Times New Roman"/>
          <w:sz w:val="16"/>
          <w:szCs w:val="16"/>
          <w:color w:val="auto"/>
        </w:rPr>
        <w:t>stock options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 –</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restricted stock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translation</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adjustments adjustments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March 31, 2023</w:t>
      </w:r>
    </w:p>
    <w:p>
      <w:pPr>
        <w:spacing w:after="0" w:line="200" w:lineRule="exact"/>
        <w:rPr>
          <w:sz w:val="20"/>
          <w:szCs w:val="20"/>
          <w:color w:val="auto"/>
        </w:rPr>
      </w:pPr>
    </w:p>
    <w:p>
      <w:pPr>
        <w:spacing w:after="0" w:line="2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December 31, 2023 </w:t>
      </w:r>
      <w:r>
        <w:rPr>
          <w:rFonts w:ascii="Times New Roman" w:cs="Times New Roman" w:eastAsia="Times New Roman" w:hAnsi="Times New Roman"/>
          <w:sz w:val="16"/>
          <w:szCs w:val="16"/>
          <w:color w:val="auto"/>
        </w:rPr>
        <w:t>Net income</w:t>
      </w:r>
    </w:p>
    <w:p>
      <w:pPr>
        <w:spacing w:after="0" w:line="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color w:val="auto"/>
        </w:rPr>
        <w:t>Stock option exercises Stock-based compensation –</w:t>
      </w:r>
    </w:p>
    <w:p>
      <w:pPr>
        <w:ind w:left="180"/>
        <w:spacing w:after="0"/>
        <w:rPr>
          <w:sz w:val="20"/>
          <w:szCs w:val="20"/>
          <w:color w:val="auto"/>
        </w:rPr>
      </w:pPr>
      <w:r>
        <w:rPr>
          <w:rFonts w:ascii="Times New Roman" w:cs="Times New Roman" w:eastAsia="Times New Roman" w:hAnsi="Times New Roman"/>
          <w:sz w:val="16"/>
          <w:szCs w:val="16"/>
          <w:color w:val="auto"/>
        </w:rPr>
        <w:t>stock options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 –</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restricted stock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translation</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adjustments adjustments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March 31, 2024</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in Excess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9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of Par</w:t>
            </w:r>
          </w:p>
        </w:tc>
        <w:tc>
          <w:tcPr>
            <w:tcW w:w="220" w:type="dxa"/>
            <w:vAlign w:val="bottom"/>
          </w:tcPr>
          <w:p>
            <w:pPr>
              <w:spacing w:after="0"/>
              <w:rPr>
                <w:sz w:val="15"/>
                <w:szCs w:val="15"/>
                <w:color w:val="auto"/>
              </w:rPr>
            </w:pPr>
          </w:p>
        </w:tc>
        <w:tc>
          <w:tcPr>
            <w:tcW w:w="1200" w:type="dxa"/>
            <w:vAlign w:val="bottom"/>
            <w:gridSpan w:val="3"/>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0" w:type="dxa"/>
            <w:vAlign w:val="bottom"/>
            <w:gridSpan w:val="4"/>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5"/>
                <w:szCs w:val="15"/>
                <w:color w:val="auto"/>
              </w:rPr>
            </w:pPr>
          </w:p>
        </w:tc>
        <w:tc>
          <w:tcPr>
            <w:tcW w:w="1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1100" w:type="dxa"/>
            <w:vAlign w:val="bottom"/>
            <w:gridSpan w:val="3"/>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20,570,710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(3,750)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(47,951)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(21,484)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116,403</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2"/>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20,570,710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(48,297)</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w w:val="87"/>
              </w:rPr>
              <w:t>(21,484)</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20,783,607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189,160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(3,660)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(40,754)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(21,492)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125,427</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2,891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2,904</w:t>
            </w:r>
          </w:p>
        </w:tc>
        <w:tc>
          <w:tcPr>
            <w:tcW w:w="0" w:type="dxa"/>
            <w:vAlign w:val="bottom"/>
          </w:tcPr>
          <w:p>
            <w:pPr>
              <w:spacing w:after="0"/>
              <w:rPr>
                <w:sz w:val="1"/>
                <w:szCs w:val="1"/>
                <w:color w:val="auto"/>
              </w:rPr>
            </w:pPr>
          </w:p>
        </w:tc>
      </w:tr>
      <w:tr>
        <w:trPr>
          <w:trHeight w:val="210"/>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91"/>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2"/>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20,887,446</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189,995</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(37,863)</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w w:val="87"/>
              </w:rPr>
              <w:t>(21,492)</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-2879725</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-2622550</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-2236470</wp:posOffset>
            </wp:positionV>
            <wp:extent cx="71323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-1722120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-1439545</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-1182370</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-925195</wp:posOffset>
            </wp:positionV>
            <wp:extent cx="713232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-410845</wp:posOffset>
            </wp:positionV>
            <wp:extent cx="713232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8"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020" w:space="260"/>
            <w:col w:w="8900"/>
          </w:cols>
          <w:pgMar w:left="320" w:top="819"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2023.</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December 31, 2023 consolidated balance sheet information referenced herein was derived from audited financial statements but does not include all disclosures required by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Ultralife, Southwest Electronic Energy Corporation, a Texas corporation and wholly owned subsidiary of Ultralife (“SWE”), CLB, INC., a Texas corporation and wholly owned subsidiary of SWE (“CLB”), Ultralife Excell Holding Corp., a Delaware corporation and wholly owned subsidiary of Ultralife (“UEHC”), Ultralife Canada Holding Corp., a Delaware corporation and wholly owned subsidiary of UEHC (“UCHC”), and Excell Battery Corporation USA, a Texas corporation and wholly owned subsidiary of UEHC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On November 28, 2022, Ultralife, SWE, CLB, UEHC, UCHC, Excell USA, and Excell Battery Canada ULC, a British Columbia unlimited liability corporation and wholly owned subsidiary of UCHC (“Excell Canada”), entered into that certain Third Amendment Agreement with KeyBank, to further amend the Credit Agreement to, among other things, facilitate the joinder of Excell Canada as a guarantor under the Credit Agreement and to replace the LIBOR benchmark thereunder with SOFR (the “Third Amendment Agreement”, and together with the Second Amendment Agreement and the Credit Agreement, the “Amended Credit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$5,667 outstanding principal on the Term Loan Facility, $2,000 of which is included in current portion of long-term debt on the balance sheet, and $19,580 outstanding on the Revolving Credit Facility. As of March 31, 2024, total unamortized debt issuance costs of $107, including placement, renewal and legal fees associated with the Amended Credit Agreement, are classified as a reduction of long-term debt on the balance sheet. Debt issuance costs are amortized to interest expense over the term of the Amended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Revolving Credit Facility is subject to certain borrowing base limits based on trade receivables and 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2025. The Company may voluntarily prepay principal amounts outstanding at any time subject to certain restrictions.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 The Company was in full compliance with its covenants under the Amended Credit Agreement as of March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Amended Credit Facilities are secured by substantially all the assets of the Company and its subsidiaries.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effectiveness of the Third Amendment Agreement, interest accrues on outstanding indebtedness under the Amended Credit Facilities at the Daily Simple SOFR Rate, plus an index spread adjustment of 0.10%, plus the applicable margin. The applicable margin ranges from 185 to 215 basis points and is determined based on the Company’s senior leverage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must pay a fee of 0.15% to 0.25% based on the average daily unused availability under the Revolving Credit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attributable to Ultralife Corporation by the weighted average shares outstanding during the period. Diluted EPS includes the dilutive effect of securities, if any, and is calculated using the treasury stock method.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three-month period ended March 31, 2024, there were 539,358 outstanding stock options and 5,229 unvested restricted stock awards included in the calculation of diluted weighted average shares outstanding, as such securities were dilutive, resulting in 122,515 potential common shares included in the calculation of diluted EPS. There were 524,502 outstanding stock options for the three-month period ended March 31, 2024 not included in EPS as the effect would be anti-dilutive.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comparable three-month period ended March 31, 2023, there were no outstanding awards included in the calculation of diluted weighted average shares outstanding and no potential common shares included in the calculation of diluted EPS, as no securities were dilutive. There were 1,420,611 outstanding stock options and 2,500 unvested restricted stock awards not included in the calculation of diluted EPS for the three-month period ended March 31, 2023, as the effect would be antidilutive.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ind w:right="6640" w:firstLine="8"/>
        <w:spacing w:after="0" w:line="503" w:lineRule="auto"/>
        <w:tabs>
          <w:tab w:leader="none" w:pos="324"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 Fair Value Measurements and Disclosures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March 31, 2024 and December 31, 2023. The fair value of cash, accounts receivable, accounts payable, accrued liabilities, and the current portion of long-term debt approximates carrying value due to the short-term nature of these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Company’s cash was as follows:</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December 31, 2023, restricted cash of $82 represented euro-denominated deposits withheld by the Dutch tax authorities and third-party VAT representatives in connection with a previously utilized logistics arrangement in the Netherlands. During the quarter ended March 31, 2024, the deposits were returned to the Company and no longer restricted. As of March 31, 2024, there was no cash classified as restricted cash. Restricted cash as of December 31, 2023 is included as a component of the cash balance for purposes of the consolidated statements of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net of obsolescence reserves, with cost determined under the first-in, first-out (FIFO)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composition of inventories, net was: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43,821</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(66,484)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for property, plant and equipment was $740 and $762 for the three-month periods ended March 31, 2024 and March 31,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three-month period ended March 31, 2024.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37,571</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w:t>
            </w:r>
          </w:p>
        </w:tc>
        <w:tc>
          <w:tcPr>
            <w:tcW w:w="100" w:type="dxa"/>
            <w:vAlign w:val="bottom"/>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28,214</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at December 31, 2023</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cost of total intangible assets from December 31, 2023 to March 31, 2024 is the effect of foreign currency translations.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was $228 and $209 for the three-month periods ended March 31, 2024 and March 31, 2023, respectively. Amortization included in selling, general and administrative expenses was $203 and $185 for the three-month periods ended March 31, 2024 and March 31, 2023, respectively. Amortization included in research and development expenses was $25 and $24 for the three-month periods ended March 31, 2024 and March 31, 2023,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568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12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2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20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March 31, 2024, there was $699 of total unrecognized compensation cost related to outstanding stock options, which is expected to be recognized over a weighted average period of 1.3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three-month period ended March 31, 2024:</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24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1,250,595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3,460</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(103,839)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(86,356)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w:t>
            </w:r>
          </w:p>
        </w:tc>
      </w:tr>
      <w:tr>
        <w:trPr>
          <w:trHeight w:val="197"/>
        </w:trPr>
        <w:tc>
          <w:tcPr>
            <w:tcW w:w="5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964,552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7.07</w:t>
            </w:r>
          </w:p>
        </w:tc>
        <w:tc>
          <w:tcPr>
            <w:tcW w:w="1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4.06</w:t>
            </w:r>
          </w:p>
        </w:tc>
        <w:tc>
          <w:tcPr>
            <w:tcW w:w="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1,987</w:t>
            </w:r>
          </w:p>
        </w:tc>
      </w:tr>
      <w:tr>
        <w:trPr>
          <w:trHeight w:val="20"/>
        </w:trPr>
        <w:tc>
          <w:tcPr>
            <w:tcW w:w="5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2024</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604,537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7.50</w:t>
            </w:r>
          </w:p>
        </w:tc>
        <w:tc>
          <w:tcPr>
            <w:tcW w:w="126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2.92</w:t>
            </w:r>
          </w:p>
        </w:tc>
        <w:tc>
          <w:tcPr>
            <w:tcW w:w="240" w:type="dxa"/>
            <w:vAlign w:val="bottom"/>
            <w:tcBorders>
              <w:bottom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1,018</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March 31, 2024 and March 31, 2023 was $685 and $0, respectively.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Restricted stock awards vest in equal annual installments over three (3) years. Unrecognized compensation cost related to unvested restricted shares at March 31, 2024 and March 31, 2023, respectively, was $31 and $2.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three-month periods ended March 31, 2024 and March 31, 2023 was 19.5% and 28.4%, respectively. The period-over-period change was primarily attributable to the geographic mix of our operating results.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we have domestic net operating loss (“NOL”) carryforwards of $27,200, which expire 2031 through 2035, and domestic tax credits of $2,900, which expire 2028 through 2043, available to reduce future taxable income. As of March 31, 2024, management has concluded it is more likely than not that these domestic NOL and credit carryforwards will be fully utilized.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for certain past operations in the U.K., we continue to report a valuation allowance for NOL carryforwards of approximately $9,800,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we have not recognized a valuation allowance against our other foreign deferred tax assets, as realization is considered to be more likely than not.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maintains its assertion that all foreign earnings will be indefinitely reinvested in those operations, other than earnings generated in the U.K.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March 31, 2024 and December 31,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2020 thru 2022 remain subject to IRS examination. Our U.S. tax matters for 2001-2002, 2005-2007, 2009, and 2011-2015 also remain subject to IRS examination due to the remaining availability of net operating loss carryforwards generated in those years. Our U.S. tax matters for 2013 thru 2022 remain subject to examination by various state and local tax jurisdictions. Our tax matters for the years 2013 thru 2022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March 31, 2024, the remaining lease terms on our operating leases range from approximately less than one (1) year to eight (8)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30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Three-month period ended March 31,</w:t>
            </w:r>
          </w:p>
        </w:tc>
        <w:tc>
          <w:tcPr>
            <w:tcW w:w="8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20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cost</w:t>
            </w:r>
          </w:p>
        </w:tc>
        <w:tc>
          <w:tcPr>
            <w:tcW w:w="520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1"/>
                <w:szCs w:val="21"/>
                <w:color w:val="auto"/>
              </w:rPr>
            </w:pPr>
          </w:p>
        </w:tc>
      </w:tr>
      <w:tr>
        <w:trPr>
          <w:trHeight w:val="413"/>
        </w:trPr>
        <w:tc>
          <w:tcPr>
            <w:tcW w:w="50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4120" w:type="dxa"/>
            <w:vAlign w:val="bottom"/>
            <w:tcBorders>
              <w:top w:val="single" w:sz="8" w:color="CCEEFF"/>
            </w:tcBorders>
          </w:tcPr>
          <w:p>
            <w:pPr>
              <w:jc w:val="right"/>
              <w:ind w:right="205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20" w:type="dxa"/>
            <w:vAlign w:val="bottom"/>
            <w:gridSpan w:val="11"/>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Three-month period ended March 31,</w:t>
            </w:r>
          </w:p>
        </w:tc>
        <w:tc>
          <w:tcPr>
            <w:tcW w:w="8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7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40" w:type="dxa"/>
            <w:vAlign w:val="bottom"/>
          </w:tcPr>
          <w:p>
            <w:pPr>
              <w:spacing w:after="0"/>
              <w:rPr>
                <w:sz w:val="24"/>
                <w:szCs w:val="24"/>
                <w:color w:val="auto"/>
              </w:rPr>
            </w:pPr>
          </w:p>
        </w:tc>
        <w:tc>
          <w:tcPr>
            <w:tcW w:w="2180" w:type="dxa"/>
            <w:vAlign w:val="bottom"/>
            <w:gridSpan w:val="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4"/>
                <w:szCs w:val="24"/>
                <w:color w:val="auto"/>
              </w:rPr>
            </w:pPr>
          </w:p>
        </w:tc>
      </w:tr>
      <w:tr>
        <w:trPr>
          <w:trHeight w:val="209"/>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3,177</w:t>
            </w:r>
          </w:p>
        </w:tc>
        <w:tc>
          <w:tcPr>
            <w:tcW w:w="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gridSpan w:val="2"/>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4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2,350</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3,130</w:t>
            </w:r>
          </w:p>
        </w:tc>
        <w:tc>
          <w:tcPr>
            <w:tcW w:w="4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7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minimum lease payments as of March 31, 2024 are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3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80" w:type="dxa"/>
            <w:vAlign w:val="bottom"/>
            <w:gridSpan w:val="2"/>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33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1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3" w:name="page14"/>
    <w:bookmarkEnd w:id="13"/>
    <w:p>
      <w:pPr>
        <w:ind w:right="7580" w:firstLine="8"/>
        <w:spacing w:after="0" w:line="503" w:lineRule="auto"/>
        <w:tabs>
          <w:tab w:leader="none" w:pos="324"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Purchase Commitments</w:t>
      </w:r>
    </w:p>
    <w:p>
      <w:pPr>
        <w:spacing w:after="0"/>
        <w:rPr>
          <w:sz w:val="20"/>
          <w:szCs w:val="20"/>
          <w:color w:val="auto"/>
        </w:rPr>
      </w:pPr>
      <w:r>
        <w:rPr>
          <w:rFonts w:ascii="Times New Roman" w:cs="Times New Roman" w:eastAsia="Times New Roman" w:hAnsi="Times New Roman"/>
          <w:sz w:val="18"/>
          <w:szCs w:val="18"/>
          <w:color w:val="auto"/>
        </w:rPr>
        <w:t>As of March 31, 2024, we have made commitments to purchase approximately $330 of production machinery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three months of 2024 and 2023 were as follows: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30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Three-month period ended March 31,</w:t>
            </w:r>
          </w:p>
        </w:tc>
      </w:tr>
      <w:tr>
        <w:trPr>
          <w:trHeight w:val="210"/>
        </w:trPr>
        <w:tc>
          <w:tcPr>
            <w:tcW w:w="73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3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r>
      <w:tr>
        <w:trPr>
          <w:trHeight w:val="20"/>
        </w:trPr>
        <w:tc>
          <w:tcPr>
            <w:tcW w:w="7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 For the quarter ended March 31, 2024, revenue recognized on extended warranties was $72.</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2024, there was deferred revenue on extended warranty contracts of $1,335, comprised of $287 expected to be recognized as revenue within one (1) year and classified as accrued expenses and other current liabilities on our consolidated balance sheet, and $1,048 expected to be recognized as revenue over the remaining duration of the respective contracts and classified as other noncurrent liabilities on our consolidated balance sheet.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deferred revenue on extended warranty contracts of $1,407, comprised of $287 expected to be recognized as revenue within one (1) year and classified as accrued expenses and other current liabilities on our consolidated balance sheet, and $1,120 expected to be recognized as revenue evenly over the remaining duration of the respective contracts and classified as other noncurrent liabilities on our consolidated balance sheet.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BUSINESS 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March 31, 2024:</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0"/>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34,989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41,927</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8,986</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4,063</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2,891</w:t>
            </w:r>
          </w:p>
        </w:tc>
        <w:tc>
          <w:tcPr>
            <w:tcW w:w="560" w:type="dxa"/>
            <w:vAlign w:val="bottom"/>
          </w:tcPr>
          <w:p>
            <w:pPr>
              <w:spacing w:after="0"/>
              <w:rPr>
                <w:sz w:val="20"/>
                <w:szCs w:val="20"/>
                <w:color w:val="auto"/>
              </w:rPr>
            </w:pPr>
          </w:p>
        </w:tc>
      </w:tr>
      <w:tr>
        <w:trPr>
          <w:trHeight w:val="414"/>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March 31, 2023:</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0"/>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28,470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31,916</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6,512</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Ultralife Corporation</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560" w:type="dxa"/>
            <w:vAlign w:val="bottom"/>
          </w:tcPr>
          <w:p>
            <w:pPr>
              <w:spacing w:after="0"/>
              <w:rPr>
                <w:sz w:val="20"/>
                <w:szCs w:val="20"/>
                <w:color w:val="auto"/>
              </w:rPr>
            </w:pPr>
          </w:p>
        </w:tc>
      </w:tr>
      <w:tr>
        <w:trPr>
          <w:trHeight w:val="414"/>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Commercial and Government/Defense Revenue Information:</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52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Three-month period ended March 31, 2024:</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4"/>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Revenue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Commercial</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4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34,989</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10,849</w:t>
            </w:r>
          </w:p>
        </w:tc>
      </w:tr>
      <w:tr>
        <w:trPr>
          <w:trHeight w:val="216"/>
        </w:trPr>
        <w:tc>
          <w:tcPr>
            <w:tcW w:w="84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Communications Systems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6,938</w:t>
            </w:r>
          </w:p>
        </w:tc>
      </w:tr>
      <w:tr>
        <w:trPr>
          <w:trHeight w:val="20"/>
        </w:trPr>
        <w:tc>
          <w:tcPr>
            <w:tcW w:w="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44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41,927</w:t>
            </w:r>
          </w:p>
        </w:tc>
        <w:tc>
          <w:tcPr>
            <w:tcW w:w="20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17,787</w:t>
            </w:r>
          </w:p>
        </w:tc>
      </w:tr>
      <w:tr>
        <w:trPr>
          <w:trHeight w:val="20"/>
        </w:trPr>
        <w:tc>
          <w:tcPr>
            <w:tcW w:w="84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52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Three-month period ended March 31, 2023:</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4"/>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Revenue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Commercial</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4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6,251</w:t>
            </w:r>
          </w:p>
        </w:tc>
      </w:tr>
      <w:tr>
        <w:trPr>
          <w:trHeight w:val="216"/>
        </w:trPr>
        <w:tc>
          <w:tcPr>
            <w:tcW w:w="84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Communications Systems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3,446</w:t>
            </w:r>
          </w:p>
        </w:tc>
      </w:tr>
      <w:tr>
        <w:trPr>
          <w:trHeight w:val="20"/>
        </w:trPr>
        <w:tc>
          <w:tcPr>
            <w:tcW w:w="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44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31,916</w:t>
            </w:r>
          </w:p>
        </w:tc>
        <w:tc>
          <w:tcPr>
            <w:tcW w:w="20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9,697</w:t>
            </w:r>
          </w:p>
        </w:tc>
      </w:tr>
      <w:tr>
        <w:trPr>
          <w:trHeight w:val="20"/>
        </w:trPr>
        <w:tc>
          <w:tcPr>
            <w:tcW w:w="84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4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U.S. and Non-U.S. Revenue Information</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2220" w:type="dxa"/>
            <w:vAlign w:val="bottom"/>
            <w:gridSpan w:val="2"/>
          </w:tcPr>
          <w:p>
            <w:pPr>
              <w:jc w:val="right"/>
              <w:ind w:right="2160"/>
              <w:spacing w:after="0"/>
              <w:rPr>
                <w:sz w:val="20"/>
                <w:szCs w:val="20"/>
                <w:color w:val="auto"/>
              </w:rPr>
            </w:pPr>
            <w:r>
              <w:rPr>
                <w:rFonts w:ascii="Times New Roman" w:cs="Times New Roman" w:eastAsia="Times New Roman" w:hAnsi="Times New Roman"/>
                <w:sz w:val="18"/>
                <w:szCs w:val="18"/>
                <w:u w:val="single" w:color="auto"/>
                <w:color w:val="auto"/>
                <w:w w:val="78"/>
              </w:rPr>
              <w:t>:</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40"/>
        </w:trPr>
        <w:tc>
          <w:tcPr>
            <w:tcW w:w="52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Three-month period ended March 31, 2024:</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Total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Revenue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Non-United States</w:t>
            </w:r>
          </w:p>
        </w:tc>
        <w:tc>
          <w:tcPr>
            <w:tcW w:w="1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4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34,989</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15,386</w:t>
            </w:r>
          </w:p>
        </w:tc>
      </w:tr>
      <w:tr>
        <w:trPr>
          <w:trHeight w:val="216"/>
        </w:trPr>
        <w:tc>
          <w:tcPr>
            <w:tcW w:w="84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Communications Systems</w:t>
            </w: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6,938</w:t>
            </w:r>
          </w:p>
        </w:tc>
        <w:tc>
          <w:tcPr>
            <w:tcW w:w="2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2,080</w:t>
            </w:r>
          </w:p>
        </w:tc>
      </w:tr>
      <w:tr>
        <w:trPr>
          <w:trHeight w:val="20"/>
        </w:trPr>
        <w:tc>
          <w:tcPr>
            <w:tcW w:w="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44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41,927</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17,466</w:t>
            </w:r>
          </w:p>
        </w:tc>
      </w:tr>
      <w:tr>
        <w:trPr>
          <w:trHeight w:val="20"/>
        </w:trPr>
        <w:tc>
          <w:tcPr>
            <w:tcW w:w="84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52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Three-month period ended March 31, 2023:</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Total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Revenue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Non-United States</w:t>
            </w:r>
          </w:p>
        </w:tc>
        <w:tc>
          <w:tcPr>
            <w:tcW w:w="1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4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28,470</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14,702</w:t>
            </w:r>
          </w:p>
        </w:tc>
      </w:tr>
      <w:tr>
        <w:trPr>
          <w:trHeight w:val="216"/>
        </w:trPr>
        <w:tc>
          <w:tcPr>
            <w:tcW w:w="84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Communications Systems</w:t>
            </w: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3,446</w:t>
            </w:r>
          </w:p>
        </w:tc>
        <w:tc>
          <w:tcPr>
            <w:tcW w:w="2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569</w:t>
            </w:r>
          </w:p>
        </w:tc>
      </w:tr>
      <w:tr>
        <w:trPr>
          <w:trHeight w:val="20"/>
        </w:trPr>
        <w:tc>
          <w:tcPr>
            <w:tcW w:w="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44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31,916</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15,271</w:t>
            </w:r>
          </w:p>
        </w:tc>
      </w:tr>
      <w:tr>
        <w:trPr>
          <w:trHeight w:val="20"/>
        </w:trPr>
        <w:tc>
          <w:tcPr>
            <w:tcW w:w="84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79" w:lineRule="exact"/>
        <w:rPr>
          <w:sz w:val="20"/>
          <w:szCs w:val="20"/>
          <w:color w:val="auto"/>
        </w:rPr>
      </w:pPr>
    </w:p>
    <w:p>
      <w:pPr>
        <w:ind w:left="5540" w:right="1260" w:hanging="5532"/>
        <w:spacing w:after="0" w:line="372" w:lineRule="auto"/>
        <w:tabs>
          <w:tab w:leader="none" w:pos="134"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320" w:top="580" w:right="11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and supply chain disruptions affecting our business, revenues and earnings adversely; our reliance on certain key customers; reductions or delays in U.S. and foreign military spending; our efforts to develop new products or new commercial applications for our products; potential disruptions in our supply of raw materials and components; breaches in information systems security and other disruptions in our information technology systems; our ability to recruit and retain top management and key personnel; our resources being overwhelmed by our growth; the continued impact of COVID-19, or other pandemics that may arise, causing delays in the manufacture and delivery of our mission critical products to end customers; the unique risks associated with our China operations; fluctuations in the price of oil and the resulting impact on the demand for downhole drilling; possible future declines in demand for the products that use our batteries or communications systems; variability in our quarterly and annual results and the price of our common stock; safety risks, including the risk of fire; rising interest rates increasing the cost of our variable borrowings; purchases by our customers of product quantities not meeting the volume expectations in our supply agreements; potential costs attributable to the warranties we supply with our products and services; our inability to comply with changes to the regulations for the shipment of our products; our entrance into new end-markets which could lead to additional financial exposure; negative publicity concerning Lithium-ion batteries; our ability to utilize our net operating loss carryforwards; our exposure to foreign currency fluctuations; possible impairments of our goodwill and other intangible assets;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“foresee,” “could,” “likely,” or words of similar import are intended to identify forward-looking statements. For further discussion of certain of the matters described above and other risks and uncertainties, see Item 1A, “Risk Factors” in our Annual Report on Form 10-K for the year ended December 31, 2023.</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to reflect new information or risks, future events or other developments.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in this MD&amp;A is presented in thousands of dollars, except for share and per share amounts, unless otherwise specified.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8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Ultralife HiRate®, Ultralife Thin Cell®, Ultralife Batteries Inc.®, Lithium Power®, McDowell Research®, AMTI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ABLE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ACCUTRONICS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ACCUPRO</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ENTELLION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SWE Southwest Electronic Energy Group</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SWE SEASAFE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Excell Battery Group</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and Criterion Gauge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brands, among others. We have sales, operations and product development facilities in North America, Europe and Asia.</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 in Item 1 of Part 1 of this Form 10-Q.)</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revenues of $41,927 for the three-month period ended March 31, 2024, increased by $10,011 or 31.4%, over $31,916 for the three-month period ended March 31, 2023, reflecting both an increase in government/defense sales of 83.4% and commercial sales of 8.6%. During the first quarter of 2023, the Company experienced a cybersecurity ransomware attack which impacted our ability to process orders, ship products, provide services to our customers and effectively manage our sales and operating planning process over a several-week period for our Newark, NY location and an even longer period for our Virginia Beach, VA location. Considerable time during the first quarter of 2023 was devoted to data restoration, systems recovery, systems security augmentation, and regulatory reporting of the attack. Our resulting cybersecurity insurance claim covering the cost of engaging external cybersecurity experts and the losses incurred due to the interruption of our business remains in review by our insurance carrier.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$11,470, or 27.4% of revenue, for the three-month period ended March 31, 2024, compared to $7,436, or 23.3% of revenue, for the same quarter a year ago. The 410-basis point improvement primarily resulted from higher factory volume for both our Battery &amp; Energy Products and Communications Systems businesses, more efficiencies resulting from a concerted effort to level-load production more evenly across the 2024 quarter and improved price realization. Gross profit for the 2023 period was tempered by the inefficiencies associated with the cybersecurity attack, lingering supply chain disruptions and higher material costs across both business segments.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remained essentially flat, decreasing to $7,407 for the three-month period ended March 31, 2024, compared to $7,410 for the three-month period ended March 31, 2023. Operating expenses for the 2024 period were 17.7% of revenue compared to 23.2% of revenue for the year-earlier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for the three-month period ended March 31, 2024 was $4,063, or 9.7% of revenues, compared to $26, or 0.1% of revenues, for the year-earlier period. The increase in operating income primarily resulted from the 31.4% revenue increase, the 410-basis point improvement in gross margin and the 550-basis point improvement in operating expense to revenues leverage.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(loss) attributable to Ultralife Corporation was $2,891, or $0.18 per share – basic and diluted, for the three-month period ended March 31, 2024, compared to ($346) or ($0.02) per share – basic and diluted, for the three-month period ended March 31,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defined as net income (loss) attributable to Ultralife Corporation before net interest expense, provision (benefit) for income taxes, depreciation and amortization, and stock-based compensation expense, plus/minus expenses/income that we do not consider reflective of our ongoing operations, amounted to $5,243, or 12.5% of revenues, for the first quarter of 2024, compared to $1,155, or 3.6% of revenues, for the first quarter of 2023. See the section “Adjusted EBITDA” beginning on page 19 for a reconciliation of adjusted EBITDA to net income (loss) attributable to Ultralife Corporation.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current healthy backlog and new product commercialization, we are prepared to capture additional organic growth opportunities, while we continue to drive gross margin improvements and invest in further new product development. We are increasingly optimistic that we are positioned to sustain profitable growth, generate incremental cash flow to pay down debt, and invest in strategic capital expenditures and accretive acquisitions.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March 31, 2024 and March 31, 2023</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ended March 31, 2024 were $41,927, an increase of $10,011, or 31.4%, over $31,916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three-month period ended March 31, 2023. Overall, government/defense sales increased 83.4% and commercial sales increased 8.6%. During the first quarter of 2023, the Company experienced a cybersecurity ransomware attack which impacted our ability to process orders, ship products, provide services to our customers and effectively manage our sales and operating planning process over a several week period for our Newark, NY location and an even longer period for our Virginia Beach, VA location. A large portion of our time during that quarter was devoted to data restoration, systems security augmentation, and regulatory reporting of the attack, all of which were successfully accomplished with no ransom paid.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Battery &amp; Energy Products revenues increased $6,519, or 22.9%, from $28,470 for the three-month period ended March 31, 2023 to $34,989 for the three-month period ended March 31, 2024. The revenue growth was primarily attributable to an increase in government/defense sales of 73.6% reflecting strong demand from our U.S.-based global prime, and an increase in commercial sales of 8.6% reflecting medical and industrial market sales growth of 54.7% and 2.3%, respectively, partially offset by a 13.9% decline in oil &amp; gas market sales. The year-over -year comparison was also impacted by the 2023 cybersecurity attack.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Communications Systems sales increased $3,492, or 101.3%, from $3,446 for the three-month period ended March 31, 2023 to $6,938 for the three-month period ended March 31, 2024. The increase was primarily attributable to shipments of EL8000 server cases to a large multinational information technology company, integrated systems of amplifiers and radio vehicle mounts to a major international defense contractor under an ongoing allied country government/defense modernization program, and power systems to a U.S.-based global prime. The year-over-year comparison was also impacted by the 2023 cybersecurity attack.</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$30,457 for the quarter ended March 31, 2024, an increase of $5,977, or 24.4%,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$24,480 reported for the same three-month period a year ago. Consolidated cost of products sold as a percentage of total revenue decreased from 76.7% for the three-month period ended March 31, 2023 to 72.6% for the three-month period ended March 31, 2024. Correspondingly, consolidated gross margin increased from 23.3% for the three-month period ended March 31, 2023, to 27.4% for the three-month period ended March 31, 2024, primarily reflecting higher factory volume for both our Battery &amp; Energy Products and Communications Systems businesses, favorable sales product mix, more efficiencies resulting from a concerted effort to level-load production more evenly across the 2024 quarter and improved price realization. Gross profit for the 2023 period was tempered by the inefficiencies associated with the cybersecurity attack, lingering supply chain disruptions and higher material costs across both business segments.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first quarter of 2024 was $8,986, an increase of $2,474 or 38.0% from gross profit of $6,512 for the first quarter of 2023. Battery &amp; Energy Products’ gross margin of 25.7% increased by 280-basis points from the 22.9% gross margin for the year-earlier period, primarily due to higher cost absorption and more efficiencies resulting from a concerted effort to level-load production more evenly across the 2024 quarter, as well as improved price realization. The 2023 period was impacted by inefficiencies resulting from the cybersecurity attack as well as lingering supply chain disruptions, higher material and logistics costs.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first quarter of 2024 was $2,484 or 35.8% of revenues, compared to gross profit of $924 or 26.8% of revenues for the first quarter of 2023. The 900-basis point increase in gross margin was primarily due to higher factory volume and favorable sales product mix in the first quarter of 2024, and the impact of the cybersecurity attack on the year-earlier period.</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three-month period ended March 31, 2024 were $7,407, a decrease of $3 from the $7,410 for the three-month period ended March 31, 2023. The decrease is primarily attributable to the timing of new product development costs as well as the impact of recording the $100 deductible on our cyber insurance policy during the 2023 first quarter. Both periods reflected continued tight control over discretionary spending.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operating expenses were 17.7% of revenue for the quarter ended March 31, 2024 compared to 23.2% of revenue for the quarter ended March 31, 2023. Amortization expense associated with intangible assets related to our acquisitions was $228 for the first quarter of 2024 ($203 in selling, general and administrative expenses and $25 in research and development costs), compared with $209 for the first quarter of 2023 ($185 in selling, general, and administrative expenses and $24 in research and development costs). Research and development costs were $1,756 for the three-month period ended March 31, 2024, a decrease of $276 or 13.6%, from $2,032 for the three-month period ended March 31, 2023. The decrease is largely attributable to the timing of new product development in both of our businesses as we aggressively pursue both government/defense major programs and commercial opportunities. Selling, general, and administrative expenses were $5,651 for the three-month period ended March 31, 2024, an increase of $273 or 5.1% from $5,378 for the first quarter of 2023. The period over period increase was primarily attributable to higher executive variable compensation costs accrued in the first quarter 2024, partially offset by the $100 deductible cost incurred on our cyber insurance policy during the 2023 first quarter.</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$456 for the three-month period ended March 31, 2024 compared to $494 for the three-month period ended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2023. Interest and financing expense increased $96, or 22.6%, from $424 for the first quarter of 2023 to $520 for the comparable period in 2024. The increase is primarily due to additional draws on our revolver resulting from the 2023 cybersecurity attack and rising interest rates. Miscellaneous (income) expense amounted to ($64) for the first quarter of 2024 compared to $70 for the first quarter of 2023, primarily attributable to foreign exchange gains and loss due to fluctuations in foreign currency exchange rates.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For the three-month period ended March 31, 2024, Ultralife recognized an income tax provision of $703, comprised of a current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$53 expected to be paid on income primarily in foreign jurisdictions and a deferred tax provision of $650 which primarily represents non-cash charges for U.S. taxes that we expect will be fully offset by net operating loss carryforwards and other tax credits for the foreseeable future. This compares to a benefit of $133 comprised of a current provision of $257 and deferred benefit of $390 for the three-month period ended March 31, 2023. Our effective tax rate was 19.5% for the first quarter of 2024 as compared to 28.4% for the first quarter of 2023, primarily attributable to the geographic mix of our operating results. See Note 6 to the consolidated financial statements in Item 1 of Part I of this Form 10-Q for additional information regarding our income taxes.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Ultralife Corporation. </w:t>
      </w:r>
      <w:r>
        <w:rPr>
          <w:rFonts w:ascii="Times New Roman" w:cs="Times New Roman" w:eastAsia="Times New Roman" w:hAnsi="Times New Roman"/>
          <w:sz w:val="18"/>
          <w:szCs w:val="18"/>
          <w:color w:val="auto"/>
        </w:rPr>
        <w:t>Net income (loss) attributable to Ultralife Corporation was $2,891, or $0.18 per share – basic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diluted, for the three-month period ended March 31, 2024, compared to ($346), or ($0.02) per share – basic and diluted, for the three-month period ended March 31, 2023. Adjusted EPS was $0.21 per share on a diluted basis for the first quarter of 2024, compared to an adjusted ($0.05) per share for the 2023 period. Adjusted EPS for 2024 excludes the provision for deferred income taxes of $650 which represents non-cash charges primarily for U.S. income taxes that we expect will be fully offset by net operating loss carryforwards and other tax credits for the foreseeable future. Adjusted EPS for 2023 excludes the benefit for deferred income taxes of $390 which represents a non-cash benefit primarily for U.S. net operating losses and temporary tax differences which are expected to offset future U.S. taxable income. See section “Adjusted Earnings Per Share” on page 21 for a reconciliation of adjusted EPS to EPS. Weighted average shares outstanding used to compute diluted earnings per share increased from 16,135,358 for the first quarter of 2023 to 16,518,389 for the first quarter of 2024. The increase is attributable to the exercise of stock options and the vesting of restricted stock since the first quarter of 2023. There was no dilutive effect of outstanding stock awards for the first quarter of 2023 due to the net loss recognized for this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(loss) attributable to Ultralife Corporation before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Corporation, the most comparable financial measure under GAAP.</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(loss),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Corporation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jc w:val="both"/>
        <w:ind w:left="1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5" w:lineRule="exact"/>
        <w:rPr>
          <w:rFonts w:ascii="Times New Roman" w:cs="Times New Roman" w:eastAsia="Times New Roman" w:hAnsi="Times New Roman"/>
          <w:sz w:val="18"/>
          <w:szCs w:val="18"/>
          <w:color w:val="auto"/>
        </w:rPr>
      </w:pPr>
    </w:p>
    <w:p>
      <w:pPr>
        <w:ind w:left="1100" w:hanging="323"/>
        <w:spacing w:after="0" w:line="282" w:lineRule="auto"/>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loss attributable to Ultralife Corporation.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0"/>
        </w:trPr>
        <w:tc>
          <w:tcPr>
            <w:tcW w:w="5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Three-month period</w:t>
            </w:r>
          </w:p>
        </w:tc>
        <w:tc>
          <w:tcPr>
            <w:tcW w:w="1680" w:type="dxa"/>
            <w:vAlign w:val="bottom"/>
          </w:tcPr>
          <w:p>
            <w:pPr>
              <w:spacing w:after="0"/>
              <w:rPr>
                <w:sz w:val="24"/>
                <w:szCs w:val="24"/>
                <w:color w:val="auto"/>
              </w:rPr>
            </w:pPr>
          </w:p>
        </w:tc>
      </w:tr>
      <w:tr>
        <w:trPr>
          <w:trHeight w:val="238"/>
        </w:trPr>
        <w:tc>
          <w:tcPr>
            <w:tcW w:w="5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87"/>
        </w:trPr>
        <w:tc>
          <w:tcPr>
            <w:tcW w:w="5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8"/>
        </w:trPr>
        <w:tc>
          <w:tcPr>
            <w:tcW w:w="5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Ultralife Corporation</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168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1680" w:type="dxa"/>
            <w:vAlign w:val="bottom"/>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168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c>
          <w:tcPr>
            <w:tcW w:w="1680" w:type="dxa"/>
            <w:vAlign w:val="bottom"/>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168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680" w:type="dxa"/>
            <w:vAlign w:val="bottom"/>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Cyber insurance deductible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c>
          <w:tcPr>
            <w:tcW w:w="1680" w:type="dxa"/>
            <w:vAlign w:val="bottom"/>
          </w:tcPr>
          <w:p>
            <w:pPr>
              <w:spacing w:after="0"/>
              <w:rPr>
                <w:sz w:val="21"/>
                <w:szCs w:val="21"/>
                <w:color w:val="auto"/>
              </w:rPr>
            </w:pPr>
          </w:p>
        </w:tc>
      </w:tr>
      <w:tr>
        <w:trPr>
          <w:trHeight w:val="413"/>
        </w:trPr>
        <w:tc>
          <w:tcPr>
            <w:tcW w:w="52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Adjusted Earnings Per Share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our business, we consider and use adjusted earnings per share (“EPS”), a non-GAAP financial measure, as a supplemental measure of our business performance. We define adjusted EPS as net income (loss) attributable to Ultralife Corporation excluding the provision (benefit) for deferred income taxes divided by our weighted average shares outstanding on both a basic and diluted basis. We believe that this information is useful in providing period-to-period comparisons of our results by reflecting the portion of our tax provision that will be predominantly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(loss) attributable to Ultralife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is calculated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Per basic</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basic</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diluted</w:t>
            </w: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share</w:t>
            </w: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197"/>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16,396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16,135</w:t>
            </w:r>
          </w:p>
        </w:tc>
      </w:tr>
      <w:tr>
        <w:trPr>
          <w:trHeight w:val="432"/>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cash totaled $10,099, a decrease of $179 as compared to $10,278 of cash held at December 31,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2024, cash used in our operations was $81, as compared to $1,365 cash used for the three-month period ended March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2024 period, cash used in our operations was attributable to $4,780 used for working capital, driven by $3,562 for accounts receivable due to the timing of shipments and cash collections from our customers, and $1,699 for inventory purchases to secure key components to service our order backlog on a timely basis. The increase in working capital was largely offset by net income of $2,904 plus non-cash items totaling $1,795 for depreciation, amortization, stock-based compensation, and deferred taxes.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2024 was $372 for capital expenditures, primarily reflecting investments in equipment for new products transitioning to high-volume manufacturing.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2024 was $185, driven by cash proceeds of $685 on stock option exercises during the quarter, partially offset by $500 of principle payments on our term loan.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future taxable income. See Note 6 to the consolidated financial statements in Item 1 of Part 1 of this Form 10-Q for additional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of borrowings under our Revolving Credit Facility will be sufficient to meet our general funding requirements for the foreseeable future.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provide flexibility in accessing the capital markets, on March 30, 2021, the Company filed a shelf registration statement on Form S-3 (File No. 333-254846) (the “Prior Registration Statement”) registering securities in an aggregate amount of $100,000,000. None of the $100,000,000 of registered securities were sold under the Prior Registration Statement (the “Unsold Securities”). Under the rules of the Securities and Exchange Commission (the “SEC”) the Prior Registration Statement was set to expire on April 2, 2024. Therefore, on March 29, 2024, the Company filed a new shelf registration statement on Form S-3 (File No. 333-278360) (the “New Registration Statement”) to replace the Prior Registration Statement. The New Registration Statement includes all $100,000,000 of the Unsold Securities registered on the Prior Registration Statement. During the grace period afforded by Rule 415(a)(5) under the Securities Act of 1933, as amended (the “Securities Act”), we may offer and sell the Unsold Securities under the Prior Registration Statement until the SEC declares the New Registration Statement effective. Pursuant to Rule 415(a)(6) under the Securities Act, the offering of the Unsold Securities under the Prior Registration Statement will be deemed terminated as of the date of effectiveness of the New Registration Statement. Upon the filing of an appropriate prospectus supplement or supplements under either the Prior Registration Statement, or upon its effectiveness the New Registration Statement, we may offer and sell our securities from time to time in one or more offerings, at our discretion. We intend to use the net proceeds resulting from any sales of these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 differentiated products for attractive growth markets.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$19,580 outstanding borrowings on the Revolving Credit Facility and $5,667 on the Term Loan Facility. The Company was in full compliance with all covenants under the Credit Facilities as of 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made commitments to purchase approximately $330 of production machinery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2023 Annual Report on Form 10-K should be reviewed for a greater understanding of how our financial performance is recorded and reported.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there were no significant changes in the manner in which our significant accounting policies were applied or in which related assumptions and estimates were developed.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32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43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3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169"/>
        </w:trPr>
        <w:tc>
          <w:tcPr>
            <w:tcW w:w="18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5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34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8"/>
              </w:rPr>
              <w:t>Rule 13a-14(a) / 15d-14(a) CEO Certifications</w:t>
            </w:r>
          </w:p>
        </w:tc>
        <w:tc>
          <w:tcPr>
            <w:tcW w:w="21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5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Rule 13a-14(a) / 15d-14(a) CFO Certifications</w:t>
            </w:r>
          </w:p>
        </w:tc>
        <w:tc>
          <w:tcPr>
            <w:tcW w:w="386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Certifications</w:t>
            </w:r>
          </w:p>
        </w:tc>
        <w:tc>
          <w:tcPr>
            <w:tcW w:w="2160" w:type="dxa"/>
            <w:vAlign w:val="bottom"/>
            <w:gridSpan w:val="2"/>
          </w:tcPr>
          <w:p>
            <w:pPr>
              <w:spacing w:after="0"/>
              <w:rPr>
                <w:sz w:val="17"/>
                <w:szCs w:val="17"/>
                <w:color w:val="auto"/>
              </w:rPr>
            </w:pPr>
          </w:p>
        </w:tc>
        <w:tc>
          <w:tcPr>
            <w:tcW w:w="386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218"/>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1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March 31, 2024 and December 31, 2023, (ii) Consolidated Statements of Income (Loss) and Comprehensive Income (Loss) for the three months ended March 31, 2024 and 2023, (iii) Consolidated Statements of Cash Flows for the three months ended March 31, 2024 and 2023, (iv) Consolidated Statements of Changes in Stockholders’ Equity for the three months ended March 31, 2024 and 2023, and (v) Notes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0" w:type="dxa"/>
            <w:vAlign w:val="bottom"/>
            <w:gridSpan w:val="4"/>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ULTRALIFE CORPORATION</w:t>
            </w:r>
          </w:p>
        </w:tc>
      </w:tr>
      <w:tr>
        <w:trPr>
          <w:trHeight w:val="237"/>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39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Date: April 25, 2024</w:t>
            </w:r>
          </w:p>
        </w:tc>
        <w:tc>
          <w:tcPr>
            <w:tcW w:w="6820" w:type="dxa"/>
            <w:vAlign w:val="bottom"/>
            <w:gridSpan w:val="5"/>
          </w:tcPr>
          <w:p>
            <w:pPr>
              <w:ind w:left="272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20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Michael E. Manna</w:t>
            </w:r>
          </w:p>
        </w:tc>
        <w:tc>
          <w:tcPr>
            <w:tcW w:w="18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9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Date: April 25, 2024</w:t>
            </w:r>
          </w:p>
        </w:tc>
        <w:tc>
          <w:tcPr>
            <w:tcW w:w="6820" w:type="dxa"/>
            <w:vAlign w:val="bottom"/>
            <w:gridSpan w:val="5"/>
          </w:tcPr>
          <w:p>
            <w:pPr>
              <w:ind w:left="272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2120" w:type="dxa"/>
            <w:vAlign w:val="bottom"/>
            <w:gridSpan w:val="2"/>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200"/>
          </w:cols>
          <w:pgMar w:left="320" w:top="576"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Date: April 25, 2024</w:t>
            </w:r>
          </w:p>
        </w:tc>
        <w:tc>
          <w:tcPr>
            <w:tcW w:w="594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E. Manna</w:t>
            </w:r>
          </w:p>
        </w:tc>
        <w:tc>
          <w:tcPr>
            <w:tcW w:w="5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Date: April 25, 2024</w:t>
            </w:r>
          </w:p>
        </w:tc>
        <w:tc>
          <w:tcPr>
            <w:tcW w:w="590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2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80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r>
    </w:tbl>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March 31, 2024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Date: April 25, 2024</w:t>
            </w:r>
          </w:p>
        </w:tc>
        <w:tc>
          <w:tcPr>
            <w:tcW w:w="5940" w:type="dxa"/>
            <w:vAlign w:val="bottom"/>
            <w:gridSpan w:val="4"/>
          </w:tcPr>
          <w:p>
            <w:pPr>
              <w:ind w:left="272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24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Michael E. Manna</w:t>
            </w:r>
          </w:p>
        </w:tc>
        <w:tc>
          <w:tcPr>
            <w:tcW w:w="5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39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Date: April 25, 2024</w:t>
            </w:r>
          </w:p>
        </w:tc>
        <w:tc>
          <w:tcPr>
            <w:tcW w:w="5940" w:type="dxa"/>
            <w:vAlign w:val="bottom"/>
            <w:gridSpan w:val="4"/>
          </w:tcPr>
          <w:p>
            <w:pPr>
              <w:ind w:left="272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2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840" w:type="dxa"/>
            <w:vAlign w:val="bottom"/>
            <w:gridSpan w:val="2"/>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5"/>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1."/>
      <w:numFmt w:val="decimal"/>
      <w:start w:val="7"/>
    </w:lvl>
  </w:abstractNum>
  <w:abstractNum w:abstractNumId="9">
    <w:nsid w:val="140E0F76"/>
    <w:multiLevelType w:val="hybridMultilevel"/>
    <w:lvl w:ilvl="0">
      <w:lvlJc w:val="left"/>
      <w:lvlText w:val="%1."/>
      <w:numFmt w:val="decimal"/>
      <w:start w:val="8"/>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2024-04-25T06:56:44Z</dcterms:created>
  <dcterms:modified xsi:type="dcterms:W3CDTF">2024-04-25T06:56:44Z</dcterms:modified>
</cp:coreProperties>
</file>