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EnerSys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1-32253</w:t>
      </w:r>
    </w:p>
    <w:p>
      <w:pPr>
        <w:sectPr>
          <w:pgSz w:w="11900" w:h="16838" w:orient="portrait"/>
          <w:cols w:equalWidth="0" w:num="1">
            <w:col w:w="11024"/>
          </w:cols>
          <w:pgMar w:left="436" w:top="376" w:right="439" w:bottom="1440" w:gutter="0" w:footer="0" w:header="0"/>
        </w:sectPr>
      </w:pPr>
    </w:p>
    <w:p>
      <w:pPr>
        <w:spacing w:after="0" w:line="225"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23-3058564</w:t>
      </w:r>
    </w:p>
    <w:p>
      <w:pPr>
        <w:spacing w:after="0" w:line="12"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jc w:val="center"/>
        <w:ind w:right="149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49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7064" w:space="720"/>
            <w:col w:w="32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2366 Bernville Road, Reading, Pennsylvania 19605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(610) 208-1991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1" w:lineRule="exact"/>
        <w:rPr>
          <w:sz w:val="24"/>
          <w:szCs w:val="24"/>
          <w:color w:val="auto"/>
        </w:rPr>
      </w:pPr>
    </w:p>
    <w:p>
      <w:pPr>
        <w:ind w:left="4" w:right="2560" w:hanging="4"/>
        <w:spacing w:after="0" w:line="481" w:lineRule="auto"/>
        <w:tabs>
          <w:tab w:leader="none" w:pos="43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19"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On October 27, 2026, EnerSys, a Delaware corporation (“EnerSys” or “Parent”), entered into an Agreement and Plan of Merger (the “Merger Agreement”) with EnerSys Mergersub Inc., a Delaware corporation and a wholly owned subsidiary of Parent (“Merger Sub”), and Ultralife Corporation, a Delaware corporation (“Ultralife”).</w:t>
      </w:r>
    </w:p>
    <w:p>
      <w:pPr>
        <w:spacing w:after="0" w:line="176"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provides for the acquisition of Ultralife by Parent in a two-step transaction, consisting of a tender offer followed by a subsequent merger of Merger Sub with and into Ultralife (the “Merger”). Pursuant to the Merger Agreement, Merger Sub will, as promptly as practicable, and in any event within 10 business days after the date of the Merger Agreement, commence a tender offer (the “Offer”) to purchase all of the outstanding shares of Ultralife common stock, par value $0.10 per share (the “Shares”), for $16.00 per Share (the “Offer Price”), net to the seller in cash, without interest and subject to any required withholding of taxes. Following consummation of the Offer, the Merger will be effected under Section 251(h) of the Delaware General Corporation Law, as amended (the “DGCL”), without a meeting or vote of Ultralife’s stockholders, with Ultralife surviving the Merger as a wholly owned subsidiary of Parent.</w:t>
      </w:r>
    </w:p>
    <w:p>
      <w:pPr>
        <w:spacing w:after="0" w:line="189"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The Offer will initially be scheduled to expire at 5:00 p.m., New York City time, on the date that is 25 business days after the commencement of the Offer, subject to extension in accordance with the terms of the Merger Agreement. If, on any then-scheduled expiration date, any Offer Condition (as defined below) has not been satisfied or waived, Merger Sub may extend the Offer in consecutive increments of up to 10 business days each, and Merger Sub may extend the Offer for any minimum period required by applicable law or the SEC (as defined below) or Nasdaq or their respective staffs, but in no event will Merger Sub be required to extend the Offer beyond the Outside Date (as defined below). The date on which the Offer expires, as extended in accordance with the Merger Agreement, is referred to as the “Expiration Date,” and the date and time Merger Sub accepts Shares validly tendered and not validly withdrawn pursuant to the Offer is referred to as the “Acceptance Time.” The obligation of Merger Sub to consummate the Offer will be subject to the satisfaction or waiver of customary conditions (collectively, the “Offer Conditions”), including (i) the valid tender and “receipt” (as defined in Section 251(h) of the DGCL), and non-withdrawal, of a number of Shares that, together with Shares then beneficially owned by Merger Sub and its affiliates, represents at least one Share more than 50% of the Shares issued and outstanding at the Acceptance Time (the “Minimum Condition”), (ii) the expiration or termination of the waiting period under the Hart-Scott-Rodino Antitrust Improvements Act of 1976, as amended (the “HSR Act”), (iii) clearance under the United Kingdom National Security and Investment Act 2021 (the “NSIA”) and the receipt of any other required clearance, approval or consent, or the expiration or termination of any required waiting period, under the laws of any jurisdiction other than the United States, (iv) the absence of any law, order or other legal restraint prohibiting the making or consummation of the Offer or the Merger, (v) the accuracy of Ultralife’s representations and warranties, subject to specified materiality qualifications, (vi) Ultralife’s compliance with its covenants under the Merger Agreement, (vii) the absence of a continuing Material Adverse Effect (as defined in the Merger Agreement) on Ultralife since the date of the Merger Agreement, (viii) receipt of a certificate of an executive officer of Ultralife confirming the satisfaction of the conditions in clauses (v) through (vii) and</w:t>
      </w:r>
    </w:p>
    <w:p>
      <w:pPr>
        <w:spacing w:after="0" w:line="10" w:lineRule="exact"/>
        <w:rPr>
          <w:sz w:val="20"/>
          <w:szCs w:val="20"/>
          <w:color w:val="auto"/>
        </w:rPr>
      </w:pPr>
    </w:p>
    <w:p>
      <w:pPr>
        <w:ind w:left="4" w:right="680" w:hanging="4"/>
        <w:spacing w:after="0" w:line="260"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not having been validly terminated in accordance with its terms. Consummation of the Offer will not be subject to a financing condition.</w:t>
      </w:r>
    </w:p>
    <w:p>
      <w:pPr>
        <w:spacing w:after="0" w:line="181" w:lineRule="exact"/>
        <w:rPr>
          <w:sz w:val="20"/>
          <w:szCs w:val="20"/>
          <w:color w:val="auto"/>
        </w:rPr>
      </w:pPr>
    </w:p>
    <w:p>
      <w:pPr>
        <w:ind w:left="4" w:right="380" w:firstLine="440"/>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other than (i) Shares held by Ultralife (including Shares held in its treasury), (ii) Shares owned, directly or indirectly, by Parent or Merger Sub (or any other subsidiary of Parent), (iii) Shares irrevocably accepted for payment pursuant to the Offer and (iv) Shares held by stockholders who are entitled to and have properly demanded appraisal of such Shares under Section 262 of the DGCL and have not failed to perfect, withdrawn or lost those rights (the “Dissenting Shares”) will be converted into the right to receive the Offer Price in cash, without interest and subject to any required withholding of taxes (the “Merger Consideration”). Shares accepted for payment pursuant to the Offer will not receive any additional consideration in the Merger.</w:t>
      </w:r>
    </w:p>
    <w:p>
      <w:pPr>
        <w:spacing w:after="0" w:line="187"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As of immediately prior to the Effective Time, each option to purchase Shares (each, a “Company Stock Option”) that is outstanding and has a per-Share exercise price less than the Offer Price (an “In the Money Option”)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 w:name="page3"/>
    <w:bookmarkEnd w:id="2"/>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automatically accelerate and become fully vested and will be canceled in exchange for a cash payment, without interest and subject to applicable withholding, equal to (x) the Offer Price minus the applicable per-Share exercise price multiplied by (y) the number of Shares subject to such Company Stock Option. Each Company Stock Option that has a per-Share exercise price equal to or greater than the Offer Price (an “Out of the Money Option”), whether vested or unvested, will be canceled for no consideration. Each outstanding share of Ultralife restricted stock (collectively, “Company Restricted Stock”), whether vested or unvested, will automatically accelerate and become fully vested and will be canceled and converted into the right to receive cash equal to the Offer Price, without interest and subject to applicable withholding. Payments in respect of In the Money Options and Company Restricted Stock will be made reasonably promptly (and in no event later than 30 business days) after the Effective Time. Company Stock Options and Company Restricted Stock are collectively referred to as the “Company Equity Awards.” No Company Equity Award will be assumed or substituted with an award relating to Parent stock.</w:t>
      </w:r>
    </w:p>
    <w:p>
      <w:pPr>
        <w:spacing w:after="0" w:line="188"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and covenants customary for a transaction of this nature. The parties have agreed to use reasonable best efforts to consummate the transactions contemplated by the Merger Agreement and to obtain required clearances under the HSR Act, the NSIA and other applicable antitrust laws; however, Parent is not required to agree to any divestiture, hold-separate arrangement, behavioral remedy or other condition or restriction in order to obtain any such clearance. During the period from the date of the Merger Agreement until the earlier of the Effective Time and termination of the Merger Agreement, Ultralife has agreed, subject to specified exceptions, to conduct its business in the ordinary course and to use commercially reasonable efforts to preserve substantially intact its business organization and relationships, and not to take certain specified actions without Parent’s prior written consent. Ultralife has also agreed to use reasonable best efforts to obtain, at Parent’s election, either a waiver and consent from the other shareholders of its Indian joint venture or the sale of Ultralife’s interest in such joint venture, which is not a condition to the Offer. At the closing of the Merger, Parent will repay, on behalf of Ultralife, all amounts outstanding under Ultralife’s existing credit agreement.</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Ultralife is subject to customary restrictions on soliciting alternative acquisition proposals and engaging in discussions or negotiations with third parties regarding alternative acquisition proposals. Notwithstanding those restrictions, prior to the Acceptance Time, Ultralife may, under specified circumstances, provide information to and engage in discussions or negotiations with a third party regarding an unsolicited bona fide written Acquisition Proposal (as defined in the Merger Agreement) that the board of directors of Ultralife (the “Board”) determines in good faith, after consultation with its financial advisors and outside legal counsel, constitutes or would reasonably be expected to lead to a Superior Proposal (as defined in the Merger Agreement), if the Board determines, after consultation with its outside legal counsel, that failure to do so would reasonably be expected to be inconsistent with the Board’s fiduciary duties under applicable law. Subject to the terms of the Merger Agreement, prior to the Acceptance Time, the Board may change its recommendation or terminate the Merger Agreement to enter into a definitive agreement for a Superior Proposal, and may change its recommendation in response to an Intervening Event (as defined in the Merger Agreement), in each case provided that Ultralife gives Parent at least three business days’ prior written notice (or two business days in the case of certain subsequent changes or developments) and negotiates in good faith with Parent during that period regarding any revisions to the Merger Agreement or the Offer proposed by Parent.</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contains customary termination rights, including termination by mutual written consent before the Acceptance Time and by either Parent or Ultralife (i) if the Acceptance Time has not occurred on or before April 27, 2027 (as it may be extended, the “Outside Date”), subject to an extension of 60 days, and a further extension of 60 days, if all Offer Conditions other than those relating to the HSR Act, the NSIA or other antitrust laws have been satisfied or waived, (ii) if the Offer expires or is terminated without acceptance of Shares or (iii) if a final and non-appealable legal restraint permanently prohibits the Offer or the Merger. Parent may terminate the Merger Agreement before the Acceptance Time for an uncured breach by Ultralife of its representations, warranties, covenants or agreements that would result in the failure of an Offer Condition or upon the occurrence of a Triggering Event (as defined in the Merger Agreement), including an adverse change in the Board’s recommendation. Ultralife may terminate the Merger Agreement before the Acceptance Time (i) for an uncured breach by Parent or Merger Sub, (ii) to enter into a definitive agreement for a Superior Proposal, subject to payment of the Company Termination Fee, (iii) if the Offer Conditions have been satisfied or waived and Merger Sub fails to consummate the Offer within two business days following the Expiration Date or (iv) if Merger Sub fails to commence the Offer, terminates the Offer prior to the Expiration Date or makes a material change to the Offer, in each case in breach of the Merger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specified circumstances, including certain transactions following an Acquisition Proposal, a Triggering Event or Ultralife’s termination to enter into a Superior Proposal, Ultralife will be required to pay Parent a termination fee of $10,300,000 (the “Company Termination Fee”). Parent will be required to pay Ultralife a reverse termination fee of $10,300,000, equal to the Company Termination Fee (the “Reverse Termination Fee”), if the Merger Agreement is terminated (i) because the Outside Date has occurred and the only unsatisfied conditions relate to the HSR Act, the NSIA or other antitrust approvals or clearances, (ii) by Ultralife because Parent or Merger Sub fails to consummate the Offer or the Merger when all conditions have been satisfied or waived or (iii) as a result of a final and non-appealable legal restraint issued under or in connection with the HSR Act, the NSIA or other antitrust laws.</w:t>
      </w:r>
    </w:p>
    <w:p>
      <w:pPr>
        <w:spacing w:after="0" w:line="189"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The representations and warranties of Ultralife contained in the Merger Agreement have been made solely for the benefit of Parent and Merger Sub. In addition, those representations and warranties (i) have been made only for purposes of the Merger Agreement, (ii) have been qualified by documents filed with, or furnished to, the U.S. Securities and Exchange Commission (the “SEC”) by Ultralife prior to the date of the Merger Agreement, (iii) have been qualified by confidential disclosures made to Parent and Merger Sub in connection with the Merger Agreement, (iv) are subject to materiality qualifications contained in the Merger Agreement that may differ from what may be viewed as material by investors, (v) were made as of the date of the Merger Agreement or such other date as is specified in the Merger Agreement and (vi) have been included in the Merger Agreement for the purpose of allocating risk between the contracting parties rather than establishing matters as facts. Accordingly, the Merger Agreement is included with this filing only to provide investors with information regarding its terms, and not to provide investors with any other factual information regarding Ultralife or its subsidiaries or business. Investors should not rely on the representations and warranties or any descriptions thereof as characterizations of the actual state of facts or condition of Ultralife or its subsidiaries or business.</w:t>
      </w:r>
    </w:p>
    <w:p>
      <w:pPr>
        <w:spacing w:after="0" w:line="194"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Moreover, information concerning the subject matter of the representations and warranties may change after the date of the Merger Agreement, and that subsequent information may or may not be fully reflected in Ultralife’s public disclosures. The Merger Agreement should not be read alone, but instead should be read together with the other information regarding Ultralife that has been, is or will be contained in, or incorporated by reference into, Ultralife’s Forms 10-K, Forms 10-Q, Forms 8-K, proxy statements and other documents filed by Ultralife with the SEC.</w:t>
      </w:r>
    </w:p>
    <w:p>
      <w:pPr>
        <w:spacing w:after="0" w:line="180"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Merger Agreement, a copy of which is filed as Exhibit 2.1 hereto and incorporated herein by reference.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Tender and Support Agreement</w:t>
      </w:r>
    </w:p>
    <w:p>
      <w:pPr>
        <w:spacing w:after="0" w:line="11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certain stockholders, solely in their respective capacities as stockholders of Ultralife, entered into a tender and support agreement (the “Support Agreement”) with EnerSys and Merger Sub. As of October 27, 2026, such stockholders collectively beneficially owned approximately 40.3% of the outstanding Shares. Pursuant to the Support Agreement, each such stockholder agreed, among other things, (i) to tender all Shares beneficially owned by such stockholder pursuant to the Offer no later than 10 business days after the commencement of the Offer and not to withdraw such Shares, (ii) to vote against competing acquisition proposals and in favor of the Merger and the other transactions contemplated by the Merger Agreement and (iii) to certain other restrictions on its ability to take actions with respect to Ultralife and its Shares. The Shares subject to the Support Agreement do not, without the tender of additional Shares by other holders, satisfy the Minimum Condition.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Support Agreement will terminate upon the first to occur of (a) the valid termination of the Merger Agreement in accordance with its terms,</w:t>
      </w:r>
    </w:p>
    <w:p>
      <w:pPr>
        <w:spacing w:after="0" w:line="27" w:lineRule="exact"/>
        <w:rPr>
          <w:sz w:val="20"/>
          <w:szCs w:val="20"/>
          <w:color w:val="auto"/>
        </w:rPr>
      </w:pPr>
    </w:p>
    <w:p>
      <w:pPr>
        <w:ind w:left="4" w:right="40" w:hanging="4"/>
        <w:spacing w:after="0" w:line="253"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(c) any amendment to the Merger Agreement, without such stockholder’s consent, that reduces the amount or changes the form of the Offer Price or Merger Consideration, imposes additional material conditions on its payment or extends the Outside Date beyond the date contemplated by the Merger Agreement (after giving effect to permitted extensions), (d) the expiration of the Offer without the acceptance of Shares for payment, and (e) the mutual written consent of the applicable stockholder and Parent.</w:t>
      </w:r>
    </w:p>
    <w:p>
      <w:pPr>
        <w:spacing w:after="0" w:line="200" w:lineRule="exact"/>
        <w:rPr>
          <w:sz w:val="20"/>
          <w:szCs w:val="20"/>
          <w:color w:val="auto"/>
        </w:rPr>
      </w:pPr>
    </w:p>
    <w:p>
      <w:pPr>
        <w:spacing w:after="0" w:line="2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4" w:name="page5"/>
    <w:bookmarkEnd w:id="4"/>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description of the Support Agreement does not purport to be complete and is qualified in its entirety by reference to the Support Agreement, which is filed as Exhibit 10.1 hereto and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On October 27, 2026, EnerSys issued a press release announcing the execution of the Merger Agreement, a copy of which is attached as Exhibit 99.1 hereto and incorporated herein by reference.</w:t>
      </w:r>
    </w:p>
    <w:p>
      <w:pPr>
        <w:spacing w:after="0" w:line="162"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will not be deemed “filed” for purposes of Section 18 of the Exchange Act, or otherwise subject to the liabilities of that Section, nor will it be deemed incorporated by reference in any filing under the Securities Act or the Exchange Act, except as expressly set forth by specific reference in such filing.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Agreement and Plan of Merger, dated as of October 27, 2026, by and among EnerSys, EnerSys Mergersub Inc. and Ultralife Corporation.*</w:t>
      </w:r>
    </w:p>
    <w:p>
      <w:pPr>
        <w:spacing w:after="0" w:line="117" w:lineRule="exact"/>
        <w:rPr>
          <w:sz w:val="20"/>
          <w:szCs w:val="20"/>
          <w:color w:val="auto"/>
        </w:rPr>
      </w:pPr>
    </w:p>
    <w:p>
      <w:pPr>
        <w:ind w:left="664"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Tender and Support Agreement, dated October 27, 2026, by and among EnerSys, EnerSys Mergersub Inc., Bradford T. Whitmore, SUNRAY I, LLC, Whitmore Holdings, LLC and the Bradford Whitmore Trust and, solely for purposes of Section 5.4 thereof, Ultralife Corporation.</w:t>
      </w:r>
    </w:p>
    <w:p>
      <w:pPr>
        <w:spacing w:after="0" w:line="54"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as of October 27, 2026.</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52" w:lineRule="exact"/>
        <w:rPr>
          <w:sz w:val="20"/>
          <w:szCs w:val="20"/>
          <w:color w:val="auto"/>
        </w:rPr>
      </w:pPr>
    </w:p>
    <w:p>
      <w:pPr>
        <w:ind w:left="224" w:right="460" w:hanging="224"/>
        <w:spacing w:after="0" w:line="282"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exhibits and annexes to this exhibit have been omitted pursuant to Item 601(a)(5) of Regulation S-K. EnerSys hereby undertakes to furnish copies of any of the omitted schedules, exhibits and annexes upon request by the SEC.</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Offer has not yet commenced. This communication is for informational purposes only and is neither a recommendation, nor an offer to purchase nor a solicitation of an offer to sell securities of Ultralife or any other entity, nor is it a substitute for any tender offer materials that Parent, Merger Sub or Ultralife will file with the SEC. A solicitation and an offer to buy securities of Ultralife will be made only pursuant to an offer to purchase and related materials that Parent and Merger Sub intend to file with the SEC. At the time the Offer is commenced, Parent and Merger Sub intend to file a Tender Offer Statement on Schedule TO with the SEC, and Ultralife will thereafter file a Solicitation/Recommendation Statement on Schedule 14D-9 with the SEC with respect to the Offer. THE STOCKHOLDERS AND OTHER INVESTORS OF ULTRALIFE ARE URGED TO READ THE TENDER OFFER MATERIALS (INCLUDING THE OFFER TO PURCHASE, THE RELATED LETTER OF TRANSMITTAL AND CERTAIN OTHER TENDER OFFER DOCUMENTS) AND THE SOLICITATION/RECOMMENDATION STATEMENT ON SCHEDULE 14D-9 BECAUSE THEY WILL CONTAIN IMPORTANT INFORMATION THAT SHOULD BE READ CAREFULLY BEFORE ANY DECISION IS MADE WITH RESPECT TO THE OFFER. The Offer to Purchase, the related letter of transmittal and certain other tender offer documents, as well as the Solicitation/Recommendation Statement on Schedule 14D-9, will be sent to all stockholders of Ultralife at no expense to them. The Schedule TO, the Schedule 14D-9 and other related documents will also be made available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Additional copies may be obtained for free by contacting either EnerSys or Ultralife, or by contacting D.F. King &amp; Co., Inc., the information agent for the Offer, toll-free at (866) 388-7535. Copies of the documents filed with the SEC by EnerSys will be available free of charge on EnerSys’s website at www.enersys.com or by contacting EnerSys at (610) 208-1991. Copies of the documents filed with the SEC by Ultralife will be available free of charge on Ultralife’s website at investor.ultralifecorporation.com.</w:t>
      </w:r>
    </w:p>
    <w:p>
      <w:pPr>
        <w:spacing w:after="0" w:line="19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tender offer documents, as well as the Solicitation/Recommendation Statement on Schedule 14D-9, EnerSys and Ultralife each file annual, quarterly and current reports, proxy statements and other information with the SEC, which are available to the public over the internet at the SEC’s website at http://www.sec.gov.</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4"/>
          </w:cols>
          <w:pgMar w:left="436" w:top="270" w:right="519" w:bottom="1440" w:gutter="0" w:footer="0" w:header="0"/>
        </w:sectPr>
      </w:pPr>
    </w:p>
    <w:bookmarkStart w:id="5" w:name="page6"/>
    <w:bookmarkEnd w:id="5"/>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These statements relate to future events and involve known and unknown risks, uncertainties and other factors that may cause actual results, performance or achievements of EnerSys and Ultralife to differ materially from any future results, performance or achievements expressed or implied by the forward-looking statements. In some cases, forward-looking statements may be identified by terms such as “may,” “will,” “could,” “expects,” “plans,” “anticipates,” “believes” and similar expressions intended to identify forward-looking statements. These statements reflect EnerSys’s current views with respect to future events and are based on assumptions and subject to risks and uncertainties. Given these uncertainties, investors should not place undue reliance on these forward-looking statements. Forward-looking statements include, without limitation, statements regarding the Offer, the Merger and the other transactions contemplated by the Merger Agreement, the timing of the Offer and related transactions, the possibility that the transaction does not close, uncertainties as to how many of Ultralife’s stockholders will tender their stock in the offer; the possibility that competing offers will be made; the possibility that various closing conditions for the transaction may not be satisfied or waived, including any governmental or regulatory approvals, the anticipated benefits of the transaction, the integration of Ultralife into EnerSys, prospective performance and opportunities, post-closing operations and the outlook for the businesses of EnerSys and Ultralife, and any assumptions underlying any of the foregoing. The following are some of the factors that could cause actual future results to differ materially from those expressed in any forward-looking statements: (i) uncertainties as to the timing of the Offer and the Merger;</w:t>
      </w:r>
    </w:p>
    <w:p>
      <w:pPr>
        <w:spacing w:after="0" w:line="10" w:lineRule="exact"/>
        <w:rPr>
          <w:sz w:val="20"/>
          <w:szCs w:val="20"/>
          <w:color w:val="auto"/>
        </w:rPr>
      </w:pPr>
    </w:p>
    <w:p>
      <w:pPr>
        <w:ind w:left="4" w:hanging="4"/>
        <w:spacing w:after="0" w:line="251"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Offer or the Merger may not be completed in a timely manner or at all; (iii) uncertainties as to the percentage of Ultralife’s stockholders tendering their Shares in the Offer; (iv) the possibility that competing offers or acquisition proposals for Ultralife will be made; (v) the possibility that any or all of the conditions to consummation of the Offer or the Merger may not be satisfied or waived, including failure to receive required regulatory approvals or clearances or the imposition of conditions, limitations or restrictions on those approvals; (vi) the occurrence of any event, change or other circumstance that could give rise to termination of the Merger Agreement, including circumstances requiring Ultralife to pay the Company Termination Fee or Parent to pay the Reverse Termination Fee; (vii) the effect of the announcement or pendency of the transactions on the ability of EnerSys or Ultralife to retain and hire key personnel, maintain relationships with customers, suppliers and other business partners, or conduct their businesses; (viii) risks related to diverting management’s attention from ongoing business operations; (ix) the risk that stockholder litigation relating to the transactions may result in significant costs of defense, indemnification and liability; and (x) other factors set forth from time to time in each of EnerSys’s and Ultralife’s filings with the SEC, including its Annual Report on Form 10-K and subsequent Quarterly Reports on Form 10-Q. Any forward-looking statements set forth in this Current Report on Form 8-K speak only as of the date of this Current Report on Form 8-K. EnerSys does not intend to update any of these forward-looking statements to reflect events or circumstances that occur after the date hereof, other than as required by law. Investors are cautioned not to place undue reliance on these forward-looking statements.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EnerSys</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Andrea J. Funk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440" w:top="266" w:right="7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1236980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ENERSYS,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ENERSYS MERGERSUB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Dated as of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6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09"/>
        </w:trPr>
        <w:tc>
          <w:tcPr>
            <w:tcW w:w="1068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ARTICLE I THE OFFER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The Offer</w:t>
            </w:r>
          </w:p>
        </w:tc>
        <w:tc>
          <w:tcPr>
            <w:tcW w:w="8320" w:type="dxa"/>
            <w:vAlign w:val="bottom"/>
            <w:gridSpan w:val="31"/>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Offer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13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Company Actions</w:t>
            </w:r>
          </w:p>
        </w:tc>
        <w:tc>
          <w:tcPr>
            <w:tcW w:w="7720" w:type="dxa"/>
            <w:vAlign w:val="bottom"/>
            <w:gridSpan w:val="20"/>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2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ARTICLE II THE MERGER</w:t>
            </w:r>
          </w:p>
        </w:tc>
        <w:tc>
          <w:tcPr>
            <w:tcW w:w="8580" w:type="dxa"/>
            <w:vAlign w:val="bottom"/>
            <w:gridSpan w:val="3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The Merger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8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Closing</w:t>
            </w:r>
          </w:p>
        </w:tc>
        <w:tc>
          <w:tcPr>
            <w:tcW w:w="8200" w:type="dxa"/>
            <w:vAlign w:val="bottom"/>
            <w:gridSpan w:val="30"/>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1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Effective Time</w:t>
            </w:r>
          </w:p>
        </w:tc>
        <w:tc>
          <w:tcPr>
            <w:tcW w:w="7960" w:type="dxa"/>
            <w:vAlign w:val="bottom"/>
            <w:gridSpan w:val="2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Effects of the Merger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Merger Without Meeting of Stockholders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298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Certificate of Incorporation; Bylaws</w:t>
            </w:r>
          </w:p>
        </w:tc>
        <w:tc>
          <w:tcPr>
            <w:tcW w:w="6080" w:type="dxa"/>
            <w:vAlign w:val="bottom"/>
            <w:gridSpan w:val="6"/>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Directors and Officers of the Surviving Corporation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10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Further Action</w:t>
            </w:r>
          </w:p>
        </w:tc>
        <w:tc>
          <w:tcPr>
            <w:tcW w:w="2660" w:type="dxa"/>
            <w:vAlign w:val="bottom"/>
            <w:tcBorders>
              <w:top w:val="single" w:sz="8" w:color="0000EE"/>
            </w:tcBorders>
            <w:gridSpan w:val="20"/>
          </w:tcPr>
          <w:p>
            <w:pPr>
              <w:spacing w:after="0"/>
              <w:rPr>
                <w:sz w:val="21"/>
                <w:szCs w:val="21"/>
                <w:color w:val="auto"/>
              </w:rPr>
            </w:pPr>
          </w:p>
        </w:tc>
        <w:tc>
          <w:tcPr>
            <w:tcW w:w="5320" w:type="dxa"/>
            <w:vAlign w:val="bottom"/>
            <w:gridSpan w:val="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1068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ARTICLE III EFFECT ON THE CAPITAL STOCK OF THE CONSTITUENT CORPORATIONS; EXCHANGE OF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620" w:type="dxa"/>
            <w:vAlign w:val="bottom"/>
            <w:tcBorders>
              <w:top w:val="single" w:sz="8" w:color="0000EE"/>
            </w:tcBorders>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2060" w:type="dxa"/>
            <w:vAlign w:val="bottom"/>
            <w:tcBorders>
              <w:top w:val="single" w:sz="8" w:color="0000EE"/>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Conversion of Capital Stock</w:t>
            </w:r>
          </w:p>
        </w:tc>
        <w:tc>
          <w:tcPr>
            <w:tcW w:w="6080" w:type="dxa"/>
            <w:vAlign w:val="bottom"/>
            <w:tcBorders>
              <w:top w:val="single" w:sz="8" w:color="0000EE"/>
            </w:tcBorders>
            <w:gridSpan w:val="11"/>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Treatment of Options and Other Equity-Based Awards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172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Exchange and Payment</w:t>
            </w:r>
          </w:p>
        </w:tc>
        <w:tc>
          <w:tcPr>
            <w:tcW w:w="2200" w:type="dxa"/>
            <w:vAlign w:val="bottom"/>
            <w:tcBorders>
              <w:top w:val="single" w:sz="8" w:color="0000EE"/>
            </w:tcBorders>
            <w:gridSpan w:val="11"/>
          </w:tcPr>
          <w:p>
            <w:pPr>
              <w:spacing w:after="0"/>
              <w:rPr>
                <w:sz w:val="21"/>
                <w:szCs w:val="21"/>
                <w:color w:val="auto"/>
              </w:rPr>
            </w:pPr>
          </w:p>
        </w:tc>
        <w:tc>
          <w:tcPr>
            <w:tcW w:w="5140" w:type="dxa"/>
            <w:vAlign w:val="bottom"/>
            <w:gridSpan w:val="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Other Closing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13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Dissenting Shares</w:t>
            </w:r>
          </w:p>
        </w:tc>
        <w:tc>
          <w:tcPr>
            <w:tcW w:w="440" w:type="dxa"/>
            <w:vAlign w:val="bottom"/>
            <w:tcBorders>
              <w:top w:val="single" w:sz="8" w:color="0000EE"/>
            </w:tcBorders>
            <w:gridSpan w:val="7"/>
          </w:tcPr>
          <w:p>
            <w:pPr>
              <w:spacing w:after="0"/>
              <w:rPr>
                <w:sz w:val="21"/>
                <w:szCs w:val="21"/>
                <w:color w:val="auto"/>
              </w:rPr>
            </w:pPr>
          </w:p>
        </w:tc>
        <w:tc>
          <w:tcPr>
            <w:tcW w:w="7300" w:type="dxa"/>
            <w:vAlign w:val="bottom"/>
            <w:gridSpan w:val="1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9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Withholding</w:t>
            </w:r>
          </w:p>
        </w:tc>
        <w:tc>
          <w:tcPr>
            <w:tcW w:w="8140" w:type="dxa"/>
            <w:vAlign w:val="bottom"/>
            <w:gridSpan w:val="29"/>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90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w w:val="98"/>
              </w:rPr>
              <w:t>ARTICLE IV REPRESENTATIONS AND WARRANTIES OF THE COMPANY</w:t>
            </w:r>
          </w:p>
        </w:tc>
        <w:tc>
          <w:tcPr>
            <w:tcW w:w="4780" w:type="dxa"/>
            <w:vAlign w:val="bottom"/>
            <w:gridSpan w:val="3"/>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Organization, Standing and Power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10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Capital Stock</w:t>
            </w:r>
          </w:p>
        </w:tc>
        <w:tc>
          <w:tcPr>
            <w:tcW w:w="1480" w:type="dxa"/>
            <w:vAlign w:val="bottom"/>
            <w:tcBorders>
              <w:top w:val="single" w:sz="8" w:color="0000EE"/>
            </w:tcBorders>
            <w:gridSpan w:val="16"/>
          </w:tcPr>
          <w:p>
            <w:pPr>
              <w:spacing w:after="0"/>
              <w:rPr>
                <w:sz w:val="21"/>
                <w:szCs w:val="21"/>
                <w:color w:val="auto"/>
              </w:rPr>
            </w:pPr>
          </w:p>
        </w:tc>
        <w:tc>
          <w:tcPr>
            <w:tcW w:w="6580" w:type="dxa"/>
            <w:vAlign w:val="bottom"/>
            <w:gridSpan w:val="11"/>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Authority</w:t>
            </w:r>
          </w:p>
        </w:tc>
        <w:tc>
          <w:tcPr>
            <w:tcW w:w="8340" w:type="dxa"/>
            <w:vAlign w:val="bottom"/>
            <w:gridSpan w:val="32"/>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27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No Conflict; Consents and Approvals</w:t>
            </w:r>
          </w:p>
        </w:tc>
        <w:tc>
          <w:tcPr>
            <w:tcW w:w="6340" w:type="dxa"/>
            <w:vAlign w:val="bottom"/>
            <w:gridSpan w:val="8"/>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SEC Reports; 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4.6</w:t>
            </w:r>
          </w:p>
        </w:tc>
        <w:tc>
          <w:tcPr>
            <w:tcW w:w="1940" w:type="dxa"/>
            <w:vAlign w:val="bottom"/>
            <w:tcBorders>
              <w:top w:val="single" w:sz="8" w:color="0000EE"/>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No Undisclosed Liabilities</w:t>
            </w:r>
          </w:p>
        </w:tc>
        <w:tc>
          <w:tcPr>
            <w:tcW w:w="600" w:type="dxa"/>
            <w:vAlign w:val="bottom"/>
            <w:tcBorders>
              <w:top w:val="single" w:sz="8" w:color="0000EE"/>
            </w:tcBorders>
            <w:gridSpan w:val="3"/>
          </w:tcPr>
          <w:p>
            <w:pPr>
              <w:spacing w:after="0"/>
              <w:rPr>
                <w:sz w:val="21"/>
                <w:szCs w:val="21"/>
                <w:color w:val="auto"/>
              </w:rPr>
            </w:pPr>
          </w:p>
        </w:tc>
        <w:tc>
          <w:tcPr>
            <w:tcW w:w="6520" w:type="dxa"/>
            <w:vAlign w:val="bottom"/>
            <w:gridSpan w:val="10"/>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4.7</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Certain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4.8</w:t>
            </w:r>
          </w:p>
        </w:tc>
        <w:tc>
          <w:tcPr>
            <w:tcW w:w="28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Absence of Certain Changes or Events</w:t>
            </w:r>
          </w:p>
        </w:tc>
        <w:tc>
          <w:tcPr>
            <w:tcW w:w="6260" w:type="dxa"/>
            <w:vAlign w:val="bottom"/>
            <w:gridSpan w:val="7"/>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4.9</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Litigation; Orders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17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Compliance with Laws</w:t>
            </w:r>
          </w:p>
        </w:tc>
        <w:tc>
          <w:tcPr>
            <w:tcW w:w="7360" w:type="dxa"/>
            <w:vAlign w:val="bottom"/>
            <w:gridSpan w:val="16"/>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9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Benefit Plans</w:t>
            </w:r>
          </w:p>
        </w:tc>
        <w:tc>
          <w:tcPr>
            <w:tcW w:w="8080" w:type="dxa"/>
            <w:vAlign w:val="bottom"/>
            <w:gridSpan w:val="28"/>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10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Labor Matters</w:t>
            </w:r>
          </w:p>
        </w:tc>
        <w:tc>
          <w:tcPr>
            <w:tcW w:w="8020" w:type="dxa"/>
            <w:vAlign w:val="bottom"/>
            <w:gridSpan w:val="26"/>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1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Environmental Matters</w:t>
            </w:r>
          </w:p>
        </w:tc>
        <w:tc>
          <w:tcPr>
            <w:tcW w:w="7380" w:type="dxa"/>
            <w:vAlign w:val="bottom"/>
            <w:gridSpan w:val="17"/>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0" w:type="dxa"/>
            <w:vAlign w:val="bottom"/>
            <w:gridSpan w:val="31"/>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Contracts</w:t>
            </w:r>
          </w:p>
        </w:tc>
        <w:tc>
          <w:tcPr>
            <w:tcW w:w="8360" w:type="dxa"/>
            <w:vAlign w:val="bottom"/>
            <w:gridSpan w:val="33"/>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4.16</w:t>
            </w:r>
          </w:p>
        </w:tc>
        <w:tc>
          <w:tcPr>
            <w:tcW w:w="906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Regulatory Matters and Compliance with Applicable Regulatory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4.17</w:t>
            </w:r>
          </w:p>
        </w:tc>
        <w:tc>
          <w:tcPr>
            <w:tcW w:w="7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Insurance</w:t>
            </w:r>
          </w:p>
        </w:tc>
        <w:tc>
          <w:tcPr>
            <w:tcW w:w="4380" w:type="dxa"/>
            <w:vAlign w:val="bottom"/>
            <w:tcBorders>
              <w:top w:val="single" w:sz="8" w:color="0000EE"/>
            </w:tcBorders>
            <w:gridSpan w:val="30"/>
          </w:tcPr>
          <w:p>
            <w:pPr>
              <w:spacing w:after="0"/>
              <w:rPr>
                <w:sz w:val="21"/>
                <w:szCs w:val="21"/>
                <w:color w:val="auto"/>
              </w:rPr>
            </w:pPr>
          </w:p>
        </w:tc>
        <w:tc>
          <w:tcPr>
            <w:tcW w:w="3960" w:type="dxa"/>
            <w:vAlign w:val="bottom"/>
            <w:gridSpan w:val="2"/>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09"/>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4.18</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4.19</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4.20</w:t>
            </w:r>
          </w:p>
        </w:tc>
        <w:tc>
          <w:tcPr>
            <w:tcW w:w="20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Privacy and Data Protection</w:t>
            </w:r>
          </w:p>
        </w:tc>
        <w:tc>
          <w:tcPr>
            <w:tcW w:w="7020" w:type="dxa"/>
            <w:vAlign w:val="bottom"/>
            <w:gridSpan w:val="18"/>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4.21</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State Takeover Statutes; Anti-Takeover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4.22</w:t>
            </w:r>
          </w:p>
        </w:tc>
        <w:tc>
          <w:tcPr>
            <w:tcW w:w="364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Section 251(h); Support Agreement</w:t>
            </w:r>
          </w:p>
        </w:tc>
        <w:tc>
          <w:tcPr>
            <w:tcW w:w="5420" w:type="dxa"/>
            <w:vAlign w:val="bottom"/>
            <w:gridSpan w:val="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4.23</w:t>
            </w:r>
          </w:p>
        </w:tc>
        <w:tc>
          <w:tcPr>
            <w:tcW w:w="15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Affiliate Transactions</w:t>
            </w:r>
          </w:p>
        </w:tc>
        <w:tc>
          <w:tcPr>
            <w:tcW w:w="1000" w:type="dxa"/>
            <w:vAlign w:val="bottom"/>
            <w:tcBorders>
              <w:top w:val="single" w:sz="8" w:color="0000EE"/>
            </w:tcBorders>
            <w:gridSpan w:val="13"/>
          </w:tcPr>
          <w:p>
            <w:pPr>
              <w:spacing w:after="0"/>
              <w:rPr>
                <w:sz w:val="21"/>
                <w:szCs w:val="21"/>
                <w:color w:val="auto"/>
              </w:rPr>
            </w:pPr>
          </w:p>
        </w:tc>
        <w:tc>
          <w:tcPr>
            <w:tcW w:w="6480" w:type="dxa"/>
            <w:vAlign w:val="bottom"/>
            <w:gridSpan w:val="13"/>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4.24</w:t>
            </w:r>
          </w:p>
        </w:tc>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Brokers</w:t>
            </w:r>
          </w:p>
        </w:tc>
        <w:tc>
          <w:tcPr>
            <w:tcW w:w="8480" w:type="dxa"/>
            <w:vAlign w:val="bottom"/>
            <w:gridSpan w:val="3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4.25</w:t>
            </w:r>
          </w:p>
        </w:tc>
        <w:tc>
          <w:tcPr>
            <w:tcW w:w="21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Opinion of Financial Advisor</w:t>
            </w:r>
          </w:p>
        </w:tc>
        <w:tc>
          <w:tcPr>
            <w:tcW w:w="6920" w:type="dxa"/>
            <w:vAlign w:val="bottom"/>
            <w:gridSpan w:val="17"/>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4.26</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International Trade Laws; Anti-Bribery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4.27</w:t>
            </w:r>
          </w:p>
        </w:tc>
        <w:tc>
          <w:tcPr>
            <w:tcW w:w="284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National Industrial Security</w:t>
            </w:r>
          </w:p>
        </w:tc>
        <w:tc>
          <w:tcPr>
            <w:tcW w:w="6220" w:type="dxa"/>
            <w:vAlign w:val="bottom"/>
            <w:gridSpan w:val="9"/>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4.28</w:t>
            </w:r>
          </w:p>
        </w:tc>
        <w:tc>
          <w:tcPr>
            <w:tcW w:w="29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No Other Representations or Warranties</w:t>
            </w:r>
          </w:p>
        </w:tc>
        <w:tc>
          <w:tcPr>
            <w:tcW w:w="6160" w:type="dxa"/>
            <w:vAlign w:val="bottom"/>
            <w:gridSpan w:val="8"/>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4.29</w:t>
            </w:r>
          </w:p>
        </w:tc>
        <w:tc>
          <w:tcPr>
            <w:tcW w:w="16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Access to Information</w:t>
            </w:r>
          </w:p>
        </w:tc>
        <w:tc>
          <w:tcPr>
            <w:tcW w:w="7420" w:type="dxa"/>
            <w:vAlign w:val="bottom"/>
            <w:gridSpan w:val="23"/>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1068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ARTICLE V REPRESENTATIONS AND WARRANTIES OF PARENT AND MERGER SUB</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1620" w:type="dxa"/>
            <w:vAlign w:val="bottom"/>
            <w:tcBorders>
              <w:top w:val="single" w:sz="8" w:color="0000EE"/>
            </w:tcBorders>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5240" w:type="dxa"/>
            <w:vAlign w:val="bottom"/>
            <w:tcBorders>
              <w:top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rPr>
              <w:t>Organization, Standing and Power</w:t>
            </w:r>
          </w:p>
        </w:tc>
        <w:tc>
          <w:tcPr>
            <w:tcW w:w="38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24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Authority</w:t>
            </w:r>
          </w:p>
        </w:tc>
        <w:tc>
          <w:tcPr>
            <w:tcW w:w="6580" w:type="dxa"/>
            <w:vAlign w:val="bottom"/>
            <w:gridSpan w:val="1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27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No Conflict; Consents and Approvals</w:t>
            </w:r>
          </w:p>
        </w:tc>
        <w:tc>
          <w:tcPr>
            <w:tcW w:w="6340" w:type="dxa"/>
            <w:vAlign w:val="bottom"/>
            <w:gridSpan w:val="11"/>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Certain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14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Litigation; Orders</w:t>
            </w:r>
          </w:p>
        </w:tc>
        <w:tc>
          <w:tcPr>
            <w:tcW w:w="7580" w:type="dxa"/>
            <w:vAlign w:val="bottom"/>
            <w:gridSpan w:val="29"/>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Ownership and Operations of Merger Sub</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302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Financing</w:t>
            </w:r>
          </w:p>
        </w:tc>
        <w:tc>
          <w:tcPr>
            <w:tcW w:w="6040" w:type="dxa"/>
            <w:vAlign w:val="bottom"/>
            <w:gridSpan w:val="6"/>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Vote/Approval Required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15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Ownership of Shares</w:t>
            </w:r>
          </w:p>
        </w:tc>
        <w:tc>
          <w:tcPr>
            <w:tcW w:w="240" w:type="dxa"/>
            <w:vAlign w:val="bottom"/>
            <w:tcBorders>
              <w:top w:val="single" w:sz="8" w:color="0000EE"/>
            </w:tcBorders>
            <w:gridSpan w:val="7"/>
          </w:tcPr>
          <w:p>
            <w:pPr>
              <w:spacing w:after="0"/>
              <w:rPr>
                <w:sz w:val="21"/>
                <w:szCs w:val="21"/>
                <w:color w:val="auto"/>
              </w:rPr>
            </w:pPr>
          </w:p>
        </w:tc>
        <w:tc>
          <w:tcPr>
            <w:tcW w:w="7300" w:type="dxa"/>
            <w:vAlign w:val="bottom"/>
            <w:gridSpan w:val="21"/>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Brokers</w:t>
            </w:r>
          </w:p>
        </w:tc>
        <w:tc>
          <w:tcPr>
            <w:tcW w:w="8480" w:type="dxa"/>
            <w:vAlign w:val="bottom"/>
            <w:gridSpan w:val="3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5.11</w:t>
            </w:r>
          </w:p>
        </w:tc>
        <w:tc>
          <w:tcPr>
            <w:tcW w:w="29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No Other Representations or Warranties</w:t>
            </w:r>
          </w:p>
        </w:tc>
        <w:tc>
          <w:tcPr>
            <w:tcW w:w="6160" w:type="dxa"/>
            <w:vAlign w:val="bottom"/>
            <w:gridSpan w:val="8"/>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5.12</w:t>
            </w:r>
          </w:p>
        </w:tc>
        <w:tc>
          <w:tcPr>
            <w:tcW w:w="1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Access to Information</w:t>
            </w:r>
          </w:p>
        </w:tc>
        <w:tc>
          <w:tcPr>
            <w:tcW w:w="7440" w:type="dxa"/>
            <w:vAlign w:val="bottom"/>
            <w:gridSpan w:val="2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2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ARTICLE VI COVENANTS</w:t>
            </w:r>
          </w:p>
        </w:tc>
        <w:tc>
          <w:tcPr>
            <w:tcW w:w="8560" w:type="dxa"/>
            <w:vAlign w:val="bottom"/>
            <w:gridSpan w:val="36"/>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Conduct of Business of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2420" w:type="dxa"/>
            <w:vAlign w:val="bottom"/>
            <w:tcBorders>
              <w:top w:val="single" w:sz="8" w:color="0000EE"/>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Merger Sub Stockholder Consent</w:t>
            </w:r>
          </w:p>
        </w:tc>
        <w:tc>
          <w:tcPr>
            <w:tcW w:w="280" w:type="dxa"/>
            <w:vAlign w:val="bottom"/>
            <w:tcBorders>
              <w:top w:val="single" w:sz="8" w:color="0000EE"/>
            </w:tcBorders>
            <w:gridSpan w:val="3"/>
          </w:tcPr>
          <w:p>
            <w:pPr>
              <w:spacing w:after="0"/>
              <w:rPr>
                <w:sz w:val="21"/>
                <w:szCs w:val="21"/>
                <w:color w:val="auto"/>
              </w:rPr>
            </w:pPr>
          </w:p>
        </w:tc>
        <w:tc>
          <w:tcPr>
            <w:tcW w:w="6360" w:type="dxa"/>
            <w:vAlign w:val="bottom"/>
            <w:gridSpan w:val="12"/>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6.3</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No Control of the Other Party’s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6.4</w:t>
            </w:r>
          </w:p>
        </w:tc>
        <w:tc>
          <w:tcPr>
            <w:tcW w:w="16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Acquisition Proposals</w:t>
            </w:r>
          </w:p>
        </w:tc>
        <w:tc>
          <w:tcPr>
            <w:tcW w:w="1360" w:type="dxa"/>
            <w:vAlign w:val="bottom"/>
            <w:tcBorders>
              <w:top w:val="single" w:sz="8" w:color="0000EE"/>
            </w:tcBorders>
            <w:gridSpan w:val="18"/>
          </w:tcPr>
          <w:p>
            <w:pPr>
              <w:spacing w:after="0"/>
              <w:rPr>
                <w:sz w:val="21"/>
                <w:szCs w:val="21"/>
                <w:color w:val="auto"/>
              </w:rPr>
            </w:pPr>
          </w:p>
        </w:tc>
        <w:tc>
          <w:tcPr>
            <w:tcW w:w="6100" w:type="dxa"/>
            <w:vAlign w:val="bottom"/>
            <w:gridSpan w:val="7"/>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6.5</w:t>
            </w:r>
          </w:p>
        </w:tc>
        <w:tc>
          <w:tcPr>
            <w:tcW w:w="28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Access to Information; Confidentiality</w:t>
            </w:r>
          </w:p>
        </w:tc>
        <w:tc>
          <w:tcPr>
            <w:tcW w:w="6260" w:type="dxa"/>
            <w:vAlign w:val="bottom"/>
            <w:gridSpan w:val="10"/>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6.6</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Regulatory Approvals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6.7</w:t>
            </w:r>
          </w:p>
        </w:tc>
        <w:tc>
          <w:tcPr>
            <w:tcW w:w="15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Third-Party Consents</w:t>
            </w:r>
          </w:p>
        </w:tc>
        <w:tc>
          <w:tcPr>
            <w:tcW w:w="40" w:type="dxa"/>
            <w:vAlign w:val="bottom"/>
            <w:tcBorders>
              <w:top w:val="single" w:sz="8" w:color="0000EE"/>
            </w:tcBorders>
            <w:gridSpan w:val="2"/>
          </w:tcPr>
          <w:p>
            <w:pPr>
              <w:spacing w:after="0"/>
              <w:rPr>
                <w:sz w:val="21"/>
                <w:szCs w:val="21"/>
                <w:color w:val="auto"/>
              </w:rPr>
            </w:pPr>
          </w:p>
        </w:tc>
        <w:tc>
          <w:tcPr>
            <w:tcW w:w="7460" w:type="dxa"/>
            <w:vAlign w:val="bottom"/>
            <w:gridSpan w:val="2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6.8</w:t>
            </w:r>
          </w:p>
        </w:tc>
        <w:tc>
          <w:tcPr>
            <w:tcW w:w="420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Employment and Employee Benefits Matters; Other Plans</w:t>
            </w:r>
          </w:p>
        </w:tc>
        <w:tc>
          <w:tcPr>
            <w:tcW w:w="4860" w:type="dxa"/>
            <w:vAlign w:val="bottom"/>
            <w:gridSpan w:val="3"/>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6.9</w:t>
            </w:r>
          </w:p>
        </w:tc>
        <w:tc>
          <w:tcPr>
            <w:tcW w:w="1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Takeover Laws</w:t>
            </w:r>
          </w:p>
        </w:tc>
        <w:tc>
          <w:tcPr>
            <w:tcW w:w="7940" w:type="dxa"/>
            <w:vAlign w:val="bottom"/>
            <w:gridSpan w:val="31"/>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Notification of Certain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1620" w:type="dxa"/>
            <w:vAlign w:val="bottom"/>
          </w:tcPr>
          <w:p>
            <w:pPr>
              <w:spacing w:after="0" w:line="20" w:lineRule="exact"/>
              <w:rPr>
                <w:sz w:val="1"/>
                <w:szCs w:val="1"/>
                <w:color w:val="auto"/>
              </w:rPr>
            </w:pPr>
          </w:p>
        </w:tc>
        <w:tc>
          <w:tcPr>
            <w:tcW w:w="1680" w:type="dxa"/>
            <w:vAlign w:val="bottom"/>
            <w:gridSpan w:val="1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6.11</w:t>
            </w:r>
          </w:p>
        </w:tc>
        <w:tc>
          <w:tcPr>
            <w:tcW w:w="494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9"/>
              </w:rPr>
              <w:t>Directors’ and Officers’ Indemnification, Exculpation and Insurance</w:t>
            </w:r>
          </w:p>
        </w:tc>
        <w:tc>
          <w:tcPr>
            <w:tcW w:w="4120" w:type="dxa"/>
            <w:vAlign w:val="bottom"/>
            <w:gridSpan w:val="2"/>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6.12</w:t>
            </w:r>
          </w:p>
        </w:tc>
        <w:tc>
          <w:tcPr>
            <w:tcW w:w="90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Rule 16b-3; Rule 14d-10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6.13</w:t>
            </w:r>
          </w:p>
        </w:tc>
        <w:tc>
          <w:tcPr>
            <w:tcW w:w="18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Public Announcements</w:t>
            </w:r>
          </w:p>
        </w:tc>
        <w:tc>
          <w:tcPr>
            <w:tcW w:w="7260" w:type="dxa"/>
            <w:vAlign w:val="bottom"/>
            <w:gridSpan w:val="20"/>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620" w:type="dxa"/>
            <w:vAlign w:val="bottom"/>
          </w:tcPr>
          <w:p>
            <w:pPr>
              <w:spacing w:after="0" w:line="20" w:lineRule="exact"/>
              <w:rPr>
                <w:sz w:val="1"/>
                <w:szCs w:val="1"/>
                <w:color w:val="auto"/>
              </w:rPr>
            </w:pPr>
          </w:p>
        </w:tc>
        <w:tc>
          <w:tcPr>
            <w:tcW w:w="1680" w:type="dxa"/>
            <w:vAlign w:val="bottom"/>
            <w:gridSpan w:val="15"/>
            <w:shd w:val="clear" w:color="auto" w:fill="0000EE"/>
          </w:tcPr>
          <w:p>
            <w:pPr>
              <w:spacing w:after="0" w:line="20" w:lineRule="exact"/>
              <w:rPr>
                <w:sz w:val="1"/>
                <w:szCs w:val="1"/>
                <w:color w:val="auto"/>
              </w:rPr>
            </w:pPr>
          </w:p>
        </w:tc>
        <w:tc>
          <w:tcPr>
            <w:tcW w:w="2240" w:type="dxa"/>
            <w:vAlign w:val="bottom"/>
            <w:gridSpan w:val="18"/>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6.14</w:t>
            </w:r>
          </w:p>
        </w:tc>
        <w:tc>
          <w:tcPr>
            <w:tcW w:w="392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Obligations of Merger Sub and Surviving Corporation</w:t>
            </w:r>
          </w:p>
        </w:tc>
        <w:tc>
          <w:tcPr>
            <w:tcW w:w="5140" w:type="dxa"/>
            <w:vAlign w:val="bottom"/>
            <w:gridSpan w:val="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09"/>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6.15</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Payoff Letter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6.16</w:t>
            </w:r>
          </w:p>
        </w:tc>
        <w:tc>
          <w:tcPr>
            <w:tcW w:w="14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FIRPTA Certificate</w:t>
            </w:r>
          </w:p>
        </w:tc>
        <w:tc>
          <w:tcPr>
            <w:tcW w:w="7640" w:type="dxa"/>
            <w:vAlign w:val="bottom"/>
            <w:gridSpan w:val="19"/>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6.17</w:t>
            </w:r>
          </w:p>
        </w:tc>
        <w:tc>
          <w:tcPr>
            <w:tcW w:w="16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Stockholder Litigation</w:t>
            </w:r>
          </w:p>
        </w:tc>
        <w:tc>
          <w:tcPr>
            <w:tcW w:w="7420" w:type="dxa"/>
            <w:vAlign w:val="bottom"/>
            <w:gridSpan w:val="13"/>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6.18</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Stock Exchange Delisting; Deregistration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6.19</w:t>
            </w:r>
          </w:p>
        </w:tc>
        <w:tc>
          <w:tcPr>
            <w:tcW w:w="2080" w:type="dxa"/>
            <w:vAlign w:val="bottom"/>
            <w:tcBorders>
              <w:top w:val="single" w:sz="8" w:color="0000EE"/>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Intellectual Property Matters</w:t>
            </w:r>
          </w:p>
        </w:tc>
        <w:tc>
          <w:tcPr>
            <w:tcW w:w="920" w:type="dxa"/>
            <w:vAlign w:val="bottom"/>
            <w:tcBorders>
              <w:top w:val="single" w:sz="8" w:color="0000EE"/>
            </w:tcBorders>
            <w:gridSpan w:val="3"/>
          </w:tcPr>
          <w:p>
            <w:pPr>
              <w:spacing w:after="0"/>
              <w:rPr>
                <w:sz w:val="21"/>
                <w:szCs w:val="21"/>
                <w:color w:val="auto"/>
              </w:rPr>
            </w:pPr>
          </w:p>
        </w:tc>
        <w:tc>
          <w:tcPr>
            <w:tcW w:w="6060" w:type="dxa"/>
            <w:vAlign w:val="bottom"/>
            <w:gridSpan w:val="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6.20</w:t>
            </w:r>
          </w:p>
        </w:tc>
        <w:tc>
          <w:tcPr>
            <w:tcW w:w="16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Real Property Matters</w:t>
            </w:r>
          </w:p>
        </w:tc>
        <w:tc>
          <w:tcPr>
            <w:tcW w:w="7460" w:type="dxa"/>
            <w:vAlign w:val="bottom"/>
            <w:gridSpan w:val="1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106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VII CONDITIONS PRECEDENT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42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Conditions to Each Party’s Obligation to Effect the Merger</w:t>
            </w:r>
          </w:p>
        </w:tc>
        <w:tc>
          <w:tcPr>
            <w:tcW w:w="48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24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Frustration of Closing Conditions</w:t>
            </w:r>
          </w:p>
        </w:tc>
        <w:tc>
          <w:tcPr>
            <w:tcW w:w="6620" w:type="dxa"/>
            <w:vAlign w:val="bottom"/>
            <w:gridSpan w:val="7"/>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48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8"/>
              </w:rPr>
              <w:t>ARTICLE VIII TERMINATION, AMENDMENT AND WAIVER</w:t>
            </w:r>
          </w:p>
        </w:tc>
        <w:tc>
          <w:tcPr>
            <w:tcW w:w="5860" w:type="dxa"/>
            <w:vAlign w:val="bottom"/>
            <w:gridSpan w:val="4"/>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w:t>
            </w: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Termination</w:t>
            </w:r>
          </w:p>
        </w:tc>
        <w:tc>
          <w:tcPr>
            <w:tcW w:w="8160" w:type="dxa"/>
            <w:vAlign w:val="bottom"/>
            <w:gridSpan w:val="2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8.2</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Effect of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8.3</w:t>
            </w:r>
          </w:p>
        </w:tc>
        <w:tc>
          <w:tcPr>
            <w:tcW w:w="15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Fees and Expenses</w:t>
            </w:r>
          </w:p>
        </w:tc>
        <w:tc>
          <w:tcPr>
            <w:tcW w:w="7500" w:type="dxa"/>
            <w:vAlign w:val="bottom"/>
            <w:gridSpan w:val="16"/>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06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ARTICLE IX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w:t>
            </w:r>
          </w:p>
        </w:tc>
        <w:tc>
          <w:tcPr>
            <w:tcW w:w="34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Non-Survival of Representation and Warranties</w:t>
            </w:r>
          </w:p>
        </w:tc>
        <w:tc>
          <w:tcPr>
            <w:tcW w:w="5620" w:type="dxa"/>
            <w:vAlign w:val="bottom"/>
            <w:gridSpan w:val="2"/>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9.2</w:t>
            </w:r>
          </w:p>
        </w:tc>
        <w:tc>
          <w:tcPr>
            <w:tcW w:w="20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Amendment or Supplement</w:t>
            </w:r>
          </w:p>
        </w:tc>
        <w:tc>
          <w:tcPr>
            <w:tcW w:w="7060" w:type="dxa"/>
            <w:vAlign w:val="bottom"/>
            <w:gridSpan w:val="9"/>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9.3</w:t>
            </w:r>
          </w:p>
        </w:tc>
        <w:tc>
          <w:tcPr>
            <w:tcW w:w="19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Extension of Time; Waiver</w:t>
            </w:r>
          </w:p>
        </w:tc>
        <w:tc>
          <w:tcPr>
            <w:tcW w:w="7100" w:type="dxa"/>
            <w:vAlign w:val="bottom"/>
            <w:gridSpan w:val="10"/>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9.4</w:t>
            </w:r>
          </w:p>
        </w:tc>
        <w:tc>
          <w:tcPr>
            <w:tcW w:w="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Notices</w:t>
            </w:r>
          </w:p>
        </w:tc>
        <w:tc>
          <w:tcPr>
            <w:tcW w:w="8500" w:type="dxa"/>
            <w:vAlign w:val="bottom"/>
            <w:gridSpan w:val="27"/>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9.5</w:t>
            </w:r>
          </w:p>
        </w:tc>
        <w:tc>
          <w:tcPr>
            <w:tcW w:w="1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Certain Definitions</w:t>
            </w:r>
          </w:p>
        </w:tc>
        <w:tc>
          <w:tcPr>
            <w:tcW w:w="7660" w:type="dxa"/>
            <w:vAlign w:val="bottom"/>
            <w:gridSpan w:val="20"/>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9.6</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9.7</w:t>
            </w:r>
          </w:p>
        </w:tc>
        <w:tc>
          <w:tcPr>
            <w:tcW w:w="1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Entire Agreement</w:t>
            </w:r>
          </w:p>
        </w:tc>
        <w:tc>
          <w:tcPr>
            <w:tcW w:w="7700" w:type="dxa"/>
            <w:vAlign w:val="bottom"/>
            <w:gridSpan w:val="21"/>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9.8</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Parties in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9.9</w:t>
            </w:r>
          </w:p>
        </w:tc>
        <w:tc>
          <w:tcPr>
            <w:tcW w:w="12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Governing Law</w:t>
            </w:r>
          </w:p>
        </w:tc>
        <w:tc>
          <w:tcPr>
            <w:tcW w:w="7800" w:type="dxa"/>
            <w:vAlign w:val="bottom"/>
            <w:gridSpan w:val="22"/>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9.10</w:t>
            </w:r>
          </w:p>
        </w:tc>
        <w:tc>
          <w:tcPr>
            <w:tcW w:w="19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Submission to Jurisdiction</w:t>
            </w:r>
          </w:p>
        </w:tc>
        <w:tc>
          <w:tcPr>
            <w:tcW w:w="7140" w:type="dxa"/>
            <w:vAlign w:val="bottom"/>
            <w:gridSpan w:val="11"/>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9.11</w:t>
            </w:r>
          </w:p>
        </w:tc>
        <w:tc>
          <w:tcPr>
            <w:tcW w:w="17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Assignment; Successors</w:t>
            </w:r>
          </w:p>
        </w:tc>
        <w:tc>
          <w:tcPr>
            <w:tcW w:w="7300" w:type="dxa"/>
            <w:vAlign w:val="bottom"/>
            <w:gridSpan w:val="12"/>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9.12</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Specific Performance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9.13</w:t>
            </w:r>
          </w:p>
        </w:tc>
        <w:tc>
          <w:tcPr>
            <w:tcW w:w="6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Currency</w:t>
            </w:r>
          </w:p>
        </w:tc>
        <w:tc>
          <w:tcPr>
            <w:tcW w:w="880" w:type="dxa"/>
            <w:vAlign w:val="bottom"/>
            <w:tcBorders>
              <w:top w:val="single" w:sz="8" w:color="0000EE"/>
            </w:tcBorders>
            <w:gridSpan w:val="10"/>
          </w:tcPr>
          <w:p>
            <w:pPr>
              <w:spacing w:after="0"/>
              <w:rPr>
                <w:sz w:val="21"/>
                <w:szCs w:val="21"/>
                <w:color w:val="auto"/>
              </w:rPr>
            </w:pPr>
          </w:p>
        </w:tc>
        <w:tc>
          <w:tcPr>
            <w:tcW w:w="7500" w:type="dxa"/>
            <w:vAlign w:val="bottom"/>
            <w:gridSpan w:val="16"/>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9.14</w:t>
            </w: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Severability</w:t>
            </w:r>
          </w:p>
        </w:tc>
        <w:tc>
          <w:tcPr>
            <w:tcW w:w="8160" w:type="dxa"/>
            <w:vAlign w:val="bottom"/>
            <w:gridSpan w:val="25"/>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9.15</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9.16</w:t>
            </w:r>
          </w:p>
        </w:tc>
        <w:tc>
          <w:tcPr>
            <w:tcW w:w="9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Counterparts</w:t>
            </w:r>
          </w:p>
        </w:tc>
        <w:tc>
          <w:tcPr>
            <w:tcW w:w="500" w:type="dxa"/>
            <w:vAlign w:val="bottom"/>
            <w:tcBorders>
              <w:top w:val="single" w:sz="8" w:color="0000EE"/>
            </w:tcBorders>
            <w:gridSpan w:val="6"/>
          </w:tcPr>
          <w:p>
            <w:pPr>
              <w:spacing w:after="0"/>
              <w:rPr>
                <w:sz w:val="21"/>
                <w:szCs w:val="21"/>
                <w:color w:val="auto"/>
              </w:rPr>
            </w:pPr>
          </w:p>
        </w:tc>
        <w:tc>
          <w:tcPr>
            <w:tcW w:w="7600" w:type="dxa"/>
            <w:vAlign w:val="bottom"/>
            <w:gridSpan w:val="18"/>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9.17</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Electronic Signature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gridSpan w:val="11"/>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9.18</w:t>
            </w:r>
          </w:p>
        </w:tc>
        <w:tc>
          <w:tcPr>
            <w:tcW w:w="90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No Presumption Against Drafting Party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8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List</w:t>
            </w: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60" w:type="dxa"/>
            <w:vAlign w:val="bottom"/>
          </w:tcPr>
          <w:p>
            <w:pPr>
              <w:spacing w:after="0"/>
              <w:rPr>
                <w:sz w:val="24"/>
                <w:szCs w:val="24"/>
                <w:color w:val="auto"/>
              </w:rPr>
            </w:pPr>
          </w:p>
        </w:tc>
        <w:tc>
          <w:tcPr>
            <w:tcW w:w="87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Offer Conditions</w:t>
            </w:r>
          </w:p>
        </w:tc>
        <w:tc>
          <w:tcPr>
            <w:tcW w:w="280" w:type="dxa"/>
            <w:vAlign w:val="bottom"/>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13"/>
            <w:shd w:val="clear" w:color="auto" w:fill="0000EE"/>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B</w:t>
            </w:r>
          </w:p>
        </w:tc>
        <w:tc>
          <w:tcPr>
            <w:tcW w:w="36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Tender and Support Agreement</w:t>
            </w:r>
          </w:p>
        </w:tc>
        <w:tc>
          <w:tcPr>
            <w:tcW w:w="580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3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r>
      <w:tr>
        <w:trPr>
          <w:trHeight w:val="392"/>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31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24"/>
                <w:szCs w:val="24"/>
                <w:color w:val="auto"/>
              </w:rPr>
            </w:pPr>
          </w:p>
        </w:tc>
      </w:tr>
      <w:tr>
        <w:trPr>
          <w:trHeight w:val="22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280G Analysis</w:t>
            </w:r>
          </w:p>
        </w:tc>
        <w:tc>
          <w:tcPr>
            <w:tcW w:w="6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6.8(e)</w:t>
            </w:r>
          </w:p>
        </w:tc>
        <w:tc>
          <w:tcPr>
            <w:tcW w:w="20" w:type="dxa"/>
            <w:vAlign w:val="bottom"/>
          </w:tcPr>
          <w:p>
            <w:pPr>
              <w:spacing w:after="0"/>
              <w:rPr>
                <w:sz w:val="19"/>
                <w:szCs w:val="19"/>
                <w:color w:val="auto"/>
              </w:rPr>
            </w:pPr>
          </w:p>
        </w:tc>
      </w:tr>
      <w:tr>
        <w:trPr>
          <w:trHeight w:val="25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 Long-Term Incentive Plan</w:t>
            </w:r>
          </w:p>
        </w:tc>
        <w:tc>
          <w:tcPr>
            <w:tcW w:w="67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9.5(a)</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Long-Term Incentive Plan</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9.5(b)</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Acceptance Time</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1.1(c)</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6.4(h)(i)</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Transaction</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6.4(h)(ii)</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6.4(c)</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9.5(c)</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Affordable Care Act</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4.11(c)(iv)</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6.4(c)</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Anti-Corruption Law</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4.26(c)</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6.6(i)</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Regulatory Laws</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4.16(a)</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Company SEC Document</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Article IV</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Date</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9.5(d)</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Amount</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9.5(e)</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AI</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4.19(p)</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7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Article IV</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9.5(f)</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 Agreement</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9.5(g)</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Equity Award Cash Consideration</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3.2(c)</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Equity Awards</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9.5(i)</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ESPP</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9.5(j)</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4.5(b)</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Fundamental Representations</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9.5(k)</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Group</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9.5(h)</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9.5(l)</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Plan</w:t>
            </w:r>
          </w:p>
        </w:tc>
        <w:tc>
          <w:tcPr>
            <w:tcW w:w="67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9.5(m)</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66"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6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6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Product</w:t>
            </w:r>
          </w:p>
        </w:tc>
        <w:tc>
          <w:tcPr>
            <w:tcW w:w="36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9.5(n)</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Product Permit</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Registered IP</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Restricted Stock</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9.5(o)</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Restricted Stock Cash Consideration</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3.2(c)</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Software</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9.5(p)</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Option Cash Consideration</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Options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9.5(q)</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Plans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9.5(r)</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9.5(s)</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Copyrights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Employees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3.3(e)</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 Payment</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3.3(e)</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4.13(b)(i)</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Permits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4.13(b)(ii)</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 Holders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9.5(y)</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9.5(z)</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Credit Agreement</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Antitrust Laws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Fraud</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6.11(a)</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Expiration Date</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1.1(b)</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In-Licenses</w:t>
            </w:r>
          </w:p>
        </w:tc>
        <w:tc>
          <w:tcPr>
            <w:tcW w:w="36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4.19(j)</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20"/>
          </w:cols>
          <w:pgMar w:left="440" w:top="263"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58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6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40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9.5(u)</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9.5(v)</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Employee Plan</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4.11(h)</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Trade Laws</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4.26(d)(i)</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Intervening Event</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9.5(z)</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 Contracts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4.19(k)</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4.11(b)</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Systems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4.20(e)</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knowledge</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4.18(b)</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Investor Consent</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4.2(c)</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 available</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9.5(ab)</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Materials of Environmental Concern</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4.13(b)(iii)</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Agreement</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Condition</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1.1(e)</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Non-Employee Equity Award Holder</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NSIA</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 Code</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9.5(ab)</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Conditions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1.1(a)</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Documents</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Price</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to Purchase</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Source License</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9.5(ac)</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Course License</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9.5(ad)</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Organizational Documents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9.5(ae)</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 of the Money Option</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9.5(ah)</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Out-Licenses</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4.19(k)</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8.1(b)(i)</w:t>
            </w:r>
          </w:p>
        </w:tc>
      </w:tr>
      <w:tr>
        <w:trPr>
          <w:trHeight w:val="27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40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4.18(a)</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20"/>
          </w:cols>
          <w:pgMar w:left="440" w:top="263"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56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6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9.5(ag)</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Plan</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6.8(c)</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Liens</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9.5(ah)</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9.5(ai)</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9.5(aj)</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Consideration</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3.1(h)</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Privacy Law</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9.5(ak)</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Recipient</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IP</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9.5(al)</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Permits</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Restraint</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Reverse Termination Fee</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8.3(d)</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Sanctioned Jurisdiction</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4.26(d)(ii)</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4.26(d)(iv)</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Sanctions Authority</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4.26(d)(v)</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Sanctions Laws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4.26(d)(iii)</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14D-9</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1.3(b)</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TO</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1.1(e)</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3.3(b)</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9.5(am)</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Code</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9.5(an)</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Structure Election</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6.21(a)</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4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9.5(ao)</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6.4(h)(iii)</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Support Agreement</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Supporting Stockholders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Laws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020"/>
          </w:cols>
          <w:pgMar w:left="440" w:top="263"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54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6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4.14(k)(i)</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Returns</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4.14(k)(ii)</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Consents</w:t>
            </w:r>
          </w:p>
        </w:tc>
        <w:tc>
          <w:tcPr>
            <w:tcW w:w="4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6.7(a)</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4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4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Personal Data</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Transferor</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Triggering Event</w:t>
            </w:r>
          </w:p>
        </w:tc>
        <w:tc>
          <w:tcPr>
            <w:tcW w:w="4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9.5(ap)</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WARN Act</w:t>
            </w:r>
          </w:p>
        </w:tc>
        <w:tc>
          <w:tcPr>
            <w:tcW w:w="4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4.12(b)</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20"/>
          </w:cols>
          <w:pgMar w:left="440" w:top="263"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27, 2026 is by and among (i) EnerSys,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EnerSys Mergersub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(iii) Ultralife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it is proposed that Merger Sub shall commence a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all of the outstanding shares of common stock, par value $0.10 per share,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a price per Share of $16.00 net to the seller in cash at the closing of the Offer, (such amount or any greater amount per Share as may be paid pursuant to the Offer, being hereinafter referred to as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on the terms and subject to the conditions set forth herein;</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WHEREAS, the parties intend that (i) the Merger shall be effected in accordance with Section 251(h)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shall be consummated as soon as practicable following the completion of the Offer and subject to the terms of this Agreement, and (ii) at the Effective Time, Merger Sub shall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following the Merger, the separate corporate existence of Merger Sub shall cease and the Company shall continue as the surviving corporation in the Merger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a wholly owned subsidiary of Parent;</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duly and unanimously (i) determined that the transactions contemplated by this Agreement, including the Offer and the Merger, are advisable and fair to, and in the best interests of, the Company and its stockholders, (ii) approved and declared advisable this Agreement and the transactions contemplated by this Agreement, including the Offer and the Merger, on the terms and subject to the conditions set forth in this Agreement, (iii) resolved that the Merger will be effected under Section 251(h) of the DGCL and (iv) resolved to recommend that the Company’s stockholders accept the Offer and tender their Shares to Merger Sub pursuant to the Offer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and Merger Sub’s willingness to enter into this Agreement, Bradford T. Whitmore, Sunray I, LLC, Whitmore Holdings, LLC, and the Bradford Whitmore Trust (collectively, the “</w:t>
      </w:r>
      <w:r>
        <w:rPr>
          <w:rFonts w:ascii="Times New Roman" w:cs="Times New Roman" w:eastAsia="Times New Roman" w:hAnsi="Times New Roman"/>
          <w:sz w:val="18"/>
          <w:szCs w:val="18"/>
          <w:u w:val="single" w:color="auto"/>
          <w:color w:val="auto"/>
        </w:rPr>
        <w:t>Supporting Stockholders</w:t>
      </w:r>
      <w:r>
        <w:rPr>
          <w:rFonts w:ascii="Times New Roman" w:cs="Times New Roman" w:eastAsia="Times New Roman" w:hAnsi="Times New Roman"/>
          <w:sz w:val="18"/>
          <w:szCs w:val="18"/>
          <w:color w:val="auto"/>
        </w:rPr>
        <w:t xml:space="preserve">”) have executed and delivered a Tender and Support Agreement in favor of Parent and Merger Sub,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xml:space="preserve">”), which Support Agreement has been duly executed and delivered by each Supporting Stockholder and is in full force and effect as of the date of this Agreement, and pursuant to which, among other things, each Supporting Stockholder has agreed to tender all Shares beneficially owned by it to Merger Sub pursuant to the Offer and not to withdraw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parties acknowledge that the Shares subject to the Support Agreement do not, without the tender of additional Shares by other holders, satisfy the Minimum Condition;</w:t>
      </w:r>
    </w:p>
    <w:p>
      <w:pPr>
        <w:spacing w:after="0" w:line="19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on the terms and subject to the conditions set forth herein, approved and declared advisable this Agreement, the Offer, the Merger and the other transactions contemplated herein;</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Merger Sub has declared that, on the terms and subject to the conditions set forth herein, this Agreement and the transactions contemplated hereby, including the Offer and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 are advisable and in the best interests of Merger Sub and its sole stockholder, and has approved and adopted this Agreement and the transactions contemplated hereby, including the Offer and the Merger; and</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Parent, Merger Sub and the Company desire to make certain representations, warranties, covenants and agreements in connection with the Offer and the Merger and also to prescribe certain conditions to the Merger as specified herein.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representations, warranties, covenants and agreements contained herein, and intending to be legally bound hereby, Parent, Merger Sub and the Company hereby agree as follows:</w:t>
      </w:r>
    </w:p>
    <w:p>
      <w:pPr>
        <w:spacing w:after="0" w:line="3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that this Agreement shall not have been validly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as promptly as practicable, and in any event within 10 Business Days after the date of this Agreement, Merger Sub shall, and Parent shall cause Merger Sub to, commence (within the meaning of Rule 14d-2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the Offer. The obligations of Merger Sub, and of Parent to cause Merger Sub, to accept for payment and pay for any Shares tendered pursuant to the Offer shall be subject to (i) the satisfaction of the Minimum Condition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(ii) the satisfaction (or waiver by Parent or Merger Sub) of each of the other conditions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(together with the Minimum Condition,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xml:space="preserve">”) and the terms and conditions hereof. Merger Sub expressly reserves the right, in its sole discretion, to (A) increase the Offer Price, (B) waive any Offer Condition or (C) modify any of the other terms or conditions of the Offer, except that, unless otherwise provided by this Agreement, without the prior written consent of the Company, Merger Sub shall not (1) reduce the Offer Price, (2) change the form of consideration payable in the Offer (other than by adding consideration), (3) reduce the number of Shares sought to be purchased in the Offer, (4) waive or change the Minimum Condition, (5) add to the Offer Conditions, (6) extend the expiration of the Offer other than in accordance with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(7) provide for any “subsequent offering period” within the meaning of Rule 14d-11 promulgated under the Exchange Act, (8) take any action (or fail to take any action) that would result in the Merger not being permitted to be effected pursuant to Section 251(h) of the DGCL, or (9) modify any Offer Condition or any term of the Offer set forth in this Agreement in a manner adverse to the holders of Shares or that would, individually or in the aggregate, reasonably be expected to prevent or materially delay the consummation of the Offer or prevent, materially delay or impair the ability of the Parent or Merger Sub to consummate the Offer, the Merger or the other transactions contemplated hereby.</w:t>
      </w:r>
    </w:p>
    <w:p>
      <w:pPr>
        <w:spacing w:after="0" w:line="19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shall initially be scheduled to expire at 5:00 p.m. (New York City time) on the date that is 25 Business Days (for this purpose calculated in accordance with Rule 14d-1(g)(3) under the Exchange Act) after the commencement (within the meaning of Rule 14d-2 under the Exchange Act) of the Offer (the “</w:t>
      </w:r>
      <w:r>
        <w:rPr>
          <w:rFonts w:ascii="Times New Roman" w:cs="Times New Roman" w:eastAsia="Times New Roman" w:hAnsi="Times New Roman"/>
          <w:sz w:val="18"/>
          <w:szCs w:val="18"/>
          <w:u w:val="single" w:color="auto"/>
          <w:color w:val="auto"/>
        </w:rPr>
        <w:t>Initial Expiration Date</w:t>
      </w:r>
      <w:r>
        <w:rPr>
          <w:rFonts w:ascii="Times New Roman" w:cs="Times New Roman" w:eastAsia="Times New Roman" w:hAnsi="Times New Roman"/>
          <w:sz w:val="18"/>
          <w:szCs w:val="18"/>
          <w:color w:val="auto"/>
        </w:rPr>
        <w:t>”) or, in the event the Initial Expiration Date has been extended pursuant to and in accordance with this Agreement, the date and time to which the Offer has been so extended (the Initial Expiration Date, or such later date and time to which the Initial Expiration Date has been so extended,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w:t>
      </w:r>
    </w:p>
    <w:p>
      <w:pPr>
        <w:spacing w:after="0" w:line="183" w:lineRule="exact"/>
        <w:rPr>
          <w:rFonts w:ascii="Times New Roman" w:cs="Times New Roman" w:eastAsia="Times New Roman" w:hAnsi="Times New Roman"/>
          <w:sz w:val="18"/>
          <w:szCs w:val="18"/>
          <w:color w:val="auto"/>
        </w:rPr>
      </w:pPr>
    </w:p>
    <w:p>
      <w:pPr>
        <w:ind w:right="320" w:firstLine="987"/>
        <w:spacing w:after="0" w:line="266"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Offer and this Agreement and the satisfaction of all of the Offer Conditions, Merger Sub will accept for payment (the date and time of such acceptance,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and thereafter pay for all Shares validly tendered and not validly withdrawn pursuant to the Offer as soon 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practicable after the Expiration Date. The Offer Price payable in respect of each Share validly tendered and not validly withdrawn pursuant to the Offer shall be paid net to the seller of such Share in cash, without interest, subject to the deduction or withholding of any Taxes, on the terms and subject to the conditions set forth in this Agreement.</w:t>
      </w:r>
    </w:p>
    <w:p>
      <w:pPr>
        <w:spacing w:after="0" w:line="176" w:lineRule="exact"/>
        <w:rPr>
          <w:sz w:val="20"/>
          <w:szCs w:val="20"/>
          <w:color w:val="auto"/>
        </w:rPr>
      </w:pPr>
    </w:p>
    <w:p>
      <w:pPr>
        <w:ind w:right="20" w:firstLine="987"/>
        <w:spacing w:after="0" w:line="256"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Merger Sub shall not terminate or withdraw the Offer prior to any scheduled expiration date without the prior written consent of the Company in its sole and absolute discretion. In the event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Merger Sub shall (i) promptly (and in any event within one Business Day) following such termination irrevocably and unconditionally terminate the Offer and (ii) not acquire any Shares pursuant thereto. If the Offer is terminated in accordance with this Agreement prior to the Acceptance Time, Merger Sub shall promptly return, or cause any depositary acting on behalf of Merger Sub to return, all tendered Shares to the tendering stockholders.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this Agreement shall have previously been validly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Merger Sub may extend the Offer from time to time as follows: (i) if on the then-scheduled Expiration Date, the Minimum Condition has not been satisfied or any of the other Offer Conditions has not been satisfied (and, in the case of any Offer Condition that by its nature is to be satisfied at the Acceptance Time, is not then capable of being satisfied) or waived by Parent or Merger Sub if permitted hereunder, then Merger Sub may extend the Offer for one or more occasions in consecutive increments of up to 10 Business Days each, the length of each such period to be determined by Parent (or such longer period as may be agreed by the Company and Parent) in order to permit the satisfaction of such Offer Conditions (subject to the right of Parent or Merger Sub to waive any Offer Condition to the extent permitted hereunder); and (ii) Merger Sub may extend the Offer for the minimum period required by applicable Law, interpretation or position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its staff or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xml:space="preserve">”) or its staff;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Merger Sub be required to extend the Offer beyond the Outside Date.</w:t>
      </w:r>
    </w:p>
    <w:p>
      <w:pPr>
        <w:spacing w:after="0" w:line="188" w:lineRule="exact"/>
        <w:rPr>
          <w:rFonts w:ascii="Times New Roman" w:cs="Times New Roman" w:eastAsia="Times New Roman" w:hAnsi="Times New Roman"/>
          <w:sz w:val="18"/>
          <w:szCs w:val="18"/>
          <w:color w:val="auto"/>
        </w:rPr>
      </w:pPr>
    </w:p>
    <w:p>
      <w:pPr>
        <w:ind w:right="60" w:firstLine="987"/>
        <w:spacing w:after="0" w:line="266"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other terms and conditions of this Agreement and the Offer Conditions, Parent shall provide or cause to be provided to Merger Sub on a timely basis the funds necessary to purchase any Shares that Merger Sub becomes obligated to purchase pursuant to the Offer.</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On the commencement date of the Offer, Parent and Merger Sub shall (a) file or cause to be filed with the SEC, in accordance with Rule 14d-3 under the Exchange Act, a Tender Offer Statement on Schedule TO (together with all exhibits, amendments and supplements thereto,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with respect to the Offer, which shall contain or shall incorporate by reference an offer to purchase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 Purchase</w:t>
      </w:r>
      <w:r>
        <w:rPr>
          <w:rFonts w:ascii="Times New Roman" w:cs="Times New Roman" w:eastAsia="Times New Roman" w:hAnsi="Times New Roman"/>
          <w:sz w:val="18"/>
          <w:szCs w:val="18"/>
          <w:color w:val="auto"/>
        </w:rPr>
        <w:t>”) and forms of the related letter of transmittal, form of summary advertisement and other ancillary Offer documents pursuant to which the Offer will be made (the Schedule TO, the Offer to Purchase and such other documents, together with all exhibits, amendments and supplements thereto,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and (b) cause the Offer Documents to be disseminated to holders of Shares, in each case, as and to the extent required by applicable federal securities Law. Parent and Merger Sub shall cause the Schedule TO and the other Offer Documents to comply as to form in all material respects with applicable federal securities Law. The Company shall promptly supply Parent and Merger Sub in writing, for inclusion in the Offer Documents, all information concerning the Company required under the Exchange Act to be included in the Offer Documents or reasonably requested in connection with any action contemplated by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Each of Parent, Merger Sub and the Company agrees promptly to correct any information provided by them for use in the Offer Documents if and to the extent that such information shall have become false or misleading in any material respect (or as otherwise required by applicable Law), and each of Parent and Merger Sub further agrees to take all steps necessary to cause the Offer Documents as so corrected to be filed with the SEC and to be disseminated to the holders of Shares, in each case, as and to the extent required by applicable federal securities Law. Except from and after an Adverse Recommendation Change, Parent shall provide the Company and its counsel a reasonable opportunity to review and comment on the Offer Documents and any amendments thereto prior to the filing thereof with the SEC, and Parent shall give reasonable and good faith consideration to all reasonable additions, deletions or changes suggested thereto by the Company and its counsel. Except from and after an Adverse Recommendation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upon receipt of any written or oral comments by Merger Sub, Parent or their counsel from the SEC or its staff with respect to the Offer Documents, or any request from the SEC or its staff for amendments or supplements to the Offer Documents, Merger Sub and Parent shall (i) promptly provide the Company and its counsel with a copy of any such written comments or requests (or a description of any such oral comments or requests); (ii) provide the Company and its counsel a reasonable opportunity to comment on any proposed response thereto, and give reasonable and good faith consideration to any such comments made by the Company and its counsel; (iii) provide the Company and its counsel an opportunity to participate with Merger Sub, Parent or their counsel in any material discussions or meetings with the SEC or its staff; and (iv) provide the Company with copies of any written comments or responses submitted by Merger Sub and Parent in response thereto. Parent and Merger Sub shall respond reasonably promptly to any comments from the SEC or its staff with respect to the Offer Documents or the Offer.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consents to the Offer and to the inclusion in the Offer Documents of the Company Recommendation.</w:t>
      </w:r>
    </w:p>
    <w:p>
      <w:pPr>
        <w:spacing w:after="0" w:line="225" w:lineRule="exact"/>
        <w:rPr>
          <w:rFonts w:ascii="Times New Roman" w:cs="Times New Roman" w:eastAsia="Times New Roman" w:hAnsi="Times New Roman"/>
          <w:sz w:val="18"/>
          <w:szCs w:val="18"/>
          <w:color w:val="auto"/>
        </w:rPr>
      </w:pPr>
    </w:p>
    <w:p>
      <w:pPr>
        <w:ind w:right="40" w:firstLine="987"/>
        <w:spacing w:after="0" w:line="251"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on the date of filing by Parent and Merger Sub of the Offer Documents, and in any event no later than 10 Business Days after the date of this Agreement, the Company shall file with the SEC a Solicitation/Recommendation Statement on Schedule 14D-9 (such Schedule 14D-9, together with all exhibits, amendments and supplements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The Company shall cause the Schedule 14D-9 to comply as to form in all material respects with applicable federal securities Law and the Schedule 14D-9 shall (i) reflect that the Merger is governed by Section 251(h) of the DGCL, (ii) contain the Company Recommendation, (iii) contain the notice of appraisal required to be delivered by the Company under Section 262(d) of the DGCL at the time the Company first files the Schedule 14D-9 with the SEC and (iv) include the fairness opinion of each financial advisor to the Company in its entirety, and a description of such fairness opinion and the financial analysis relating thereto that provides the information called for by Item 1015(b) of Regulation M-A under the Exchange Act. Parent and Merger Sub shall promptly supply to the Company in writing, for inclusion in the Schedule 14D-9, all information concerning Parent and Merger Sub required under applicable U.S. federal securities laws to be included in the Schedule 14D-9 or reasonably requested in connection with any actions contemplated by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Unless requested otherwise by the Company (in which case the Company shall disseminate a copy of the Schedule 14D-9 to the holders of Shares in accordance with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applicable federal securities Law), a copy of the Schedule 14D-9 shall be included with the Offer Documents disseminated to the holders of Shares by Parent and Merger Sub. Each of the Company, Parent and Merger Sub agrees promptly to correct any information provided by it for use in the Schedule 14D-9 if and to the extent that such information shall have become false or misleading in any material respect (or as otherwise required by applicable Law), and the Company further agrees to take all steps necessary to cause the Schedule 14D-9 as so corrected to be filed with the SEC and to be disseminated to the holders of Shares, in each case, as and to the extent required by applicable federal securities Law. Except from and after an Adverse Recommendation Change or in connection with any “stop, look and listen” disclosures made in compliance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commercially reasonable efforts to provide Parent with a reasonable opportunity to review any such disclosure in advance), Parent, Merger Sub and their counsel shall be given a reasonable opportunity to review and comment on the Schedule 14D-9 and any amendments thereto prior to the filing thereof with the SEC and the Company shall give reasonable and good faith consideration to all reasonable additions, deletions or changes suggested thereto by Parent, Merger Sub and their counsel. In addition, upon receipt of any written or oral comments or requests for amendments or supplements by the Company or its counsel from the SEC or its staff with respect to the Schedule 14D-9, the Company agrees to (i) promptly provide Merger Sub, Parent and their counsel with a copy of any such written comments or requests for amendments or supplements (or a description of any such oral comments); (ii) except as provided in the immediately preceding sentence, provide Merger Sub, Parent and their counsel a reasonable opportunity to comment on any proposed response thereto, and to give reasonable and good faith consideration to any such comments made by Merger Sub, Parent and their counsel prior to responding to any such comments or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0" w:name="page21"/>
    <w:bookmarkEnd w:id="20"/>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requests; (iii) provide Merger Sub, Parent and their counsel an opportunity to participate with the Company or its counsel in any material discussions or meetings with the SEC or its staff; and (iv) provide Merger Sub or Parent with copies of any written comments or responses submitted by the Company in response thereto. The Company shall respond promptly to any comments from the SEC or its staff with respect to the Schedule 14D-9.</w:t>
      </w:r>
    </w:p>
    <w:p>
      <w:pPr>
        <w:spacing w:after="0" w:line="176" w:lineRule="exact"/>
        <w:rPr>
          <w:sz w:val="20"/>
          <w:szCs w:val="20"/>
          <w:color w:val="auto"/>
        </w:rPr>
      </w:pPr>
    </w:p>
    <w:p>
      <w:pPr>
        <w:ind w:left="4" w:firstLine="987"/>
        <w:spacing w:after="0" w:line="268" w:lineRule="auto"/>
        <w:tabs>
          <w:tab w:leader="none" w:pos="12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Offer, the Company shall instruct its transfer agent to, and use reasonable best efforts to, promptly furnish Parent and Merger Sub with (i) mailing labels containing the names and addresses of all record holders of Shares, and (ii) security position listings of Shares held in stock depositaries, together with any non-objecting beneficial owner lists and any available listings or computer files containing the names and addresses of the record holders of Shares, in each case, to the Company’s knowledge, true and complete as of the most recent practicable date, and shall furnish Parent and Merger Sub with such additional available information (including periodic updates of such information), and such other assistance, as Parent, Merger Sub or their Representatives may reasonably request in communicating the Offer to the record and beneficial holders of Shares. The Company shall set the record date for the stockholders of the Company entitled to receive the notice of appraisal rights contemplated by Section 262(d)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DGCL as the same date as the date of the list used to determine the Persons to whom the Offer Documents and the Schedule 14D-9 are first</w:t>
      </w:r>
    </w:p>
    <w:p>
      <w:pPr>
        <w:spacing w:after="0" w:line="9"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disseminated;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record date will not be more than 10 days prior to the date that the Schedule 14D-9 is first mailed. Subject to applicable Law and except for such steps as are necessary to disseminate the Offer Documents and any other documents necessary to consummate the Offer, the Merger and the transactions contemplated hereby, Parent and Merger Sub shall, until consummation of the Offer, hold in confidence the information contained in any of such labels and lists in accordance with the Confidentiality Agreement, use such information only in connection with the Offer, the Merger or the other transactions contemplated hereby and, if this Agreement shall have been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return or destroy all electronic and other copies of such information then in their possession or under their control on the terms and subject to the conditions set forth in the Confidentiality Agreement.</w:t>
      </w:r>
    </w:p>
    <w:p>
      <w:pPr>
        <w:spacing w:after="0" w:line="4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left="4" w:right="1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 Upon the terms and subject to the conditions set forth in this Agreement and in accordance with the DGCL (including Section 251(h) of the DGCL), at the Effective Time, Merger Sub shall be merged with and into the Company. Following the Merger, the separate corporate existence of Merger Sub shall cease, and the Company shall continue as the Surviving Corporation and a wholly owned subsidiary of Parent.</w:t>
      </w:r>
    </w:p>
    <w:p>
      <w:pPr>
        <w:spacing w:after="0" w:line="158"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occur remotely, via electronic exchange of documentation and consideration required to be delivered at the Closing as promptly as practicable following the consummation of the Offer following the satisfaction or, to the extent permitted by applicable Law and this Agreement, waiver of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so satisfied or waived (other than those conditions to be satisfied at the Closing itself, but subject to the satisfaction or, to the extent permitted by applicable Law and this Agreement, waiver of such conditions at such time), but in any event not later than the second Business Day following the satisfaction or, to the extent permitted by applicable Law and this Agreement, waiver of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so satisfied or waived (other than those conditions to be satisfied at the Closing itself, but subject to the satisfaction or, to the extent permitted by applicable Law and this Agreement, waiver of such conditions at such time), or at such other date, time or place as Parent and the Company mutually may agree in writing. The date on which the Closing actually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Upon the terms and subject to the conditions of this Agreement, substantially concurrently with the Closing, the parties shall file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with the Secretary of State of the State of Delaware, executed in accordance with the relevant provisions of the DGCL, and, as soon as practicable on or after the Closing Date, shall make any and all other filings or recordings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21" w:name="page22"/>
    <w:bookmarkEnd w:id="21"/>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under the DGCL. The Merger shall become effective at such time as the Certificate of Merger is duly filed with the Secretary of State of the State of Delaware or at such other date or time as Parent and the Company shall agree in writing and shall specify in the Certificate of Merger (the time the Merger becomes effective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0"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Merger Without Meeting of Stockholders</w:t>
      </w:r>
      <w:r>
        <w:rPr>
          <w:rFonts w:ascii="Times New Roman" w:cs="Times New Roman" w:eastAsia="Times New Roman" w:hAnsi="Times New Roman"/>
          <w:sz w:val="17"/>
          <w:szCs w:val="17"/>
          <w:color w:val="auto"/>
        </w:rPr>
        <w:t>. The Merger shall be governed by Section 251(h) of the DGCL. The parties hereto agree to take all necessary and appropriate action to cause the Merger to become effective, on the terms and subject to the conditions of this Agreement, as soon as practicable following the consummation of the Offer without a vote by the holders of the Shares, in accordance with Section 251(h) of the DGCL.</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Certificate of Incorporation;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certificate of incorporation of the Company shall be amended and restated in its entirety so that it reads to be the same as the certificate of incorporation of Merger Sub, as in effect immediately prior to the Effective Time, except that (i) all references therein to Merger Sub shall be automatically amended to become references to the Surviving Corporation, (ii) the provisions naming the initial director(s) or incorporator(s) of Merger Sub shall be omitted and (iii) the certificate of incorporation shall be amended to comply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and, as so amended and restated, shall be the certificate of incorporation of the Surviving Corporation until thereafter amended in accordance with its terms and as provided by applicable Law.</w:t>
      </w:r>
    </w:p>
    <w:p>
      <w:pPr>
        <w:spacing w:after="0" w:line="187"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and without any further action on the part of the Company and Merger Sub, the bylaws of the Company shall be amended and restated in their entirety so that they read to be the same as the bylaws of Merger Sub, as in effect immediately prior to the Effective Time, except that (i) all references therein to Merger Sub shall be automatically amended to become references to the Surviving Corporation and (ii) the bylaws shall be amended to comply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and, as so amended and restated, shall be the bylaws of the Surviving Corporation until thereafter amended in accordance with their terms, the certificate of incorporation of the Surviving Corporation and as provided by applicable Law.</w:t>
      </w:r>
    </w:p>
    <w:p>
      <w:pPr>
        <w:spacing w:after="0" w:line="18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The directors and officers of Merger Sub immediately prior to the Effective Time shall be the directors and officers of the Surviving Corporation from and after the Effective Time until the earlier of their resignation or removal or until their respective successors are duly elected and qualified.</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determined by Parent to be necessary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the Company and otherwise) to take and shall take such 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 ON THE CAPITAL STOCK OF THE CONSTITUENT CORPORATIONS;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OF CERTIFICATES</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 At the Effective Time, by virtue of the Merger and without any action on the part of the Company, Parent, Merger Sub or the holders of any shares of capital stock of the Company, Parent or Merger Sub:</w:t>
      </w:r>
    </w:p>
    <w:p>
      <w:pPr>
        <w:spacing w:after="0" w:line="54" w:lineRule="exact"/>
        <w:rPr>
          <w:sz w:val="20"/>
          <w:szCs w:val="20"/>
          <w:color w:val="auto"/>
        </w:rPr>
      </w:pPr>
    </w:p>
    <w:p>
      <w:pPr>
        <w:ind w:right="140" w:firstLine="987"/>
        <w:spacing w:after="0" w:line="277" w:lineRule="auto"/>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Share issued and outstanding immediately prior to the Effective Time (other than (i) Shares to be canceled in accordance with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and (ii) any Dissenting Shares (such Shares in the foregoing clause (i) and (ii), “</w:t>
      </w:r>
      <w:r>
        <w:rPr>
          <w:rFonts w:ascii="Times New Roman" w:cs="Times New Roman" w:eastAsia="Times New Roman" w:hAnsi="Times New Roman"/>
          <w:sz w:val="17"/>
          <w:szCs w:val="17"/>
          <w:u w:val="single" w:color="auto"/>
          <w:color w:val="auto"/>
        </w:rPr>
        <w:t>Excluded Shares</w:t>
      </w:r>
      <w:r>
        <w:rPr>
          <w:rFonts w:ascii="Times New Roman" w:cs="Times New Roman" w:eastAsia="Times New Roman" w:hAnsi="Times New Roman"/>
          <w:sz w:val="17"/>
          <w:szCs w:val="17"/>
          <w:color w:val="auto"/>
        </w:rPr>
        <w:t>”)) shall thereupon be converted automatically into and shall thereafter represent the right to receive an amount in cash equal to the Offer Price, without interest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xml:space="preserve">”). As of the Effective Time, all Shares shall no longer be outstanding and shall automatically be cancelled and shall cease to exist, and shall thereafter only represent the right to receive the Merger Consideration to be issued or paid in accordance with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without interest.</w:t>
      </w:r>
    </w:p>
    <w:p>
      <w:pPr>
        <w:spacing w:after="0" w:line="167" w:lineRule="exact"/>
        <w:rPr>
          <w:rFonts w:ascii="Times New Roman" w:cs="Times New Roman" w:eastAsia="Times New Roman" w:hAnsi="Times New Roman"/>
          <w:sz w:val="17"/>
          <w:szCs w:val="17"/>
          <w:color w:val="auto"/>
        </w:rPr>
      </w:pPr>
    </w:p>
    <w:p>
      <w:pPr>
        <w:ind w:firstLine="987"/>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held by the Company (or held in the treasury of the Company) or owned, directly or indirectly, by Parent or Merger Sub (or any other Subsidiary of Parent) immediately prior to the Effective Time, shall automatically be canceled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irrevocably accepted to be acquired in the Offer shall no longer be outstanding and shall be cancelled and shall cease to exist, and no consideration in addition to the Offer Price shall be delivered in exchange therefor.</w:t>
      </w:r>
    </w:p>
    <w:p>
      <w:pPr>
        <w:spacing w:after="0" w:line="161"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issued and outstanding immediately prior to the Effective Time shall be converted into and become one validly issued, fully paid and non-assessable share of common stock, par value $0.01 per share, of the Surviving Corporation.</w:t>
      </w:r>
    </w:p>
    <w:p>
      <w:pPr>
        <w:spacing w:after="0" w:line="175"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during the period between the date of this Agreement and the Effective Time, any change in the outstanding shares of capital stock of the Company, or securities convertible into or exchangeable into or exercisable for shares of such capital stock, shall occur as a result of any reclassification, recapitalization, stock split (including a reverse stock split) or subdivision or combination, exchange or readjustment of shares, or any stock dividend or stock distribution with a record date during such period, merger or other similar transaction, the Merger Consideration shall be equitably adjusted, without duplication, to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shall be construed to permit or require the Company to take any action that is otherwise prohibited by the terms of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Treatment of Options and Other Equity-Based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54"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the Money Options</w:t>
      </w:r>
      <w:r>
        <w:rPr>
          <w:rFonts w:ascii="Times New Roman" w:cs="Times New Roman" w:eastAsia="Times New Roman" w:hAnsi="Times New Roman"/>
          <w:sz w:val="18"/>
          <w:szCs w:val="18"/>
          <w:color w:val="auto"/>
        </w:rPr>
        <w:t>. As of immediately prior to the Effective Time, without any action on the part of any holder and conditioned upon the occurrence of the Effective Time, each Company Stock Option that constitutes an In the Money Option and that is outstanding immediately prior to the Effective Time shall automatically accelerate and become fully vested and exercisable and shall be cancelled, in exchange for which the Surviving Corporation shall pay or shall cause to be paid to each former holder of any such cancelled In the Money Option an amount in cash, without interest, and subject to deduction for any required withholding Tax, equal to the product of (x) the Offer Price minus the exercise price per Share under such Company Stock Option and (y) the number of Shares subject to such Company Stock Option (such amount, the “</w:t>
      </w:r>
      <w:r>
        <w:rPr>
          <w:rFonts w:ascii="Times New Roman" w:cs="Times New Roman" w:eastAsia="Times New Roman" w:hAnsi="Times New Roman"/>
          <w:sz w:val="18"/>
          <w:szCs w:val="18"/>
          <w:u w:val="single" w:color="auto"/>
          <w:color w:val="auto"/>
        </w:rPr>
        <w:t>Company Stock Option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Parent shall cause the Surviving Corporation to pay or cause to be paid the Company Stock Option Cash Consideration reasonably promptly after the Effective Time (but in no event later than thirty Business Days after the Effective Time).</w:t>
      </w:r>
    </w:p>
    <w:p>
      <w:pPr>
        <w:spacing w:after="0" w:line="19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 of the Money Options</w:t>
      </w:r>
      <w:r>
        <w:rPr>
          <w:rFonts w:ascii="Times New Roman" w:cs="Times New Roman" w:eastAsia="Times New Roman" w:hAnsi="Times New Roman"/>
          <w:sz w:val="18"/>
          <w:szCs w:val="18"/>
          <w:color w:val="auto"/>
        </w:rPr>
        <w:t>. As of immediately prior to the Effective Time, without any action on the part of any holder and conditioned upon the occurrence of the Effective Time, each Company Stock Option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3" w:name="page24"/>
    <w:bookmarkEnd w:id="23"/>
    <w:p>
      <w:pPr>
        <w:ind w:right="5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constitutes an Out of the Money Option and that is outstanding immediately prior to the Effective Time shall, whether vested or unvested, be cancelled for no consideration.</w:t>
      </w:r>
    </w:p>
    <w:p>
      <w:pPr>
        <w:spacing w:after="0" w:line="162" w:lineRule="exact"/>
        <w:rPr>
          <w:sz w:val="20"/>
          <w:szCs w:val="20"/>
          <w:color w:val="auto"/>
        </w:rPr>
      </w:pPr>
    </w:p>
    <w:p>
      <w:pPr>
        <w:ind w:firstLine="987"/>
        <w:spacing w:after="0" w:line="255"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As of immediately prior to the Effective Time, without any action on the part of any holder and conditioned upon the occurrence of the Effective Time, each share of Company Restricted Stock that is outstanding immediately prior to the Effective Time, whether vested or unvested, shall automatically accelerate and become fully vested and shall be canceled and converted into the right to receive an amount in cash, without interest, and subject to deduction for any required withholding Tax, equal to the Offer Price (the “</w:t>
      </w:r>
      <w:r>
        <w:rPr>
          <w:rFonts w:ascii="Times New Roman" w:cs="Times New Roman" w:eastAsia="Times New Roman" w:hAnsi="Times New Roman"/>
          <w:sz w:val="18"/>
          <w:szCs w:val="18"/>
          <w:u w:val="single" w:color="auto"/>
          <w:color w:val="auto"/>
        </w:rPr>
        <w:t>Company Restricted Stock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together with the Company Stock Option Cash Consideration, the “</w:t>
      </w:r>
      <w:r>
        <w:rPr>
          <w:rFonts w:ascii="Times New Roman" w:cs="Times New Roman" w:eastAsia="Times New Roman" w:hAnsi="Times New Roman"/>
          <w:sz w:val="18"/>
          <w:szCs w:val="18"/>
          <w:u w:val="single" w:color="auto"/>
          <w:color w:val="auto"/>
        </w:rPr>
        <w:t>Company Equity Award Cash Consideration</w:t>
      </w:r>
      <w:r>
        <w:rPr>
          <w:rFonts w:ascii="Times New Roman" w:cs="Times New Roman" w:eastAsia="Times New Roman" w:hAnsi="Times New Roman"/>
          <w:sz w:val="18"/>
          <w:szCs w:val="18"/>
          <w:color w:val="auto"/>
        </w:rPr>
        <w:t>”). Parent shall cause the Surviving Corporation to pay the Company Restricted Stock Cash Consideration at or reasonably promptly after the Effective Time (but in no event later than thirty Business Days after the Effective Time).</w:t>
      </w:r>
    </w:p>
    <w:p>
      <w:pPr>
        <w:spacing w:after="0" w:line="188"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xml:space="preserve">. Prior to the Effective Time, the Company Board (or, if appropriate, any committee thereof administering any Company Stock Plan) shall adopt such resolutions or take such action by written consent in lieu of a meeting to approve and effectuate the foregoing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 addition to the foregoing, prior to the Effective Time, the Company shall provide that, on and following the Effective Time, no holder of any Company Equity Award shall have the right to acquire any equity interest in the Company or the Surviving Corporation in respect thereof and each Company Stock Plan shall terminate effective not later than immediately prior to the Effective Time. The Company shall provide Parent with documentation evidencing the completion of the foregoing actions not later than the last Business Day preceding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least five Business Days prior to the Closing Date the Company shall provide Parent with drafts of such documentation and the Company shall consider in good faith any reasonable comments that Parent may propose (with any such comments to be provided by Parent at least two Business Days prior to the Closing Date).</w:t>
      </w:r>
    </w:p>
    <w:p>
      <w:pPr>
        <w:spacing w:after="0" w:line="188"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Assumption or Substitution</w:t>
      </w:r>
      <w:r>
        <w:rPr>
          <w:rFonts w:ascii="Times New Roman" w:cs="Times New Roman" w:eastAsia="Times New Roman" w:hAnsi="Times New Roman"/>
          <w:sz w:val="18"/>
          <w:szCs w:val="18"/>
          <w:color w:val="auto"/>
        </w:rPr>
        <w:t>. Parent shall not assume any Company Equity Award or substitute for any Company Equity Award any similar award for Parent stock, in connection with the Offer, the Merger or the other transactions contemplated 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Exchange and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Acceptance Time, Parent shall (i) select a bank, trust company or nationally recognized stockholder services provider reasonably acceptable to the Company to act as the paying agent for the equityholders of the Company in connection with the Merger (the “</w:t>
      </w:r>
      <w:r>
        <w:rPr>
          <w:rFonts w:ascii="Times New Roman" w:cs="Times New Roman" w:eastAsia="Times New Roman" w:hAnsi="Times New Roman"/>
          <w:sz w:val="18"/>
          <w:szCs w:val="18"/>
          <w:u w:val="single" w:color="auto"/>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and to receive the Merger Consideration to which the holders thereof shall become entitled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(ii) enter into a paying agent agreement with the Paying Agent, in form and substance reasonably acceptable to the Company. At or as promptly as practicable following the Effective Time, Parent shall deposit (or cause to be deposited) with the Paying Agent cash in an amount sufficient to pay the aggregate Merger Consideration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if applicable, any amounts to be paid to Non-Employee Equity Award Holders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(such cash being hereinafter referred to as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The Payment Fund shall not be used for any purpose other than to fund payments due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if applicable), except as provided in this Agreement. Parent, on behalf of the Surviving Corporation, shall pay all charges and expenses of the Paying Agent incurred in connection with the exchange of Shares for the Merger Consideration and other amounts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after the Effective Time and in any event not later than the third Business Day following the Effective Time, Parent shall cause the Paying Agent to mail to each holder of record of an outstanding certificate or outstanding certificates that immediately prior to the Effective Time represented outstanding Shares that were converted into the right to receive the Merger Consideration with respect thereto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 a form of letter of transmittal in customary form and reasonably acceptable to each of Parent and the Company (which shall specify that delivery shall be effected, and risk of loss and title to the Certificates held by such Person shall pass, only upon proper delivery of the Certificates to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4" w:name="page25"/>
    <w:bookmarkEnd w:id="2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Paying Agent) and (ii) instructions for use in effecting the surrender of such Certificates in exchange for the Merger Consideration. Upon surrender of a Certificate to the Paying Agent, together with such letter of transmittal, duly completed and validly executed in accordance with the instructions thereto, the holder of such Certificate shall be entitled to receive, in exchange therefor, the Merger Consideration for each Share formerly represented by such Certificate, and the Certificate so surrendered shall forthwith be cancelled. Promptly after the Effective Time and in any event not later than the third Business Day following the Effective Time, Parent shall cause the Paying Agent to issue and deliver to each holder of uncertificated Shares that immediately prior to the Effective Time represented issued and outstanding Shares that were converted into the right to receive the Merger Consideration with respect thereto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represented by book 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a check or wire transfer for the amount of the Merger Consideration in respect of such Book-Entry Shares, without such holder being required to deliver a Certificate or an executed letter of transmittal to the Paying Agent, and such Book-Entry Shares shall then be canceled. No interest will be paid or accrued for the benefit of holders of Certificates or Book-Entry Shares on the Merger Consideration payable in respect of such Certificates or Book-Entry Shares.</w:t>
      </w:r>
    </w:p>
    <w:p>
      <w:pPr>
        <w:spacing w:after="0" w:line="194" w:lineRule="exact"/>
        <w:rPr>
          <w:sz w:val="20"/>
          <w:szCs w:val="20"/>
          <w:color w:val="auto"/>
        </w:rPr>
      </w:pPr>
    </w:p>
    <w:p>
      <w:pPr>
        <w:ind w:right="20" w:firstLine="987"/>
        <w:spacing w:after="0" w:line="258"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the Certificate or Book-Entry Share surrendered or shall have established to the satisfaction of Parent that such Tax either has been paid or is not applicable.</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surrendered as contemplated by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each Certificate or Book-Entry Share shall be deemed at any time after the Effective Time to represent only the right to receive the Merger Consideration payable in respect of Shares theretofore represented by such Certificate or Book-Entry Shares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without any interest thereon.</w:t>
      </w:r>
    </w:p>
    <w:p>
      <w:pPr>
        <w:spacing w:after="0" w:line="175"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and the Company shall cooperate to establish procedures with the Paying Agent and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such that (i) if the Closing occurs at or prior to 8:30 a.m. (New York City time) on the Closing Date, the Paying Agent will transmit to DTC or its nominees on the Closing Date an amount in cash in immediately available funds equal to the number of Shares held of record by DTC or such nominee immediately prior to the Effective Time multiplied by the Offer Price (such amount, the “</w:t>
      </w:r>
      <w:r>
        <w:rPr>
          <w:rFonts w:ascii="Times New Roman" w:cs="Times New Roman" w:eastAsia="Times New Roman" w:hAnsi="Times New Roman"/>
          <w:sz w:val="18"/>
          <w:szCs w:val="18"/>
          <w:u w:val="single" w:color="auto"/>
          <w:color w:val="auto"/>
        </w:rPr>
        <w:t>DTC Payment</w:t>
      </w:r>
      <w:r>
        <w:rPr>
          <w:rFonts w:ascii="Times New Roman" w:cs="Times New Roman" w:eastAsia="Times New Roman" w:hAnsi="Times New Roman"/>
          <w:sz w:val="18"/>
          <w:szCs w:val="18"/>
          <w:color w:val="auto"/>
        </w:rPr>
        <w:t>”), and (ii) if the Closing occurs after 8:30 a.m. (New York City time) on the Closing Date, the Paying Agent will transmit to DTC or its nominee on the first Business Day after the Closing Date an amount in cash in immediately available funds equal to the DTC Payment.</w:t>
      </w:r>
    </w:p>
    <w:p>
      <w:pPr>
        <w:spacing w:after="0" w:line="187" w:lineRule="exact"/>
        <w:rPr>
          <w:rFonts w:ascii="Times New Roman" w:cs="Times New Roman" w:eastAsia="Times New Roman" w:hAnsi="Times New Roman"/>
          <w:sz w:val="18"/>
          <w:szCs w:val="18"/>
          <w:color w:val="auto"/>
        </w:rPr>
      </w:pPr>
    </w:p>
    <w:p>
      <w:pPr>
        <w:ind w:right="20" w:firstLine="987"/>
        <w:spacing w:after="0" w:line="256" w:lineRule="auto"/>
        <w:tabs>
          <w:tab w:leader="none" w:pos="1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paid upon the surrender for exchange of Certificates or Book-Entry Shares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deemed to have been paid in full satisfaction of all rights pertaining to the Shares formerly represented by such Certificates or Book-Entry Shares. At the Effective Time, the stock transfer books of the Company shall be closed and there shall be no further registration of transfers on the stock transfer books of the Surviving Corporation of the Shares that were outstanding immediately prior to the Effective Time. If, after the Effective Time, Certificates are presented to the Surviving Corporation or the Paying Agent for transfer or transfer is sought for Book-Entry Shares, such Certificates or Book-Entry Shares shall be canceled and exchanged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the case of Dissenting Shares.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Paying Agent shall invest any cash included in the Payment Fund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investment of such cash shall in all events be in short-term obligations of the United States of America with maturities of no more than 30 days or guaranteed by the United States of America and backed by the full faith and credit of the United States of America or in commercial paper obligations rated A-1 or P-1 or better by Moody’s Investors Service, Inc. or Standard &amp; Poor’s Corporation, respectively. If for any reason (including investment losses) the cash in the Payment Fund is insufficient to fully satisfy all of the payment obligations to be made in cash by the Paying Agent hereunder (but subject to</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Parent shall promptly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5" w:name="page26"/>
    <w:bookmarkEnd w:id="25"/>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deposit (or cause to be deposited) cash into the Payment Fund in an amount which is equal to the deficiency in the amount of cash required to fully satisfy such cash payment obligations. Any interest and other income resulting from such investments shall be the property of and payable to Parent. Nothing contained in this </w:t>
      </w:r>
      <w:r>
        <w:rPr>
          <w:rFonts w:ascii="Times New Roman" w:cs="Times New Roman" w:eastAsia="Times New Roman" w:hAnsi="Times New Roman"/>
          <w:sz w:val="18"/>
          <w:szCs w:val="18"/>
          <w:u w:val="single" w:color="auto"/>
          <w:color w:val="auto"/>
        </w:rPr>
        <w:t>Section 3.3(g)</w:t>
      </w:r>
      <w:r>
        <w:rPr>
          <w:rFonts w:ascii="Times New Roman" w:cs="Times New Roman" w:eastAsia="Times New Roman" w:hAnsi="Times New Roman"/>
          <w:sz w:val="18"/>
          <w:szCs w:val="18"/>
          <w:color w:val="auto"/>
        </w:rPr>
        <w:t xml:space="preserve"> and no investment losses resulting from the investment of the Payment Fund shall diminish the rights of the Company equityholders entitled to payment of the Merger Consideration.</w:t>
      </w:r>
    </w:p>
    <w:p>
      <w:pPr>
        <w:spacing w:after="0" w:line="180" w:lineRule="exact"/>
        <w:rPr>
          <w:sz w:val="20"/>
          <w:szCs w:val="20"/>
          <w:color w:val="auto"/>
        </w:rPr>
      </w:pPr>
    </w:p>
    <w:p>
      <w:pPr>
        <w:ind w:right="20" w:firstLine="987"/>
        <w:spacing w:after="0" w:line="254"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date that is 12 months after the Effective Time, the Paying Agent shall deliver to Parent any funds (including any interest received with respect thereto) which have been made available to the Paying Agent and which have not been disbursed to holders of Certificates or Book-Entry Shares, and thereafter such holders (other than holders of Dissenting Shares) shall be entitled to look to Parent and the Surviving Corporation (subject to abandoned property, escheat or other similar Laws) only as general creditors thereof with respect to the Merger Consideration payable upon due surrender of their Certificate or Book-Entry Shares. Any amounts remaining unclaimed by holders of Shares at such time at which such amounts would otherwise escheat to or become property of any Governmental Entity shall become, to the extent permitted by applicable Law, the property of Parent free and clear of any claims or interest of any Person previously entitled thereto. Notwithstanding anything herein to the contrary, neither Parent nor the Surviving Corporation shall be liable to any holder of any Certificate or to any other Person with respect to any amounts delivered to any public official pursuant to any applicable abandoned property Law, escheat Law or similar Law.</w:t>
      </w:r>
    </w:p>
    <w:p>
      <w:pPr>
        <w:spacing w:after="0" w:line="188" w:lineRule="exact"/>
        <w:rPr>
          <w:rFonts w:ascii="Times New Roman" w:cs="Times New Roman" w:eastAsia="Times New Roman" w:hAnsi="Times New Roman"/>
          <w:sz w:val="18"/>
          <w:szCs w:val="18"/>
          <w:color w:val="auto"/>
        </w:rPr>
      </w:pPr>
    </w:p>
    <w:p>
      <w:pPr>
        <w:ind w:right="40" w:firstLine="987"/>
        <w:spacing w:after="0" w:line="258"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Certificate shall have been lost, stolen or destroyed, upon the holder’s compliance with the replacement requirements established by the Paying Agent, including in Parent or the Paying Agent’s discretion, as a condition precedent to the payment of any Merger Consideration, requiring such Person to provide an appropriate affidavit and the posting by such Person of a bond in customary amount as indemnity against any claim that may be made against the Paying Agent, Parent or the Surviving Corporation with respect to such Certificate, the Paying Agent will deliver in exchange for such lost, stolen or destroyed Certificate, any Merger Consideration payable in respect thereof pursuant to this Agreement.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Other Closing Payments</w:t>
      </w:r>
      <w:r>
        <w:rPr>
          <w:rFonts w:ascii="Times New Roman" w:cs="Times New Roman" w:eastAsia="Times New Roman" w:hAnsi="Times New Roman"/>
          <w:sz w:val="18"/>
          <w:szCs w:val="18"/>
          <w:color w:val="auto"/>
        </w:rPr>
        <w:t>. At the Effective Time or as promptly as practicable thereafter, Parent shall deposit, or cause to be deposited, with the Paying Agent cash sufficient to pay the aggregate Company Equity Award Cash Consideration to each holder of Company Equity Awards (collectively, the “</w:t>
      </w:r>
      <w:r>
        <w:rPr>
          <w:rFonts w:ascii="Times New Roman" w:cs="Times New Roman" w:eastAsia="Times New Roman" w:hAnsi="Times New Roman"/>
          <w:sz w:val="18"/>
          <w:szCs w:val="18"/>
          <w:u w:val="single" w:color="auto"/>
          <w:color w:val="auto"/>
        </w:rPr>
        <w:t>Equity Award Holders</w:t>
      </w:r>
      <w:r>
        <w:rPr>
          <w:rFonts w:ascii="Times New Roman" w:cs="Times New Roman" w:eastAsia="Times New Roman" w:hAnsi="Times New Roman"/>
          <w:sz w:val="18"/>
          <w:szCs w:val="18"/>
          <w:color w:val="auto"/>
        </w:rPr>
        <w:t>”) who is not an employee of the Company for employment tax purposes and was not an employee of the Company on the date the applicable Company Equity Award was granted (a “</w:t>
      </w:r>
      <w:r>
        <w:rPr>
          <w:rFonts w:ascii="Times New Roman" w:cs="Times New Roman" w:eastAsia="Times New Roman" w:hAnsi="Times New Roman"/>
          <w:sz w:val="18"/>
          <w:szCs w:val="18"/>
          <w:u w:val="single" w:color="auto"/>
          <w:color w:val="auto"/>
        </w:rPr>
        <w:t>Non-Employee Equity Award Holder</w:t>
      </w:r>
      <w:r>
        <w:rPr>
          <w:rFonts w:ascii="Times New Roman" w:cs="Times New Roman" w:eastAsia="Times New Roman" w:hAnsi="Times New Roman"/>
          <w:sz w:val="18"/>
          <w:szCs w:val="18"/>
          <w:color w:val="auto"/>
        </w:rPr>
        <w:t xml:space="preserve">”). In such case, Parent shall deposit with the Paying Agent (in accordance with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and shall cause the Paying Agent to make payment of such Company Equity Award Cash Consideration to Non-Employee Equity Award Holders in the manner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with the provisions of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3.3(i)</w:t>
      </w:r>
      <w:r>
        <w:rPr>
          <w:rFonts w:ascii="Times New Roman" w:cs="Times New Roman" w:eastAsia="Times New Roman" w:hAnsi="Times New Roman"/>
          <w:sz w:val="18"/>
          <w:szCs w:val="18"/>
          <w:color w:val="auto"/>
        </w:rPr>
        <w:t xml:space="preserve"> applying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of Company Equity Award Cash Consideration (and any other consideration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 respect of such Company Equity Awards) to such Non-Employee Equity Award Holder. Payment of Company Equity Award Cash Consideration to Equity Award Holders other than Non-Employee Equity Award Holders shall be made through the payroll or equity award maintenance systems of the Surviving Corporation, without interest, and subject to deduction for any required withholding Tax.</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issued and outstanding immediately prior to the Effective Time that are held by any holder who is entitled to demand and properly demands appraisal of such Shares pursuant to Section 262 of the DGCL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Merger Consideration, unless and until such holder shall have failed to perfect, or shall have effectively withdrawn or lost, such holder’s right to appraisal under the DGCL, but shall, at the Effective Time, by virtue of the Merger, no longer be outstanding and shall automatically be cancelled and shall cease to exist, and each holder of Dissenting Shares shall cease to have any rights with respect thereto, except the right to receive the “fair value” of such Dissenting Shares in accordance with Section 262 of the DGCL. If any such holder fails to perfect or withdraws or loses any such right to appraisal, each such Share of such holder shall thereupon be converted into and become exchangeable only for the right to receive, as of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6" w:name="page27"/>
    <w:bookmarkEnd w:id="26"/>
    <w:p>
      <w:pPr>
        <w:ind w:left="4" w:right="3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later of the Effective Time and the time that such right to appraisal has been irrevocably lost, withdrawn or expired, the Merger Consideration in accordance with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The Company shall give Parent: (i) prompt written notice of (A) any demand for appraisal under Section 262 of the DGCL received by the Company prior to the Effective Time; (B) any withdrawal or attempted withdrawal of any such demand for appraisal; and</w:t>
      </w:r>
    </w:p>
    <w:p>
      <w:pPr>
        <w:spacing w:after="0" w:line="2" w:lineRule="exact"/>
        <w:rPr>
          <w:sz w:val="20"/>
          <w:szCs w:val="20"/>
          <w:color w:val="auto"/>
        </w:rPr>
      </w:pPr>
    </w:p>
    <w:p>
      <w:pPr>
        <w:ind w:left="284" w:hanging="284"/>
        <w:spacing w:after="0"/>
        <w:tabs>
          <w:tab w:leader="none" w:pos="2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demand, notice or instrument delivered to the Company prior to the Effective Time pursuant to the DGCL; and (ii) a reasonable</w:t>
      </w:r>
    </w:p>
    <w:p>
      <w:pPr>
        <w:spacing w:after="0" w:line="9"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participate in all negotiations and proceedings with respect to any such demands. The Company shall not, without the prior written consent of Parent, make any payment with respect to, or compromise or settle (or offer to do any of the foregoing), any such demands. Each holder of Dissenting Shares who becomes entitled under Section 262 of the DGCL to receive payment of the “fair value” of such holder’s Dissenting Shares shall, after the amount of such payment shall have been finally determined pursuant to the DGCL, receive such payment from the Parent or the Surviving Corporation after giving effect to any withholdings or deductions required by applicable Law.</w:t>
      </w:r>
    </w:p>
    <w:p>
      <w:pPr>
        <w:spacing w:after="0" w:line="18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in this Agreement, each of the Paying Agent, Merger Sub, Parent and the Surviving Corporation shall be entitled to deduct and withhold from all payments made in connection with this Agreement such amounts as are required to be deducted or withheld under the Code or any provision of state, local or foreign tax Law or under any other applicable Law. To the extent such amounts are so deducted or withheld, such amounts shall be treated for all purposes under this Agreement as having been paid to the Person to whom such amounts would otherwise have been paid.</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Except (a) as disclosed or reflected in the Company SEC Documents filed and publicly available on the SEC EDGAR database since January 1,</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2023 and prior to the date of this Agreement (but without giving effect to any amendment to any such document filed on or after the date of this Agreement) (each, an “</w:t>
      </w:r>
      <w:r>
        <w:rPr>
          <w:rFonts w:ascii="Times New Roman" w:cs="Times New Roman" w:eastAsia="Times New Roman" w:hAnsi="Times New Roman"/>
          <w:sz w:val="18"/>
          <w:szCs w:val="18"/>
          <w:u w:val="single" w:color="auto"/>
          <w:color w:val="auto"/>
        </w:rPr>
        <w:t>Available Company SEC Document</w:t>
      </w:r>
      <w:r>
        <w:rPr>
          <w:rFonts w:ascii="Times New Roman" w:cs="Times New Roman" w:eastAsia="Times New Roman" w:hAnsi="Times New Roman"/>
          <w:sz w:val="18"/>
          <w:szCs w:val="18"/>
          <w:color w:val="auto"/>
        </w:rPr>
        <w:t xml:space="preserve">”), other than any information that is contained under the captions “Risk Factors” or “Forward-Looking Statements” or other similar cautionary or forward-looking disclosures (other than any historical factual information contained within such sections or statements), if the relevance of such information as an exception to (or a disclosure for purposes of) any representation of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reasonably apparent on its face, or (b) as set forth in the disclosure letter delivered by the Company to Parent prior to the execution and delivery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agreed that disclosure of any information in a particular section or subsection of the Company Disclosure Letter shall be deemed disclosure with respect to any other section or subsection of this Agreement to which the relevance of such information is reasonably apparent on its face), the Company represents and warrants to Parent and Merger Sub as follows:</w:t>
      </w:r>
    </w:p>
    <w:p>
      <w:pPr>
        <w:spacing w:after="0" w:line="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4"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 corporation duly organized, validly existing and in good standing (with respect to jurisdictions that recognize such concept) under the Laws of the jurisdiction of its organization, (ii) has all requisite corporate power and authority to own, lease and operate its properties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for such qualification or licensing, the lack of which, would not, individually or in the aggregate, have a Material Adverse Effect, and possesses all governmental franchises, licenses, permits, authorizations and approvals necessary to enable it to own, operate and lease its properties and to carry on its business as now conducted, except for such franchises, licenses, permits, authorizations and approvals, the lack of which,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of the Company (i) is a corporation, limited liability company, limited partnership or other legal entity duly organized, validly existing and in good standing (with respect 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7" w:name="page28"/>
    <w:bookmarkEnd w:id="2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jurisdictions that recognize such concept)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for such qualification or licensing, the lack of which, would not, individually or in the aggregate, have a Material Adverse Effect, and possesses all governmental franchises, licenses, permits, authorizations and approvals necessary to enable it to own, operate and lease its properties and to carry on its business as now conducted, except for such franchises, licenses, permits, authorizations and approvals, the lack of which, would not, individually or in the aggregate, have a Material Adverse Effect.</w:t>
      </w:r>
    </w:p>
    <w:p>
      <w:pPr>
        <w:spacing w:after="0" w:line="192" w:lineRule="exact"/>
        <w:rPr>
          <w:sz w:val="20"/>
          <w:szCs w:val="20"/>
          <w:color w:val="auto"/>
        </w:rPr>
      </w:pPr>
    </w:p>
    <w:p>
      <w:pPr>
        <w:ind w:left="4" w:right="20" w:firstLine="987"/>
        <w:spacing w:after="0" w:line="261"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and complete, in all material respects, copies of the certificate of incorporation and bylaws of the Company, each as amended to the date of this Agreement, and each is in full force and effect. The Company is not in violation of any provision of the Company’s Organizational Documents. The Company has made available to Parent true and complete, in all material respects, copies of the Organizational Documents of each of the Company’s Subsidiaries, each as amended to the date of this Agreement.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7"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the Company consists of (i) 40,000,000 Shares and (ii) 1,000,000 shares of preferred stock, par value $0.10 per share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As of the close of business on October 26, 2026 (the “</w:t>
      </w:r>
      <w:r>
        <w:rPr>
          <w:rFonts w:ascii="Times New Roman" w:cs="Times New Roman" w:eastAsia="Times New Roman" w:hAnsi="Times New Roman"/>
          <w:sz w:val="17"/>
          <w:szCs w:val="17"/>
          <w:u w:val="single" w:color="auto"/>
          <w:color w:val="auto"/>
        </w:rPr>
        <w:t>Measurement Date</w:t>
      </w:r>
      <w:r>
        <w:rPr>
          <w:rFonts w:ascii="Times New Roman" w:cs="Times New Roman" w:eastAsia="Times New Roman" w:hAnsi="Times New Roman"/>
          <w:sz w:val="17"/>
          <w:szCs w:val="17"/>
          <w:color w:val="auto"/>
        </w:rPr>
        <w:t xml:space="preserve">”), (A) 16,664,312 Shares were issued and outstanding (not including 29,543 shares of Company Restricted Stock, 2,167 of which are vested but have not yet been issued), all of which were duly authorized and validly issued, fully paid and nonassessable and were free of preemptive rights, (B) no shares of Preferred Stock were issued and outstanding, (C) no Shares and no shares of Preferred Stock were held by the Company in its treasury, (D) there were outstanding Company Stock Options to purchase 845,072 Shares, at a weighted average exercise price of $6.78 per Share and (E) 2,606,463 Shares were reserved for future issuance under the Company Stock Plans (including upon exercise of the Company Stock Options). All Shares that may be issued pursuant to any Company Stock Plan or as contemplated or permitted by this Agreement will be, when issued in accordance with the respective terms thereof, duly authorized and validly issued, fully paid and nonassessable and free of preemptive rights. All outstanding securities of the Company have been offered and issued in compliance in all material respects with the Securities Act. The Company has made available to Parent true and complete copies of the Company Stock Plans and the forms of stock option and restricted stock agreements evidencing the Company Equity Awards.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of the Company Disclosure Letter sets forth, as of the close of business on the Measurement Date, a true and complete list of each outstanding Company Equity Award and, to the extent applicable, the name of the holder thereof, the number of Shares issuable thereunder or subject thereto, the expiration date, the exercise or conversion price relating thereto, the grant or issuance date, whether it is subject to performance-based vesting, the amount vested and outstanding and the amount unvested and outstanding and the Company Stock Plan. The 2014 Long-Term Incentive Plan and the 2024 Long-Term Incentive Plan are the only plans or programs the Company or any of its Subsidiaries has maintained under which stock options, restricted stock, restricted stock units, performance-based restricted stock units, performance shares, stock appreciation rights or other compensatory equity or equity-based awards have been granted and remain outstanding or may be granted. Since the Measurement Date, the Company has not granted any options, restricted stock, restricted stock units, performance-based restricted stock units, performance shares, stock appreciation rights or other compensatory equity or equity-based awards or entered into any other agreements or commitments to issue any shares of its capital stock, or granted any other awards in respect of any shares of its capital stock. Except as set forth above and except for changes since the Measurement Date resulting from the exercise or settlement of Company Equity Awards, in each case, that are outstanding on such date, since the Measurement Date, the Company has not (1) authorized the creation or issuance of, or issued or authorized or effected any split-up or any other recapitalization of, any (x) shares of capital stock or other voting securities of the Company,</w:t>
      </w:r>
    </w:p>
    <w:p>
      <w:pPr>
        <w:spacing w:after="0" w:line="20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the Company convertible into 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8" w:name="page29"/>
    <w:bookmarkEnd w:id="28"/>
    <w:p>
      <w:pPr>
        <w:ind w:left="4"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exchangeable for shares of capital stock or voting securities of the Company or (z) options or other rights to acquire from the Company, and no obligation of the Company to issue, any capital stock, voting securities or securities convertible into or exchangeable for capital stock or voting securities of the Company, (2) directly or indirectly purchased, repurchased, redeemed or otherwise acquired any capital stock, voting securities or securities convertible into or exchangeable for capital stock or voting securities of the Company or (3) granted any options, restricted stock, restricted stock units, stock appreciation rights, calls, warrants or other rights, awards, agreements, arrangements or commitments of any character relating to the issued or unissued capital stock (or, in the case of any Subsidiary that is a limited liability company or similar entity, the paid or unpaid registered capital) of the Company or any of its Subsidiaries. The Company has not heretofore agreed to take any such action, and there are no outstanding contractual obligations of the Company of any kind to redeem, purchase or otherwise acquire any outstanding shares of capital stock of the Company. Other than the Shares, there are no outstanding bonds, debentures, notes, or other indebtedness or securities of the Company having the right to vote on any matters on which stockholders of the Company may vote. Neither the Company nor any of its Subsidiaries is a party to any voting agreement with respect to any Company securities or securities of any wholly-owned Subsidiary of the Company.</w:t>
      </w:r>
    </w:p>
    <w:p>
      <w:pPr>
        <w:spacing w:after="0" w:line="192" w:lineRule="exact"/>
        <w:rPr>
          <w:sz w:val="20"/>
          <w:szCs w:val="20"/>
          <w:color w:val="auto"/>
        </w:rPr>
      </w:pPr>
    </w:p>
    <w:p>
      <w:pPr>
        <w:ind w:left="4" w:right="20" w:firstLine="987"/>
        <w:spacing w:after="0" w:line="268" w:lineRule="auto"/>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the second sentence of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(i) as of the Measurement Date, no shares of capital stock or other voting securities of the Company are issued, reserved for issuance or outstanding, (ii) there are no outstanding securities, options, warrants, calls, rights, commitments, agreements, arrangements or undertakings of any kind to which the Company or any of its Subsidiaries is a party or by which any of them is bound obligating the Company or any of its Subsidiaries to issue, deliver or sell, or cause to be issued, delivered or sold, additional shares of capital stock or other voting securities, or increase the registered capital, of the Company or any of its Subsidiaries or obligating the Company or any of its Subsidiaries to issue, grant, extend or enter into any such security, option, warrant, call, right, commitment, agreement, arrangement or undertaking, and</w:t>
      </w:r>
    </w:p>
    <w:p>
      <w:pPr>
        <w:spacing w:after="0" w:line="4"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obligations by the Company to make any payments based on the price or value of its capital stock.</w:t>
      </w:r>
    </w:p>
    <w:p>
      <w:pPr>
        <w:spacing w:after="0" w:line="206"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 sets forth a true, correct, and complete list of all Subsidiaries of the Company and their respective jurisdictions of organization, and, except for the Subsidiaries set forth on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 neither the Company nor any of its Subsidiaries directly or indirectly owns, of record or beneficially, any equity interest, capital stock or other ownership interest in, or is under any current or prospective obligation to form or participate in, provide funds to, make any loan, capital contribution or other investment in or assume any liability of, any Person. Each of the outstanding shares of capital stock or other equity securities of, or other ownership interests in, each of the Company’s Subsidiaries is duly authorized, validly issued, fully paid and nonassessable (to the extent the entity is a corporate entity) and, except as set forth on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 all such shares, securities or interests are owned by the Company or another wholly-owned Subsidiary of the Company (other than, in the case of the Indian JV, the Indian Promoter Shares) and are owned free and clear of all security interests, liens, licenses, claims, pledges, hypothecations, mortgages, infringements, interferences, options, rights of first refusal, preemptive rights, community property interests, agreements, limitations in voting rights, charges or other encumbrances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other than under applicable Law or as set forth in the Organizational Documents of such Subsidiaries or, in the case of the Indian JV, the JV Agreement. There are no subscriptions, options, warrants, calls, rights, convertible securities or other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Subsidiary of the Company .</w:t>
      </w:r>
    </w:p>
    <w:p>
      <w:pPr>
        <w:spacing w:after="0" w:line="19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xml:space="preserve"> of the Company Disclosure Letter, the Company has not agreed to register any securities under the Securities Act or under any provincial or state securities Laws or granted any registration rights to any Person that remain in effect. All dividends and distributions on the Shares that have been declared prior to the date of this Agreement have been paid in full.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29" w:name="page30"/>
    <w:bookmarkEnd w:id="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3"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and all other agreements and documents contemplated hereby to which it is a party, to perform its obligations hereunder and thereunder and to consummate the transactions contemplated hereby and thereby. The execution, delivery and performance of this Agreement by the Company and the consummation by the Company of the transactions contemplated hereby have been duly authorized by all necessary corporate action on the part of the Company (including by the Company Board) and no other corporate proceedings on the part of the Company or any of its Subsidiaries are necessary to authorize and approve the execution and delivery of this Agreement, the performance by the Company of its obligations hereunder, and the consummation by the Company of the transactions contemplated hereby, subject in the case of the consummation of the Merger, to the filing of the Certificate of Merger with the Secretary of State of the State of Delaware as required by the DGCL.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9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has duly and unanimously (i) determined that the transactions contemplated by this Agreement, including the Offer and the Merger, are advisable and fair to, and in the best interests of, the Company and its stockholders,</w:t>
      </w:r>
    </w:p>
    <w:p>
      <w:pPr>
        <w:ind w:left="4" w:right="260" w:hanging="4"/>
        <w:spacing w:after="0" w:line="265" w:lineRule="auto"/>
        <w:tabs>
          <w:tab w:leader="none" w:pos="26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and declared advisable this Agreement and the transactions contemplated by this Agreement, including the Offer and the Merger, on the terms and subject to the conditions set forth in this Agreement, (iii) resolved that the Merger will be effected under Section 251(h) of the DGCL and</w:t>
      </w:r>
    </w:p>
    <w:p>
      <w:pPr>
        <w:ind w:left="4" w:right="540" w:hanging="4"/>
        <w:spacing w:after="0" w:line="260" w:lineRule="auto"/>
        <w:tabs>
          <w:tab w:leader="none" w:pos="3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make the Company Recommendation, which resolutions have not been, as of the date of this Agreement, subsequently rescinded, modified or withdrawn in any way.</w:t>
      </w:r>
    </w:p>
    <w:p>
      <w:pPr>
        <w:spacing w:after="0" w:line="181"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transactions contemplated by this Agreement are consummated in accordance with Section 251(h) of the DGCL, no vote or consent of the holders of any class or series of the Company’s capital stock or other securities is required to authorize this Agreement or to consummate the Offer, the Merger and the other transactions contemplated hereby.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55"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Company Disclosure Letter, the execution, delivery and performance of this Agreement by the Company, the consummation by the Company of the transactions contemplated hereby, and the compliance by the Company with any of the provisions herein, do not and will not (i) conflict with, breach or violate the Company’s Organizational Documents or the Organizational Documents of any of the Company’s Subsidiaries, (ii) assuming that all consents, approvals and authorizations contemplated by clauses (i) through (vi) of</w:t>
      </w:r>
    </w:p>
    <w:p>
      <w:pPr>
        <w:spacing w:after="0" w:line="2"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below have been obtained and all filings described in such clauses have been made, conflict with or violate any federal, state, local, municipal, foreign or other law, statute, constitution, principle of common law, resolution, ordinance, code, edict, ruling, bylaw, official standard or similar requirement issued, enacted, adopted, promulgated, implemented or otherwise put into effect by or under the authority of any Governmental Entity, or any other rule, regulation, order, judgment, injunction, writ, or decree (collectively,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applicable to the Company or any of its Subsidiaries or by which any of their respective properties or assets are bound or (iii) result in any breach or violation of, or constitute a default (or an event which with notice or lapse of time or both would become or constitute a default), or result in the loss of a benefit under, or give rise to any right of termination, cancellation, amendment or acceleration of, any note, bond, mortgage, indenture, contract, subcontract, agreement, lease, license, permit, understanding, option, warranty, insurance policy, benefit plan, instrument, obligation or other legally binding commitment, in each case whether written or oral (each,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to which the Company or any of its Subsidiaries is a party or by which the Company or any of its Subsidiaries or any of their respective properties or assets are bound, except, in the case of clauses (ii) and (iii), for any such conflict, breach, violation, default, loss, right or other occurrence that would not, individually or in the aggregate, have a Material Adverse Effect.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0" w:name="page31"/>
    <w:bookmarkEnd w:id="30"/>
    <w:p>
      <w:pPr>
        <w:ind w:left="4" w:right="40" w:firstLine="987"/>
        <w:spacing w:after="0" w:line="266" w:lineRule="auto"/>
        <w:tabs>
          <w:tab w:leader="none" w:pos="125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of this Agreement by the Company, and the consummation by the Company of the transactions contemplated hereby, do not and will not require any consent, approval, order, authorization or permit of, action by, registration, declaration or filing with or notification to, any (i) country, nation, state, multi-national or supra-national authority, commonwealth, province, territory, county, municipality, district or other jurisdiction of any nature, (ii) multi-national, supra-national, federal, state, local, municipal, foreign or other government, or (iii) governmental or quasi-governmental authority of any nature, including any regulatory (including stock exchange) or administrative authority, association, counsel or bureau, department, agency, division, instrumentality, official, organization, unit or self-regulatory organization, body or entity and any court, tribunal, judicial, arbitral, or other governmental body of competent jurisdiction (clauses (i) through (iii), each a “</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except for (i) such filings as may be required under applicable requirements of the Exchange Act, and under state securities, “blue sky” and Takeover Laws, including the filing with the SEC of (x) the Schedule 14D-9 and (y) any information statement required in connection with the Offer under Rule 14f-1 under the Exchange Act, (ii) the filings required under the Hart-Scott-Rodino Antitrust Improvements Act of 1976, as amended (the “</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the United Kingdom National Security and Investment Act 2021 (“</w:t>
      </w:r>
      <w:r>
        <w:rPr>
          <w:rFonts w:ascii="Times New Roman" w:cs="Times New Roman" w:eastAsia="Times New Roman" w:hAnsi="Times New Roman"/>
          <w:sz w:val="17"/>
          <w:szCs w:val="17"/>
          <w:u w:val="single" w:color="auto"/>
          <w:color w:val="auto"/>
        </w:rPr>
        <w:t>NSIA</w:t>
      </w:r>
      <w:r>
        <w:rPr>
          <w:rFonts w:ascii="Times New Roman" w:cs="Times New Roman" w:eastAsia="Times New Roman" w:hAnsi="Times New Roman"/>
          <w:sz w:val="17"/>
          <w:szCs w:val="17"/>
          <w:color w:val="auto"/>
        </w:rPr>
        <w:t>”) and any filings required under the applicable requirements of antitrust or other competition Laws of jurisdictions other than the United States (“</w:t>
      </w:r>
      <w:r>
        <w:rPr>
          <w:rFonts w:ascii="Times New Roman" w:cs="Times New Roman" w:eastAsia="Times New Roman" w:hAnsi="Times New Roman"/>
          <w:sz w:val="17"/>
          <w:szCs w:val="17"/>
          <w:u w:val="single" w:color="auto"/>
          <w:color w:val="auto"/>
        </w:rPr>
        <w:t>Foreign Antitrust Laws</w:t>
      </w:r>
      <w:r>
        <w:rPr>
          <w:rFonts w:ascii="Times New Roman" w:cs="Times New Roman" w:eastAsia="Times New Roman" w:hAnsi="Times New Roman"/>
          <w:sz w:val="17"/>
          <w:szCs w:val="17"/>
          <w:color w:val="auto"/>
        </w:rPr>
        <w:t>”), (iii) such filings as necessary to comply with the applicable requirements and rules of NASDAQ, (iv) the filings required under any Applicable Regulatory Laws, (v) compliance with the DGCL (including with respect to the filing with the Secretary of State of the State of Delaware of the Certificate of Merger as required by the DGCL), and</w:t>
      </w:r>
    </w:p>
    <w:p>
      <w:pPr>
        <w:spacing w:after="0" w:line="9" w:lineRule="exact"/>
        <w:rPr>
          <w:rFonts w:ascii="Times New Roman" w:cs="Times New Roman" w:eastAsia="Times New Roman" w:hAnsi="Times New Roman"/>
          <w:sz w:val="17"/>
          <w:szCs w:val="17"/>
          <w:color w:val="auto"/>
        </w:rPr>
      </w:pPr>
    </w:p>
    <w:p>
      <w:pPr>
        <w:ind w:left="4" w:right="260" w:hanging="4"/>
        <w:spacing w:after="0" w:line="260"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consent, approval, authorization, waiver, permit, action, nonaction, registration, declaration, filing or notification the failure of which to make or obtain would not, individually or in the aggregate, have a Material Adverse Effect.</w:t>
      </w:r>
    </w:p>
    <w:p>
      <w:pPr>
        <w:spacing w:after="0" w:line="181"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opted out of Section 251(h) of the DGCL in the certificate of incorporation of the Company or taken any other action to preclude the use by the Company of Section 251(h) of the DGCL.</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otherwise transmitted all forms, reports, schedules, statements (including registration statements and definitive proxy statements), certifications and other documents (including all exhibits, amendments and supplements thereto and all information incorporated by reference) required to be filed or furnished by it with the SEC since January 1, 2023 (all such forms, reports, schedules, statements, certificates and other documents (including all exhibits, amendments and supplements thereto and all information incorporated by reference) filed or furnished since January 1, 2023, and prior to the date of this Agreement,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and giving effect to any amendments or supplements thereto filed prior to the date of this Agreement, each of the Company SEC Documents complied as to form in all material respects with the applicable requirements of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Exchange Act, as the case may be, each as in effect on the date so filed. As of their respective filing dates (or, if amended or superseded by a subsequent filing prior to the date of this Agreement, as of the date of such amendment or superseding filing), none of the Company SEC Documents contained any untrue statement of a material fact or omitted to state a material fact required to be stated or incorporated by reference therein or necessary in order to make the statements therein, in the light of the circumstances under which they were made, not misleading. None of the Subsidiaries of the Company is required to file any forms, reports or other documents with the SEC pursuant to Sections 13 or 15 of the Exchange Act.</w:t>
      </w:r>
    </w:p>
    <w:p>
      <w:pPr>
        <w:spacing w:after="0" w:line="187" w:lineRule="exact"/>
        <w:rPr>
          <w:rFonts w:ascii="Times New Roman" w:cs="Times New Roman" w:eastAsia="Times New Roman" w:hAnsi="Times New Roman"/>
          <w:sz w:val="18"/>
          <w:szCs w:val="18"/>
          <w:color w:val="auto"/>
        </w:rPr>
      </w:pPr>
    </w:p>
    <w:p>
      <w:pPr>
        <w:ind w:left="4" w:right="340" w:firstLine="987"/>
        <w:spacing w:after="0" w:line="258" w:lineRule="auto"/>
        <w:tabs>
          <w:tab w:leader="none" w:pos="12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sheets and the related consolidated statements of operations and comprehensive loss, changes in stockholders’ equity and cash flows (including, in each case, any related notes and schedules thereto) of the Company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included in the Company SEC Documents comply in all material respects with applicable accounting requirements and the published rules and regulations of the SEC with respect thereto, have been prepared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unaudited statements, as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1" w:name="page32"/>
    <w:bookmarkEnd w:id="3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by Form 10-Q of the SEC) applied on a consistent basis throughout the periods involved (except as may be indicated in the notes thereto) and fairly present in all material respects the consolidated financial position of the Company and its Subsidiaries at the respective dates thereof and the results of their operations and cash flows for the periods indicated (subject, in the case of unaudited statements, to normal period-end adjustments). As of the date of this Agreement, the Company does not intend to correct or restate, and, to the knowledge of the Company, there is not any basis to restate, any of the audited financial statements or unaudited interim financial statements (including, in each case, the notes, if any, thereto) of the Company filed in or furnished with the Company SEC Documents.</w:t>
      </w:r>
    </w:p>
    <w:p>
      <w:pPr>
        <w:spacing w:after="0" w:line="187" w:lineRule="exact"/>
        <w:rPr>
          <w:sz w:val="20"/>
          <w:szCs w:val="20"/>
          <w:color w:val="auto"/>
        </w:rPr>
      </w:pPr>
    </w:p>
    <w:p>
      <w:pPr>
        <w:ind w:right="80" w:firstLine="987"/>
        <w:spacing w:after="0" w:line="261"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Annual Report on Form 10-K, each Quarterly Report on Form 10-Q and each amendment of any such report included in the Company SEC Documents filed since January 1, 2023, the principal executive officer and principal financial officer of the Company (or each former principal executive officer and each former principal financial officer of the Company) have made all certifications required by the Sarbanes-Oxley Act.</w:t>
      </w:r>
    </w:p>
    <w:p>
      <w:pPr>
        <w:spacing w:after="0" w:line="179" w:lineRule="exact"/>
        <w:rPr>
          <w:rFonts w:ascii="Times New Roman" w:cs="Times New Roman" w:eastAsia="Times New Roman" w:hAnsi="Times New Roman"/>
          <w:sz w:val="18"/>
          <w:szCs w:val="18"/>
          <w:color w:val="auto"/>
        </w:rPr>
      </w:pPr>
    </w:p>
    <w:p>
      <w:pPr>
        <w:ind w:firstLine="987"/>
        <w:spacing w:after="0" w:line="251"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defined in and required by Rule 13a-15 or 15d-15, as applicable, under the Exchange Act. Such disclosure controls and procedures are designed to ensure that (x) all information (both financial and nonfinancial) required to be disclosed by the Company in the reports that it files or submits with the SEC under the Exchange Act is recorded, processed, summarized and reported, in all material respects and on a timely basis, to the individuals responsible for the preparation of such reports within the time periods specified in the rules and forms of the SEC and (y) all such information is accumulated and communicated to the Company’s management or to other individuals responsible for preparing such reports as appropriate to allow timely decisions regarding required disclosure and to make the certifications of the principal executive officer and principal financial officer of the Company required under the Exchange Act with respect to such reports. The Company maintains internal control over financial reporting (as defined in Rule 13a-15 or 15d-15, as applicable, under the Exchange Act). Such internal control over financial reporting is designed and reasonably sufficient in all material respects to provide reasonable assurance (i) regarding the reliability of financial reporting and the preparation of financial statements for external purposes in accordance with GAAP, (ii) that transactions are recorded as necessary to permit preparation of financial statements in conformity with GAAP, (iii) that receipts and expenditures are executed in accordance, in all material respects, with the authorization of management and (iv) regarding prevention or timely detection of the unauthorized acquisition, use or disposition of the Company’s assets that would materially affect the Company Financial Statements. The Company has disclosed, based on the most recent evaluation of internal controls and its Chief Executive Officer and its Chief Financial Officer prior to the date of this Agreement, to the Company’s auditors and the audit committee of the Company Board (i) any significant deficiencies and material weaknesses in the design or operation of its internal controls over financial reporting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To the knowledge of the Company, any material change in internal control over financial reporting required to be disclosed in any Company SEC Document has been so disclosed. To the knowledge of the Company, none of the Company SEC Documents is the subject of ongoing SEC review and there are no inquiries or investigations by the SEC or any internal investigations pending or threatened in writing, in each case, regarding any accounting practices of the Company. The Company is not party to, nor has it entered into any Contract to become a party to, any joint venture, off-balance sheet partnership or any similar Contract or arrangement (including any Contract relating to any transaction or relationship between or among the Company, on the one hand, and any unconsolidated Affiliate, including any structured finance, special purpose or limited purpose entity or person, on the other hand, or any off-balance sheet arrangements), where the result, purpose or intended effect of such Contract is to avoid disclosure of any material transaction involving, or material liabilities of, the Company in the Company’s audited financial statements or other Company SEC Documents.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2" w:name="page33"/>
    <w:bookmarkEnd w:id="32"/>
    <w:p>
      <w:pPr>
        <w:ind w:left="4" w:right="280" w:firstLine="987"/>
        <w:spacing w:after="0" w:line="282"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in compliance in all material respects with all current listing and corporate governance requirements of NASDAQ, and is in compliance in all material respects with all rules, regulations and requirements of the Sarbanes-Oxley Act.</w:t>
      </w:r>
    </w:p>
    <w:p>
      <w:pPr>
        <w:spacing w:after="0" w:line="161" w:lineRule="exact"/>
        <w:rPr>
          <w:rFonts w:ascii="Times New Roman" w:cs="Times New Roman" w:eastAsia="Times New Roman" w:hAnsi="Times New Roman"/>
          <w:sz w:val="18"/>
          <w:szCs w:val="18"/>
          <w:color w:val="auto"/>
        </w:rPr>
      </w:pPr>
    </w:p>
    <w:p>
      <w:pPr>
        <w:ind w:left="4" w:firstLine="987"/>
        <w:spacing w:after="0" w:line="255" w:lineRule="auto"/>
        <w:tabs>
          <w:tab w:leader="none" w:pos="1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or unresolved comments from the SEC with respect to any Company SEC Document. Since January 1, 2023, none of the Company or any of its Subsidiaries, any director or officer of the Company or its Subsidiaries or, to the knowledge of the Company, any employee, auditor, accountant or Representative of the Company or any of its Subsidiaries has received any material written complaint, allegation, assertion or claim regarding the accounting or auditing practices, procedures, methodologies or methods of the Company or its Subsidiaries or its internal accounting controls, and, to the knowledge of the Company, no attorney representing the Company or its Subsidiaries has reported evidence of a material violation of securities Laws, breach of fiduciary duty or similar violation by the Company, the Company’s Subsidiaries or any of its officers, directors, employees or agents to the Company Board or any committee thereof.</w:t>
      </w:r>
    </w:p>
    <w:p>
      <w:pPr>
        <w:spacing w:after="0" w:line="18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Neither the Company nor any of its Subsidiaries has any liabilities or obligations of any nature, whether or not accrued, contingent or otherwise, that would be required by GAAP to be reflected on a consolidated balance sheet (or the notes thereto) of the Company and its Subsidiaries, except for liabilities and obligations (a) reflected or reserved against in the Company’s consolidated balance sheet as of the Balance Sheet Date (or the notes thereto) included in the Company Financial Statements, (b) incurred in the ordinary course of business since the Balance Sheet Date (which liabilities or obligations are not material, individually or in the aggregate), (c) as specifically contemplated by this Agreement, (d) which have been discharged or paid in full prior to the date of this Agreement, or (e) that are not, individually or in the aggregate, otherwise material to the Company.</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The Schedule 14D-9 will not, at the time it is first filed with the SEC, amended or supplemented or first published, distributed or disseminated to the Company’s stockholders, contain any untrue statement of a material fact or omit to state any material fact required to be stated therein or necessary to make the statements therein, in light of the circumstances under which they are made, not misleading. The Schedule 14D-9 will comply as to form and substance in all material respects with the applicable requirements of the Exchange Act. Notwithstanding the foregoing, the Company makes no representation or warranty with respect to statements included or incorporated by reference in the Schedule 14D-9 based on information supplied in writing by or on behalf of Parent or Merger Sub specifically for inclusion or incorporation by reference therein. None of the information supplied or to be supplied by or on behalf of the Company specifically for inclusion or incorporation by reference in the Offer Documents will, at the respective times they are first filed with the SEC, contain any untrue statement of a material fact or omit to state any material fact required to be stated therein or necessary to make the statements therein, in light of the circumstances under which they are made, not misleading. Notwithstanding the foregoing, the Company makes no representation or warranty with respect to statements included or incorporated by reference in the Offer Documents based on information supplied in writing by or on behalf of Parent or Merger Sub specifically for inclusion or incorporation by reference therein.</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Since December 31, 2025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through the date of this Agreement,</w:t>
      </w:r>
    </w:p>
    <w:p>
      <w:pPr>
        <w:spacing w:after="0" w:line="27" w:lineRule="exact"/>
        <w:rPr>
          <w:sz w:val="20"/>
          <w:szCs w:val="20"/>
          <w:color w:val="auto"/>
        </w:rPr>
      </w:pPr>
    </w:p>
    <w:p>
      <w:pPr>
        <w:ind w:left="4" w:right="60" w:hanging="4"/>
        <w:spacing w:after="0" w:line="255"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have been conducted in the ordinary course of business in all material respects (except for the execution and performance of this Agreement and the discussions and negotiations related thereto) and (ii) there has not occurred any Material Adverse Effect.</w:t>
      </w:r>
    </w:p>
    <w:p>
      <w:pPr>
        <w:spacing w:after="0" w:line="186"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Litigation; Orders</w:t>
      </w:r>
      <w:r>
        <w:rPr>
          <w:rFonts w:ascii="Times New Roman" w:cs="Times New Roman" w:eastAsia="Times New Roman" w:hAnsi="Times New Roman"/>
          <w:sz w:val="18"/>
          <w:szCs w:val="18"/>
          <w:color w:val="auto"/>
        </w:rPr>
        <w:t>. Except as would not, individually or in the aggregate, have a Material Adverse Effect, (a) there is no suit, claim, action, litigation, complaint, charge, proceeding (including any civil, criminal, administrative, investigative, or appellate proceeding), inquiry, audit, examination, arbitration or investigation commenced, brought, conducted or heard by or before, or otherwise involving, any court or other Governmental Entity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to the knowledge of the Company, threatened against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any of its Subsidiaries or any of their respective properties by or before any Governmental Entity and (b) neither the Company nor any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nor, to the knowledge of the Company, any of their properties is subject to any judgment, order, injunction, rule or decree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of any Governmental Entity. As of the date of this Agreement, there is no Action pending or, to the knowledge of the Company, threatened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the validity or enforceability of this Agreement or the Support Agreement or the right of the Company to enter into this Agreement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transactions contemplated hereby.</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is, and has been since January 1, 2023, in compliance with all Laws applicable to it or by which any of its properties or businesses are bound and, since January 1, 2023, neither the Company nor any of its Subsidiaries has been notified in writing by any Governmental Entity of any such violation, or any investigation with respect to any such Law, except in each case for any such non-compliance or violation that would not, individually or in the aggregate, have a Material Adverse Effect. The Company and its Subsidiaries have in effect all permits, licenses, exemptions, authorizations, franchises, orders, clearances, certificates, consents, registrations, concessions, approvals, and other authorizations required to have been obtained from, or filings required to have been made with, all Governmental Entities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for them to own, lease or operate their properties and to carry on their business as now conducted, except for any Permits the absence of which would not, individually or in the aggregate, have a Material Adverse Effect. All Permits are in full force and effect, except where the failure to be in full force and effect would not, individually or in the aggregate, have a Material Adverse Effect. As of the date of this Agreement, there are no Actions pending or, to the knowledge of the Company, threatened relating to the suspension, revocation, termination or material modification of any material Permit, and, to the knowledge of the Company, no material Permit will be impaired or otherwise adversely affected by the consummation of the transactions contemplated hereby.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82"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Company Disclosure Letter sets forth a true, correct and complete list of each Company Plan. Each material Company Plan that is maintained solely for the benefit of non-U.S. persons is indicated as a “Non-U.S. Plan” therein.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furnished to Parent a current, true and complete copy thereof (including any amendments thereto) and, to the extent</w:t>
      </w:r>
    </w:p>
    <w:p>
      <w:pPr>
        <w:spacing w:after="0" w:line="27" w:lineRule="exact"/>
        <w:rPr>
          <w:rFonts w:ascii="Times New Roman" w:cs="Times New Roman" w:eastAsia="Times New Roman" w:hAnsi="Times New Roman"/>
          <w:sz w:val="18"/>
          <w:szCs w:val="18"/>
          <w:color w:val="auto"/>
        </w:rPr>
      </w:pPr>
    </w:p>
    <w:p>
      <w:pPr>
        <w:ind w:right="8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applicable: (i) each Company plan document, (ii) any related trust agreement, insurance contract or other funding instrument that implements each Company Plan, (iii) the most recent determination, opinion or advisory letter from the Internal Revenue Service (the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(iv) the current summary plan description and any material modifications thereto, or any other equivalent written communications by the Company or its Subsidiaries to participants concerning the extent of the benefits provided under any Company Plan, (v) for the three most recent years (A) Form 5500 and all attached schedules, (B) audited financial statements and actuarial valuation reports, (C) non-discrimination testing results, as applicable, and (D) attorney’s response to an auditor’s request for information and (vi) all non-routine written notices given to such Company Plan, the Company, or any ERISA Affiliate by the IRS, Department of Labor, Pension Benefit Guaranty Corporation or other Governmental Entity relating to such Company Plan.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Plans:</w:t>
      </w:r>
    </w:p>
    <w:p>
      <w:pPr>
        <w:spacing w:after="0" w:line="117" w:lineRule="exact"/>
        <w:rPr>
          <w:rFonts w:ascii="Times New Roman" w:cs="Times New Roman" w:eastAsia="Times New Roman" w:hAnsi="Times New Roman"/>
          <w:sz w:val="18"/>
          <w:szCs w:val="18"/>
          <w:color w:val="auto"/>
        </w:rPr>
      </w:pPr>
    </w:p>
    <w:p>
      <w:pPr>
        <w:ind w:firstLine="1428"/>
        <w:spacing w:after="0" w:line="255" w:lineRule="auto"/>
        <w:tabs>
          <w:tab w:leader="none" w:pos="1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Company Plan has been established, operated and administered in accordance with its terms in all material respects and in compliance in all material respects with the applicable provisions of ERISA, the Code and other applicable Laws, rules and regulations, (B) no prohibited transaction, as described in Section 406 of ERISA or Section 4975 of the Code, or breach of fiduciary duty (as determined under ERISA) has occurred with respect to any Company Plan that would reasonably be expected to result in a material liability to the Company and (C) all payments, contributions, reimbursements, accruals, and premiums required to be made under the terms of any Company Plan for all periods ending prior to or as of the Closing that are due have been timely made within the periods prescribed by ERISA, the Code and applicable Law and all such contributions or payments ending on or prior to the date of this Agreement that are not yet due have been made or properly accrued in full;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4" w:name="page35"/>
    <w:bookmarkEnd w:id="34"/>
    <w:p>
      <w:pPr>
        <w:ind w:firstLine="1428"/>
        <w:spacing w:after="0" w:line="261" w:lineRule="auto"/>
        <w:tabs>
          <w:tab w:leader="none" w:pos="16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Company Plan intended to be qualified under Section 401(a) of the Code is so qualified and has received or by its form may reasonably rely upon a favorable determination, advisory and/or opinion letter, as applicable, from the IRS that it is so qualified (or the deadline for obtaining such a letter has not expired as of the date of this Agreement), and, to the knowledge of the Company, nothing has occurred and no condition exists that would reasonably be expected to cause the loss of such qualified status of any such Company Plan;</w:t>
      </w:r>
    </w:p>
    <w:p>
      <w:pPr>
        <w:spacing w:after="0" w:line="179" w:lineRule="exact"/>
        <w:rPr>
          <w:rFonts w:ascii="Times New Roman" w:cs="Times New Roman" w:eastAsia="Times New Roman" w:hAnsi="Times New Roman"/>
          <w:sz w:val="18"/>
          <w:szCs w:val="18"/>
          <w:color w:val="auto"/>
        </w:rPr>
      </w:pPr>
    </w:p>
    <w:p>
      <w:pPr>
        <w:ind w:right="60" w:firstLine="1428"/>
        <w:spacing w:after="0" w:line="258" w:lineRule="auto"/>
        <w:tabs>
          <w:tab w:leader="none" w:pos="17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(including any hearing, investigation, audit or other administrative proceeding) by the Department of Labor, the Pension Benefit Guaranty Corporation,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and there are no circumstances which would give rise to or be expected to give rise to any such Actions or liability;</w:t>
      </w:r>
    </w:p>
    <w:p>
      <w:pPr>
        <w:spacing w:after="0" w:line="183" w:lineRule="exact"/>
        <w:rPr>
          <w:rFonts w:ascii="Times New Roman" w:cs="Times New Roman" w:eastAsia="Times New Roman" w:hAnsi="Times New Roman"/>
          <w:sz w:val="18"/>
          <w:szCs w:val="18"/>
          <w:color w:val="auto"/>
        </w:rPr>
      </w:pPr>
    </w:p>
    <w:p>
      <w:pPr>
        <w:ind w:right="80" w:firstLine="1428"/>
        <w:spacing w:after="0" w:line="256" w:lineRule="auto"/>
        <w:tabs>
          <w:tab w:leader="none" w:pos="173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a “group health plan” (as such term is defined in Section 5000(b)(1) of the Code) has been administered and operated in all respects in compliance with the applicable requirements of the Patient Protection and Affordable Care Act of 2010 (the “</w:t>
      </w:r>
      <w:r>
        <w:rPr>
          <w:rFonts w:ascii="Times New Roman" w:cs="Times New Roman" w:eastAsia="Times New Roman" w:hAnsi="Times New Roman"/>
          <w:sz w:val="18"/>
          <w:szCs w:val="18"/>
          <w:u w:val="single" w:color="auto"/>
          <w:color w:val="auto"/>
        </w:rPr>
        <w:t>Affordable Care Act</w:t>
      </w:r>
      <w:r>
        <w:rPr>
          <w:rFonts w:ascii="Times New Roman" w:cs="Times New Roman" w:eastAsia="Times New Roman" w:hAnsi="Times New Roman"/>
          <w:sz w:val="18"/>
          <w:szCs w:val="18"/>
          <w:color w:val="auto"/>
        </w:rPr>
        <w:t>”), and, to the knowledge of the Company, no event has occurred, and no condition or circumstance exists, that would reasonably be expected to subject any such Company Plan, the Company, any of its Subsidiaries, or any ERISA Affiliate, to any material liability including additional contributions, fines, penalties, excise Taxes or loss of Tax deduction under Section 4980D or 4980H of the Code or any provision of the Affordable Care Act; and</w:t>
      </w:r>
    </w:p>
    <w:p>
      <w:pPr>
        <w:spacing w:after="0" w:line="187" w:lineRule="exact"/>
        <w:rPr>
          <w:rFonts w:ascii="Times New Roman" w:cs="Times New Roman" w:eastAsia="Times New Roman" w:hAnsi="Times New Roman"/>
          <w:sz w:val="18"/>
          <w:szCs w:val="18"/>
          <w:color w:val="auto"/>
        </w:rPr>
      </w:pPr>
    </w:p>
    <w:p>
      <w:pPr>
        <w:jc w:val="both"/>
        <w:ind w:right="180" w:firstLine="1428"/>
        <w:spacing w:after="0" w:line="312" w:lineRule="auto"/>
        <w:tabs>
          <w:tab w:leader="none" w:pos="168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Plan that is a “non-qualified deferred compensation plan” (as such term is defined in Section 409A(d)(1) of the Code) has been operated and maintained in compliance with the requirements of Section 409A of the Code and applicable guidance issued thereunder.</w:t>
      </w:r>
    </w:p>
    <w:p>
      <w:pPr>
        <w:spacing w:after="0" w:line="139" w:lineRule="exact"/>
        <w:rPr>
          <w:rFonts w:ascii="Times New Roman" w:cs="Times New Roman" w:eastAsia="Times New Roman" w:hAnsi="Times New Roman"/>
          <w:sz w:val="17"/>
          <w:szCs w:val="17"/>
          <w:color w:val="auto"/>
        </w:rPr>
      </w:pPr>
    </w:p>
    <w:p>
      <w:pPr>
        <w:jc w:val="both"/>
        <w:ind w:right="80" w:firstLine="987"/>
        <w:spacing w:after="0" w:line="255"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ERISA Affiliate thereof sponsors, maintains, participates in or contributes to, or has any liability with respect to or is obligated to contribute to, or has any current or contingent liability or obligation under or with respect to, ever sponsored, established, maintained or contributed to, or had any liability with respect to or been obligated to contribute to, or had any contingent liability or obligation under or with respect to any Company Plan subject to Title IV of ERISA or Section 412 of the Code, any multiemployer plan within the meaning of</w:t>
      </w:r>
    </w:p>
    <w:p>
      <w:pPr>
        <w:spacing w:after="0" w:line="2" w:lineRule="exact"/>
        <w:rPr>
          <w:rFonts w:ascii="Times New Roman" w:cs="Times New Roman" w:eastAsia="Times New Roman" w:hAnsi="Times New Roman"/>
          <w:sz w:val="18"/>
          <w:szCs w:val="18"/>
          <w:color w:val="auto"/>
        </w:rPr>
      </w:pPr>
    </w:p>
    <w:p>
      <w:pPr>
        <w:ind w:right="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4001(a)(3) or 3(37) of ERISA, a multiple employer plan within the meaning of Section 413(c) of the Code or a multiple employer welfare arrangement as defined in Section 3(40) of ERISA.</w:t>
      </w:r>
    </w:p>
    <w:p>
      <w:pPr>
        <w:spacing w:after="0" w:line="18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has any liability or obligation in respect of post-retirement or other post-employment medical, health insurance or other welfare type benefits (other than health care continuation coverage as required by Section 4980B of the Code or ERISA or coverage through the end of the calendar month in which a termination of employment occurs).</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4.11(f)</w:t>
      </w:r>
      <w:r>
        <w:rPr>
          <w:rFonts w:ascii="Times New Roman" w:cs="Times New Roman" w:eastAsia="Times New Roman" w:hAnsi="Times New Roman"/>
          <w:sz w:val="18"/>
          <w:szCs w:val="18"/>
          <w:color w:val="auto"/>
        </w:rPr>
        <w:t xml:space="preserve"> of the Company Disclosure Letter, neither the execution of this Agreement, nor the consummation of the transactions contemplated hereby, will, either alone or in combination with another event (i) entitle any current or former employee, officer, director, or individual independent contractor of the Company to or result in any payment or benefit under any Company Plan (whether of bonus, change in control, retention, severance pay or otherwise), (ii) accelerate the time of payment, funding, or vesting of, or increase the amount of, any compensation or benefits due under any Company Plan, to any current or former employee, officer, director, or individual independent contractor of the Company (iii) trigger any funding obligation pursuant to any Company Plan or (iv) create any limitation or restriction on the right of the Company or any of its Subsidiaries to merge, amend or terminate any Company Plan.</w:t>
      </w:r>
    </w:p>
    <w:p>
      <w:pPr>
        <w:spacing w:after="0" w:line="188"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give rise to the payment of 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5" w:name="page36"/>
    <w:bookmarkEnd w:id="35"/>
    <w:p>
      <w:pPr>
        <w:ind w:left="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that would not be deductible pursuant to Section 280G of the Code. The Company has no obligation to “gross up”, pay, provide or indemnify any individual for any Tax or Tax liability incurred pursuant to Section 409A or 4999 of the Code or otherwise.</w:t>
      </w:r>
    </w:p>
    <w:p>
      <w:pPr>
        <w:spacing w:after="0" w:line="162" w:lineRule="exact"/>
        <w:rPr>
          <w:sz w:val="20"/>
          <w:szCs w:val="20"/>
          <w:color w:val="auto"/>
        </w:rPr>
      </w:pPr>
    </w:p>
    <w:p>
      <w:pPr>
        <w:ind w:left="4" w:right="20" w:firstLine="987"/>
        <w:spacing w:after="0" w:line="267" w:lineRule="auto"/>
        <w:tabs>
          <w:tab w:leader="none" w:pos="125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Plan that has been adopted or maintained by the Company or any of its Subsidiaries, whether formally or informally, in any jurisdiction outside of the United States primarily for the benefit of employees whose principal work location is outside of the United States (each, an “</w:t>
      </w:r>
      <w:r>
        <w:rPr>
          <w:rFonts w:ascii="Times New Roman" w:cs="Times New Roman" w:eastAsia="Times New Roman" w:hAnsi="Times New Roman"/>
          <w:sz w:val="17"/>
          <w:szCs w:val="17"/>
          <w:u w:val="single" w:color="auto"/>
          <w:color w:val="auto"/>
        </w:rPr>
        <w:t>International Employee Plan</w:t>
      </w:r>
      <w:r>
        <w:rPr>
          <w:rFonts w:ascii="Times New Roman" w:cs="Times New Roman" w:eastAsia="Times New Roman" w:hAnsi="Times New Roman"/>
          <w:sz w:val="17"/>
          <w:szCs w:val="17"/>
          <w:color w:val="auto"/>
        </w:rPr>
        <w:t>”) that, under applicable Law, is required to be registered or approved by a Governmental Entity, has been so registered or approved and has been maintained in good standing with all applicable Governmental Entities, and no event has occurred and no condition exists since the date of the most recent approval or application therefor relating to any such International Employee Plan that would reasonably be expected to materially adversely affect any such approval or good standing. Each International Employee Plan has been established, operated, maintained and administered in compliance with its terms and operated in compliance with all applicable Laws in all material respects. Each International Employee Plan that is intended to qualify for special Tax treatment meets the requirements for such treatment in all material respects. All contributions to, and payments from, each International Employee Plan under the terms of such plan or applicable Law have been fully, properly, and timely made or accrued in accordance with country-specific accounting practices. Each International Employee Plan that, under applicable Law, is required to be funded, is either: (i) fully funded in accordance therewith and to an extent sufficient to provide for accrued benefit obligations with respect to all participants,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fully insured, in each case, based upon generally accepted local accounting and actuarial practices and procedures.</w:t>
      </w:r>
    </w:p>
    <w:p>
      <w:pPr>
        <w:spacing w:after="0" w:line="204" w:lineRule="exact"/>
        <w:rPr>
          <w:rFonts w:ascii="Times New Roman" w:cs="Times New Roman" w:eastAsia="Times New Roman" w:hAnsi="Times New Roman"/>
          <w:sz w:val="18"/>
          <w:szCs w:val="18"/>
          <w:color w:val="auto"/>
        </w:rPr>
      </w:pPr>
    </w:p>
    <w:p>
      <w:pPr>
        <w:ind w:left="4" w:firstLine="987"/>
        <w:spacing w:after="0" w:line="258" w:lineRule="auto"/>
        <w:tabs>
          <w:tab w:leader="none" w:pos="12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International Employee Plan contains a defined benefit provision within the meaning of Section 147.1(1)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or is an employee life and health trust within the meaning of Section 248(1)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 individual pension plan within the meaning of Section 8300(1) of the </w:t>
      </w:r>
      <w:r>
        <w:rPr>
          <w:rFonts w:ascii="Times New Roman" w:cs="Times New Roman" w:eastAsia="Times New Roman" w:hAnsi="Times New Roman"/>
          <w:sz w:val="18"/>
          <w:szCs w:val="18"/>
          <w:i w:val="1"/>
          <w:iCs w:val="1"/>
          <w:color w:val="auto"/>
        </w:rPr>
        <w:t>Income Tax Regulations</w:t>
      </w:r>
      <w:r>
        <w:rPr>
          <w:rFonts w:ascii="Times New Roman" w:cs="Times New Roman" w:eastAsia="Times New Roman" w:hAnsi="Times New Roman"/>
          <w:sz w:val="18"/>
          <w:szCs w:val="18"/>
          <w:color w:val="auto"/>
        </w:rPr>
        <w:t xml:space="preserve"> (Canada), a multi-employer plan within the meaning of Section 8500(1) of the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Regulations </w:t>
      </w:r>
      <w:r>
        <w:rPr>
          <w:rFonts w:ascii="Times New Roman" w:cs="Times New Roman" w:eastAsia="Times New Roman" w:hAnsi="Times New Roman"/>
          <w:sz w:val="18"/>
          <w:szCs w:val="18"/>
          <w:color w:val="auto"/>
        </w:rPr>
        <w:t>(Canada), a designated plan within the meaning of Section 8515(1) of the</w:t>
      </w:r>
      <w:r>
        <w:rPr>
          <w:rFonts w:ascii="Times New Roman" w:cs="Times New Roman" w:eastAsia="Times New Roman" w:hAnsi="Times New Roman"/>
          <w:sz w:val="18"/>
          <w:szCs w:val="18"/>
          <w:i w:val="1"/>
          <w:iCs w:val="1"/>
          <w:color w:val="auto"/>
        </w:rPr>
        <w:t xml:space="preserve"> Income Tax Regulations </w:t>
      </w:r>
      <w:r>
        <w:rPr>
          <w:rFonts w:ascii="Times New Roman" w:cs="Times New Roman" w:eastAsia="Times New Roman" w:hAnsi="Times New Roman"/>
          <w:sz w:val="18"/>
          <w:szCs w:val="18"/>
          <w:color w:val="auto"/>
        </w:rPr>
        <w:t>(Canada) or a health and welfare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as described in Canada Revenue Agency Income Tax Folio S2.</w:t>
      </w:r>
    </w:p>
    <w:p>
      <w:pPr>
        <w:spacing w:after="0" w:line="185" w:lineRule="exact"/>
        <w:rPr>
          <w:rFonts w:ascii="Times New Roman" w:cs="Times New Roman" w:eastAsia="Times New Roman" w:hAnsi="Times New Roman"/>
          <w:sz w:val="18"/>
          <w:szCs w:val="18"/>
          <w:color w:val="auto"/>
        </w:rPr>
      </w:pPr>
    </w:p>
    <w:p>
      <w:pPr>
        <w:jc w:val="both"/>
        <w:ind w:left="4" w:right="200" w:firstLine="987"/>
        <w:spacing w:after="0" w:line="266" w:lineRule="auto"/>
        <w:tabs>
          <w:tab w:leader="none" w:pos="12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 Option was granted with a per Share exercise price no less than the fair market value of a Share on the date of grant, as determined in accordance with Section 409A of the Code, and each Company Equity Award was granted in accordance with the terms of the applicable Company Stock Plan, applicable award agreement and applicable Law.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58"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is bound by, any collective bargaining agreement, contract or other agreement or understanding with any labor union, employee association or other labor organization, nor is any such contract or agreement presently being negotiated, nor, to the knowledge of the Company, is there a representation campaign respecting any employees of the Company or its Subsidiaries. There is no labor dispute, strike, work stoppage or lockout, or, to the knowledge of the Company, threat thereof, by or with respect to any employees of the Company or any of its Subsidiaries, except as would not, individually or in the aggregate, have a Material Adverse Effect.</w:t>
      </w:r>
    </w:p>
    <w:p>
      <w:pPr>
        <w:spacing w:after="0" w:line="183"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each Subsidiary is, and for the last three years has been, in compliance in all respects with all applicable Laws in respect of labor and employment, including hiring practices, employment practices, terms and conditions of employment, wages and hours, overtime, applicable Laws relating to discrimination and equal pay, labor relations, leave of absence, paid sick leave laws, work breaks, classification of employees (including overtime exempt and independent contractor status), occupational health and safety, immigration and work authorization,</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36" w:name="page37"/>
    <w:bookmarkEnd w:id="36"/>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privacy, fair credit reporting, harassment, violence, retaliation, reprisal, human rights, disability rights and benefits, reasonable accommodation, equal employment, pay transparency, fair employment practices, wrongful discharge or violation of personal rights including the Worker Adjustment Retraining Notification Act of 1988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similar state or local Law.</w:t>
      </w:r>
    </w:p>
    <w:p>
      <w:pPr>
        <w:spacing w:after="0" w:line="176" w:lineRule="exact"/>
        <w:rPr>
          <w:sz w:val="20"/>
          <w:szCs w:val="20"/>
          <w:color w:val="auto"/>
        </w:rPr>
      </w:pPr>
    </w:p>
    <w:p>
      <w:pPr>
        <w:ind w:firstLine="987"/>
        <w:spacing w:after="0" w:line="253"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been during the last three years, (i) the subject of any pending or, to the knowledge of the Company, threatened Action before the National Labor Relations Board, the Equal Employment Opportunity Commission or any other Governmental Entity relating to the employment or engagement of any current or former employee, applicant, contractor, or other service provider of the Company or any of its Subsidiaries, including payment of wages, hours of work, overtime, classification of workers as exempt or nonexempt or as independent contractors, minimum wage, reimbursement of business expenses, payroll recordkeeping, and/or meal and rest breaks, or involving allegations of discrimination, harassment, violence, retaliation, reprisal or other misconduct by or against an employee of the Company or its Subsidiaries; (ii) material Actions against the Company or any of its Subsidiaries pending or to the Company’s knowledge threatened in writing, to be brought or filed, by or with any court, arbitrator or other alternative dispute resolution forum by or on behalf of any current or former employee or individual service provider of the Company or any of its Subsidiaries alleging breach of any employment Law or (iii) party to a settlement agreement with a current or former officer, director, employee or independent contractor of the Company or any of its Subsidiaries resolving allegations of sexual harassment or sexual misconduct by either (A) an officer or director of the Company or any of its Subsidiaries or (B) an employee in a management role at the Company or any of its Subsidiaries.</w:t>
      </w:r>
    </w:p>
    <w:p>
      <w:pPr>
        <w:spacing w:after="0" w:line="18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neither the Company nor its Subsidiaries have implemented or effectuated a “plant closing,” “mass layoff,” partial “plant closing,” “relocation,” or “termination” (each as defined in the WARN Act or similar state or local Law) affecting any site of employment or one or more facilities or operating units within any site of employment or facility of the Company or any of its Subsidiaries.</w:t>
      </w:r>
    </w:p>
    <w:p>
      <w:pPr>
        <w:spacing w:after="0" w:line="175" w:lineRule="exact"/>
        <w:rPr>
          <w:rFonts w:ascii="Times New Roman" w:cs="Times New Roman" w:eastAsia="Times New Roman" w:hAnsi="Times New Roman"/>
          <w:sz w:val="18"/>
          <w:szCs w:val="18"/>
          <w:color w:val="auto"/>
        </w:rPr>
      </w:pPr>
    </w:p>
    <w:p>
      <w:pPr>
        <w:ind w:right="140" w:firstLine="987"/>
        <w:spacing w:after="0" w:line="274" w:lineRule="auto"/>
        <w:tabs>
          <w:tab w:leader="none" w:pos="12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4.12(e)</w:t>
      </w:r>
      <w:r>
        <w:rPr>
          <w:rFonts w:ascii="Times New Roman" w:cs="Times New Roman" w:eastAsia="Times New Roman" w:hAnsi="Times New Roman"/>
          <w:sz w:val="17"/>
          <w:szCs w:val="17"/>
          <w:color w:val="auto"/>
        </w:rPr>
        <w:t xml:space="preserve"> of the Company Disclosure Letter sets forth the name, job title, work or office location (including city and state or province), start date, full-time or part-time status, annual salary or hourly wage rate (as applicable), overtime exemption status, and accrued but unused vacation and sick time of all employees of the Company and its Subsidiaries, and for each such employee who is absent from active employment as of the date of this Agreement (including as a result of leave of absence or disability), the nature of such leave and anticipated date of return to active employment. Neither the Company nor any of its Subsidiaries has incurred, and, to the Company’s knowledge, no circumstances exist under which the Company or any of its Subsidiaries likely would incur, any material liability arising from the misclassification of employees as overtime exempt.</w:t>
      </w:r>
    </w:p>
    <w:p>
      <w:pPr>
        <w:spacing w:after="0" w:line="172" w:lineRule="exact"/>
        <w:rPr>
          <w:rFonts w:ascii="Times New Roman" w:cs="Times New Roman" w:eastAsia="Times New Roman" w:hAnsi="Times New Roman"/>
          <w:sz w:val="17"/>
          <w:szCs w:val="17"/>
          <w:color w:val="auto"/>
        </w:rPr>
      </w:pPr>
    </w:p>
    <w:p>
      <w:pPr>
        <w:ind w:firstLine="987"/>
        <w:spacing w:after="0" w:line="256" w:lineRule="auto"/>
        <w:tabs>
          <w:tab w:leader="none" w:pos="12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 xml:space="preserve"> of the Company Disclosure Letter sets forth a complete and accurate list of the following information for each individual independent contractor engaged directly by the Company or any of its Subsidiaries as of the date hereof, in each case, to the extent known and applicable: name; primary work location (including city and state or province); compensation rate; type of work being performed; and the date the current engagement began and is expected to end. Neither the Company nor any of its Subsidiaries has incurred, and, to the Company’s knowledge, no circumstances exist under which the Company or any of its Subsidiaries likely would incur, any material liability arising from the misclassification of employees as independent contractors.</w:t>
      </w:r>
    </w:p>
    <w:p>
      <w:pPr>
        <w:spacing w:after="0" w:line="18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promptly, thoroughly and impartially investigated all harassment, including sexual harassment, violence, discrimination, retaliation, reprisal or policy violation allegations of which it is aware. The Company and each of its Subsidiaries has taken prompt corrective action that is reasonably calculated to prevent further improper action. Neither the Company nor any of its Subsidiaries reasonably expects any material liabilities with respect to any such allegations or is aware of any allegations relating to officers, directors, managers, employees, contractors, or agents of the Company or any of its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that, if known to the public, would bring the Company or any of its Subsidiaries into material disrepute.</w:t>
      </w:r>
    </w:p>
    <w:p>
      <w:pPr>
        <w:spacing w:after="0" w:line="225" w:lineRule="exact"/>
        <w:rPr>
          <w:sz w:val="20"/>
          <w:szCs w:val="20"/>
          <w:color w:val="auto"/>
        </w:rPr>
      </w:pPr>
    </w:p>
    <w:p>
      <w:pPr>
        <w:ind w:left="4" w:firstLine="987"/>
        <w:spacing w:after="0" w:line="272" w:lineRule="auto"/>
        <w:tabs>
          <w:tab w:leader="none" w:pos="125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current or former employee or independent contractor of the Company or any of its Subsidiaries is in violation of any term of any noncompete agreement, nondisclosure agreement, common law nondisclosure obligation, nonsolicitation agreement, fiduciary duty, restrictive covenant, confidentiality agreement, employment agreement, consulting agreement, or similar obligation (i) owed to the Company or any of its Subsidiaries or</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to any third party with respect to the person’s right to be employed or engaged by the Company or any of its Subsidiaries.</w:t>
      </w:r>
    </w:p>
    <w:p>
      <w:pPr>
        <w:spacing w:after="0" w:line="206" w:lineRule="exact"/>
        <w:rPr>
          <w:rFonts w:ascii="Times New Roman" w:cs="Times New Roman" w:eastAsia="Times New Roman" w:hAnsi="Times New Roman"/>
          <w:sz w:val="18"/>
          <w:szCs w:val="18"/>
          <w:color w:val="auto"/>
        </w:rPr>
      </w:pPr>
    </w:p>
    <w:p>
      <w:pPr>
        <w:ind w:left="4" w:firstLine="987"/>
        <w:spacing w:after="0" w:line="261" w:lineRule="auto"/>
        <w:tabs>
          <w:tab w:leader="none" w:pos="12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all employees of the Company and its Subsidiaries working in the United States are legally authorized to work in the United States. The Company and each of its Subsidiaries has retained completed U.S. Citizenship and Immigration Services Form I-9s (Employment Eligibility Verification) for each current employee of the Company and its Subsidiaries located in the United States in material compliance with applicable Law.</w:t>
      </w:r>
    </w:p>
    <w:p>
      <w:pPr>
        <w:spacing w:after="0" w:line="179" w:lineRule="exact"/>
        <w:rPr>
          <w:rFonts w:ascii="Times New Roman" w:cs="Times New Roman" w:eastAsia="Times New Roman" w:hAnsi="Times New Roman"/>
          <w:sz w:val="18"/>
          <w:szCs w:val="18"/>
          <w:color w:val="auto"/>
        </w:rPr>
      </w:pPr>
    </w:p>
    <w:p>
      <w:pPr>
        <w:ind w:left="4" w:firstLine="987"/>
        <w:spacing w:after="0" w:line="256" w:lineRule="auto"/>
        <w:tabs>
          <w:tab w:leader="none" w:pos="12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and in each case except where the failure to timely pay in full would not be material to the Company and its Subsidiaries, taken as a whole, all compensation, including wages, commissions, bonuses, fees, accrued vacation, paid time off, and/or holiday pay, and other compensation, payable to all employees and individual, independent contractors, of the Company and its Subsidiaries for services performed on or prior to the date hereof have been timely paid in full. Each Subsidiary of the Company organized in the People’s Republic of China has, since its establishment, made in full all social insurance and housing provident fund contributions required under applicable Law in respect of all of its employees.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Company Disclosure Letter: (i) the Company and each of its Subsidiaries has been and is in compliance, in all material respects, with all applicable Environmental Laws, and possesses and is in compliance, in all material respects, with all applicable Environmental Permits required under such Environmental Laws to operate as it presently operates, including the operation of the Company’s and its Subsidiaries’ business and the operation or use of any real property owned, leased or operated by the Company or any of its Subsidiaries, and all such Environmental Permits are currently in effect, and there is no reasonable basis for the revocation, non-renewal, or adverse modification of any such Environmental Permit; (ii) there are no Materials of Environmental Concern at any property currently owned, leased, used or operated by the Company or any of its Subsidiaries, or to the knowledge of the Company, any property formerly owned, leased, operated, or used by the Company or any of its Subsidiaries, except under circumstances that do not result in or are not reasonably likely to result in material liability of the Company or any of its Subsidiaries under any applicable Environmental Law; (iii) neither the Company nor any of its Subsidiaries has received any written request for information pursuant to section 104(e) of the Comprehensive Environmental Response, Compensation and Liability Act of 1980 as amended by the Superfund Amendments and Reauthorization Act of 1986, 42 U.S.C. §§ 9601 et seq. or similar state statute, concerning any Release or threatened Release of Materials of Environmental Concern at any location; (iv) neither the Company nor any of its Subsidiaries has received any written notice, demand, information request, claim or complaint, nor is the Company or any of its Subsidiaries presently subject to, or to the knowledge of the Company, threatened with, any claim, proceeding, investigation, inspection, or audit relating to alleged noncompliance with Environmental Laws or any other liabilities pursuant to Environmental Laws (including any claim, proceeding, investigation, inspection, or audit seeking to impose any financial responsibility for any investigation, cleanup, removal, containment or any other remediation or compliance under, any Environmental Law); (v) there has been no Release of Materials of Environmental Concern by the Company or any of its Subsidiaries, nor to the knowledge of the Company, has there been a Release of Materials of Environmental Concern by any other Person, in, on, under, at, migrating to, or emanating from any property currently, or to the knowledge of the Company formerly, owned, leased, used or operated by the Company or any of its Subsidiaries that, in each case, could result in material liability for the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8" w:name="page39"/>
    <w:bookmarkEnd w:id="3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any of its Subsidiaries pursuant to any Environmental Laws; (vi) there has been no use, generation, manufacture, sale, handling, treatment, recycling, storage, transportation, disposal of, arrangement for the disposal of, or placement of, or exposure of any Person to, a Material of Environmental Concern by the Company or any of its Subsidiaries that could reasonably be anticipated to result in material liability for the Company or any of its Subsidiaries pursuant to any Environmental Laws; (vii) neither the Company nor any of its Subsidiaries has agreed to assume any actual or potential liability under any Environmental Laws of any other Person; (viii) to the knowledge of the Company, there are no landfills, above-ground or underground storage tanks or uncontained or unlined storage treatment or disposal areas for any Materials of Environmental Concern at, in, on or under any property formerly owned, leased, or operated by the Company or any of its Subsidiaries other than in material compliance with all Environmental Laws and Environmental Permits; (ix) neither the Company nor any of its Subsidiaries has received any written notice that any property now or previously owned, operated or leased by the Company or any of its Subsidiaries is listed or is proposed for listing on the National Priorities List pursuant to the Comprehensive Environmental Response, Compensation, and Liability Act of 1980 as amended by the Superfund Amendments and Reauthorization Act of 1986, 42 U.S.C. §§ 9601 et seq, or any similar federal, state, provincial or foreign list of sites requiring investigation or cleanup, that would reasonably be expected to give rise to any material liability under Environmental Law, and no Lien (other than Permitted Liens) has been filed against either the personal or movable property or real or immovable property of the Company or any of its Subsidiaries under any Environmental Law; (x) the Company has made available to Merger Sub true and correct copies of all material environmental investigations, studies, assessments, audits (including Phase I and Phase II Environmental Site Assessments), and reports that have been made available to the Company or any of its Subsidiaries and which are in the possession, custody, or reasonable control of the Company or any of its Subsidiaries relating to Environmental Law, Materials of Environmental Concern, or the environmental conditions of any property owned, leased, operated, or used by the Company or any of its Subsidiaries or the business of the Company or any of its Subsidiaries.</w:t>
      </w:r>
    </w:p>
    <w:p>
      <w:pPr>
        <w:spacing w:after="0" w:line="192" w:lineRule="exact"/>
        <w:rPr>
          <w:sz w:val="20"/>
          <w:szCs w:val="20"/>
          <w:color w:val="auto"/>
        </w:rPr>
      </w:pPr>
    </w:p>
    <w:p>
      <w:pPr>
        <w:ind w:left="1240" w:hanging="25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117" w:lineRule="exact"/>
        <w:rPr>
          <w:rFonts w:ascii="Times New Roman" w:cs="Times New Roman" w:eastAsia="Times New Roman" w:hAnsi="Times New Roman"/>
          <w:sz w:val="18"/>
          <w:szCs w:val="18"/>
          <w:color w:val="auto"/>
        </w:rPr>
      </w:pPr>
    </w:p>
    <w:p>
      <w:pPr>
        <w:ind w:right="20" w:firstLine="1428"/>
        <w:spacing w:after="0" w:line="253" w:lineRule="auto"/>
        <w:tabs>
          <w:tab w:leader="none" w:pos="164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federal, state, provincial or local Law, including common law, relating to (A) pollution, the environment or the preservation or remediation thereof, the protection of the quality of the ambient air (including indoor or outdoor air), soil, sediments, surface water, drinking water, or groundwater, natural resources, the protection of the environment or human health and safety (with respect to exposure to Materials of Environmental Concern), (B) the handling, use, presence, discharge, storage, treatment, removal, transportation, management, disposal, sale, distribution, importation, exportation, generation, production, manufacture, emission, Release of Materials of Environmental Concern or threatened Release of any Materials of Environmental Concern, chemical substance or waste water or (C) noise, odor, wetlands, or any injury or threat of injury to Persons (with respect to exposure to Materials of Environmental Concern) or property, including without limitation the Clean Air Act, the Clean Water Act, the Resource Conservation and Recovery Act, the Comprehensive Environmental Response, Compensation, and Liability Act of 1980 as amended by the Superfund Amendments and Reauthorization Act of 1986, 42 U.S.C. §§ 9601 et seq., the Occupational Safety and Health Act (with respect to worker exposure to Materials of Environmental Concern), the Toxic Substances Control Act, the Hazardous Materials Transportation Act, the Safe Drinking Water Act, the Federal Insecticide, Fungicide, and Rodenticide Act, the Emergency Planning and Community Right-to-Know Act and any similar federal, state or local Law.</w:t>
      </w:r>
    </w:p>
    <w:p>
      <w:pPr>
        <w:spacing w:after="0" w:line="189"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licenses, registrations, and other authorizations required under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w:t>
      </w:r>
    </w:p>
    <w:p>
      <w:pPr>
        <w:spacing w:after="0" w:line="206" w:lineRule="exact"/>
        <w:rPr>
          <w:rFonts w:ascii="Times New Roman" w:cs="Times New Roman" w:eastAsia="Times New Roman" w:hAnsi="Times New Roman"/>
          <w:sz w:val="18"/>
          <w:szCs w:val="18"/>
          <w:color w:val="auto"/>
        </w:rPr>
      </w:pPr>
    </w:p>
    <w:p>
      <w:pPr>
        <w:ind w:right="40" w:firstLine="1428"/>
        <w:spacing w:after="0" w:line="261" w:lineRule="auto"/>
        <w:tabs>
          <w:tab w:leader="none" w:pos="174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means any hazardous, acutely hazardous, or toxic substance or waste or words of similar meaning or effect defined or regulated as such, or forming the basis of liability under, applicable Environmental Laws, including the federal Comprehensive Environmental Response, Compensation and Liability Act of 1980 as amended by the Superfund Amendments and Reauthorization Act of 1986, 42 U.S.C. §§ 9601 et seq. or the federal Resource Conservation and Recovery Act, or any pollutant,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9" w:name="page40"/>
    <w:bookmarkEnd w:id="39"/>
    <w:p>
      <w:pPr>
        <w:ind w:right="5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contaminant, waste or hazardous, dangerous or toxic chemical, material or substance, including asbestos, radiation and radioactive materials, polychlorinated biphenyls, petroleum and petroleum products and by- products, lead, pesticides, natural gas, per- and polyfluoroalkyl substances (PFAS), and nuclear fuel, all within the meaning of any applicable Environmental Law.</w:t>
      </w:r>
    </w:p>
    <w:p>
      <w:pPr>
        <w:spacing w:after="0" w:line="176" w:lineRule="exact"/>
        <w:rPr>
          <w:sz w:val="20"/>
          <w:szCs w:val="20"/>
          <w:color w:val="auto"/>
        </w:rPr>
      </w:pPr>
    </w:p>
    <w:p>
      <w:pPr>
        <w:ind w:right="40" w:firstLine="1428"/>
        <w:spacing w:after="0" w:line="266" w:lineRule="auto"/>
        <w:tabs>
          <w:tab w:leader="none" w:pos="17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actual or threatened release, spilling, leaking, pumping, pouring, emitting, emptying, discharging, injecting, escaping, leaching, dumping, abandonment, disposing or allowing to escape or migrate into or through the environment (including ambient air (indoor or outdoor), surface water, groundwater, land surface or subsurface strata or within any building, structure, facility or fixture).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66"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by applicable Law to be filed by the Company or any of its Subsidiaries have been filed in accordance with all applicable Laws (after giving effect to any extensions of time in which to make such filings), and all such Tax Returns are true and complete in all material respects.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Taxes due and payable by the Company or any of its Subsidiaries have been timely paid (whether or not shown on any Tax</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Return).</w:t>
      </w:r>
    </w:p>
    <w:p>
      <w:pPr>
        <w:spacing w:after="0" w:line="206"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for material Taxes exist with respect to any assets or properties of the Company or any of its Subsidiaries, other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or audits now pending, or threatened against the Company or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material Taxes has been asserted or proposed in writing by any Governmental Entity against the Company or any of its Subsidiaries that has not been fully paid, settled or withdrawn.</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waived any statute of limitations with respect to Taxes or agreed to any extension of time with respect to any Tax assessment or deficiency, other than (i) automatic extensions of the time in which to file a Tax Return obtained in the ordinary course of business or (ii) waivers or extensions that have expired without assessment.</w:t>
      </w:r>
    </w:p>
    <w:p>
      <w:pPr>
        <w:spacing w:after="0" w:line="175"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received by the Company or any of its Subsidiaries from any Governmental Entity in a jurisdiction where the Company or such Subsidiary does not file Tax Returns that the Company or such Subsidiary is or may be subject to taxation by, or required to file any Tax Returns in, that jurisdiction.</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been a party to any “reportable transaction” (within the meaning of Treasury Regulations Section 1.6011-4(b)).</w:t>
      </w:r>
    </w:p>
    <w:p>
      <w:pPr>
        <w:spacing w:after="0" w:line="161" w:lineRule="exact"/>
        <w:rPr>
          <w:rFonts w:ascii="Times New Roman" w:cs="Times New Roman" w:eastAsia="Times New Roman" w:hAnsi="Times New Roman"/>
          <w:sz w:val="18"/>
          <w:szCs w:val="18"/>
          <w:color w:val="auto"/>
        </w:rPr>
      </w:pPr>
    </w:p>
    <w:p>
      <w:pPr>
        <w:ind w:firstLine="987"/>
        <w:spacing w:after="0" w:line="289" w:lineRule="auto"/>
        <w:tabs>
          <w:tab w:leader="none" w:pos="120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any Tax sharing agreement, Tax indemnity obligation or similar agreement (other than Contracts entered into with customers in the ordinary course of business) with respect to Taxes, including any advance pricing agreement, closing agreement or other agreement relating to Taxes with any taxing authority, which agreement would be effective after the Closing Date.</w:t>
      </w:r>
    </w:p>
    <w:p>
      <w:pPr>
        <w:spacing w:after="0" w:line="157" w:lineRule="exact"/>
        <w:rPr>
          <w:rFonts w:ascii="Times New Roman" w:cs="Times New Roman" w:eastAsia="Times New Roman" w:hAnsi="Times New Roman"/>
          <w:sz w:val="17"/>
          <w:szCs w:val="17"/>
          <w:color w:val="auto"/>
        </w:rPr>
      </w:pPr>
    </w:p>
    <w:p>
      <w:pPr>
        <w:jc w:val="both"/>
        <w:ind w:right="180" w:firstLine="987"/>
        <w:spacing w:after="0" w:line="258" w:lineRule="auto"/>
        <w:tabs>
          <w:tab w:leader="none" w:pos="12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 group filing an affiliated, unitary, consolidated or combined income Tax Return (other than a group the common parent of which was the Company), and neither the Company nor any of its Subsidiaries has any liability for the Taxes of any other Person under Treasury Regulations Section 1.1502-6 (or any similar provision of state, local or non-U.S. Law), as a transferee or successor, or by Contract (other than Contracts entered into in the ordinary course of business, the primary subject matter of which is not Taxes).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40" w:name="page41"/>
    <w:bookmarkEnd w:id="40"/>
    <w:p>
      <w:pPr>
        <w:ind w:left="4" w:right="280" w:firstLine="987"/>
        <w:spacing w:after="0" w:line="266"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two years prior to the date hereof, neither the Company nor any of its Subsidiaries has constituted either a “distributing corporation” or a “controlled corporation” (within the meaning of Section 355(a)(1)(A) of the Code) in a distribution intended to qualify for Tax-free treatment under Section 355 of the Code (or any similar provision of Law).</w:t>
      </w:r>
    </w:p>
    <w:p>
      <w:pPr>
        <w:spacing w:after="0" w:line="17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withheld and timely paid over to the appropriate Governmental Entity all material Taxes required to have been withheld and paid in connection with any amounts paid or owing to any employee, independent contractor, creditor, stockholder, supplier, distributor or other Person.</w:t>
      </w:r>
    </w:p>
    <w:p>
      <w:pPr>
        <w:spacing w:after="0" w:line="175"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made adequate provision in the Company’s financial statements for all accrued Taxes not yet due and payable, and neither the Company nor any of its Subsidiaries has incurred any liability for Taxes other than in the ordinary course of business.</w:t>
      </w:r>
    </w:p>
    <w:p>
      <w:pPr>
        <w:spacing w:after="0" w:line="175"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pursuant to Section 481(a) of the Code (or any corresponding or similar provision of state, local or non-U.S. Law), (ii) “closing agreement” as described in Section 7121 of the Code (or any corresponding or similar provision of state, local or non-U.S. Law) executed prior to the Closing, (iii) installment sale or open transaction disposition made prior to the Closing,</w:t>
      </w:r>
    </w:p>
    <w:p>
      <w:pPr>
        <w:spacing w:after="0" w:line="3" w:lineRule="exact"/>
        <w:rPr>
          <w:rFonts w:ascii="Times New Roman" w:cs="Times New Roman" w:eastAsia="Times New Roman" w:hAnsi="Times New Roman"/>
          <w:sz w:val="18"/>
          <w:szCs w:val="18"/>
          <w:color w:val="auto"/>
        </w:rPr>
      </w:pPr>
    </w:p>
    <w:p>
      <w:pPr>
        <w:ind w:left="4" w:right="40" w:hanging="4"/>
        <w:spacing w:after="0" w:line="255" w:lineRule="auto"/>
        <w:tabs>
          <w:tab w:leader="none" w:pos="3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amount received or deferred revenue accrued on or prior to the Closing Date outside of the ordinary course of business, or (v) intercompany transaction or excess loss account described in the Treasury Regulations under Section 1502 of the Code (or any corresponding or similar provision of state, local or non-U.S. Law) entered into or incurred on or prior to the Closing Date.</w:t>
      </w:r>
    </w:p>
    <w:p>
      <w:pPr>
        <w:spacing w:after="0" w:line="185"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5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Tax rulings, requests for rulings, applications for change in accounting methods or closing agreements with respect to the Company or any of its Subsidiaries that will remain in effect or apply for any period after the Closing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1"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this Agreement and a Company Plan (other than Company Employee Agreements required to be listed pursuant to </w:t>
      </w:r>
      <w:r>
        <w:rPr>
          <w:rFonts w:ascii="Times New Roman" w:cs="Times New Roman" w:eastAsia="Times New Roman" w:hAnsi="Times New Roman"/>
          <w:sz w:val="18"/>
          <w:szCs w:val="18"/>
          <w:u w:val="single" w:color="auto"/>
          <w:color w:val="auto"/>
        </w:rPr>
        <w:t>Section 4.15(a)(vii))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 xml:space="preserve"> of the Company Disclosure Letter sets forth a true and complete list, as in effect as of the date of this Agreement, of the Contracts of a type described below to which the Company or any of its Subsidiaries is a party or by which the Company or any of its Subsidiaries or any of their properties or assets is bound (such Contracts as described in this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firstLine="1428"/>
        <w:spacing w:after="0" w:line="282" w:lineRule="auto"/>
        <w:tabs>
          <w:tab w:leader="none" w:pos="165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has been or that would be required to be filed by the Company or any of its Subsidiaries as a “material contract” pursuant to Item 601(b)(10) of Regulation S-K promulgated by the SEC;</w:t>
      </w:r>
    </w:p>
    <w:p>
      <w:pPr>
        <w:spacing w:after="0" w:line="161" w:lineRule="exact"/>
        <w:rPr>
          <w:rFonts w:ascii="Times New Roman" w:cs="Times New Roman" w:eastAsia="Times New Roman" w:hAnsi="Times New Roman"/>
          <w:sz w:val="18"/>
          <w:szCs w:val="18"/>
          <w:color w:val="auto"/>
        </w:rPr>
      </w:pPr>
    </w:p>
    <w:p>
      <w:pPr>
        <w:jc w:val="both"/>
        <w:ind w:left="4" w:right="280" w:firstLine="1428"/>
        <w:spacing w:after="0" w:line="266" w:lineRule="auto"/>
        <w:tabs>
          <w:tab w:leader="none" w:pos="170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expected receipts or expenditures in excess of $1,000,000 in the aggregate in the current or any future calendar year (other than Company Employee Agreements), and which is not cancelable (A) without penalty or further payment or (B) without more than 30 days’ notice;</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75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IP Contract or other Contract pursuant to which the Company or any of its Subsidiaries has obtained from or granted to any Person any right, title or interest in, under or to any Intellectual Property or Intellectual Property Rights (other than Ordinary Course Licenses or Contracts granting rights to use readily available shrink wrap or click wrap Software);</w:t>
      </w:r>
    </w:p>
    <w:p>
      <w:pPr>
        <w:spacing w:after="0" w:line="175" w:lineRule="exact"/>
        <w:rPr>
          <w:rFonts w:ascii="Times New Roman" w:cs="Times New Roman" w:eastAsia="Times New Roman" w:hAnsi="Times New Roman"/>
          <w:sz w:val="18"/>
          <w:szCs w:val="18"/>
          <w:color w:val="auto"/>
        </w:rPr>
      </w:pPr>
    </w:p>
    <w:p>
      <w:pPr>
        <w:jc w:val="both"/>
        <w:ind w:left="4" w:right="180" w:firstLine="1428"/>
        <w:spacing w:after="0" w:line="266" w:lineRule="auto"/>
        <w:tabs>
          <w:tab w:leader="none" w:pos="174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coexistence agreement, settlement agreement, a covenant not to sue or a similar agreement, in each case under which the Company or any of its Subsidiaries is restricted in its right to use, enforce or register any Intellectual Property or Intellectual Property Rights;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41" w:name="page42"/>
    <w:bookmarkEnd w:id="41"/>
    <w:p>
      <w:pPr>
        <w:ind w:right="120" w:firstLine="1428"/>
        <w:spacing w:after="0" w:line="266"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that imposes on the Company or any of its Subsidiaries obligations to research, develop, manufacture or commercialize any Company Product, or under which the Company or any of its Subsidiaries has uncompleted performance obligations relating to any research, development or collaboration program or any pre-clinical or clinical trial or study;</w:t>
      </w:r>
    </w:p>
    <w:p>
      <w:pPr>
        <w:spacing w:after="0" w:line="1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Leases;</w:t>
      </w:r>
    </w:p>
    <w:p>
      <w:pPr>
        <w:spacing w:after="0" w:line="225" w:lineRule="exact"/>
        <w:rPr>
          <w:rFonts w:ascii="Times New Roman" w:cs="Times New Roman" w:eastAsia="Times New Roman" w:hAnsi="Times New Roman"/>
          <w:sz w:val="18"/>
          <w:szCs w:val="18"/>
          <w:color w:val="auto"/>
        </w:rPr>
      </w:pPr>
    </w:p>
    <w:p>
      <w:pPr>
        <w:ind w:right="80" w:firstLine="1428"/>
        <w:spacing w:after="0" w:line="261" w:lineRule="auto"/>
        <w:tabs>
          <w:tab w:leader="none" w:pos="17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current or former employee, contractor, director or officer of the Company or any of its Subsidiaries which commits the Company or any of its Subsidiaries to severance, termination, change in control, options or equity-based compensation, benefits or compensation which become payable upon the consummation of the transaction contemplated herein (whether directly or following the occurrence of a subsequent event);</w:t>
      </w:r>
    </w:p>
    <w:p>
      <w:pPr>
        <w:spacing w:after="0" w:line="179"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lease, as determined in accordance with GAAP;</w:t>
      </w:r>
    </w:p>
    <w:p>
      <w:pPr>
        <w:spacing w:after="0" w:line="225" w:lineRule="exact"/>
        <w:rPr>
          <w:rFonts w:ascii="Times New Roman" w:cs="Times New Roman" w:eastAsia="Times New Roman" w:hAnsi="Times New Roman"/>
          <w:sz w:val="18"/>
          <w:szCs w:val="18"/>
          <w:color w:val="auto"/>
        </w:rPr>
      </w:pPr>
    </w:p>
    <w:p>
      <w:pPr>
        <w:jc w:val="both"/>
        <w:ind w:firstLine="1428"/>
        <w:spacing w:after="0" w:line="266" w:lineRule="auto"/>
        <w:tabs>
          <w:tab w:leader="none" w:pos="17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has, directly or indirectly, made or agreed to make any loan or advance to, capital contribution to, or other investment in, any Person (other than investments in marketable securities and advances to directors, officers or Company Employees for travel and other appropriate business expenses in the ordinary course of business);</w:t>
      </w:r>
    </w:p>
    <w:p>
      <w:pPr>
        <w:spacing w:after="0" w:line="175" w:lineRule="exact"/>
        <w:rPr>
          <w:rFonts w:ascii="Times New Roman" w:cs="Times New Roman" w:eastAsia="Times New Roman" w:hAnsi="Times New Roman"/>
          <w:sz w:val="18"/>
          <w:szCs w:val="18"/>
          <w:color w:val="auto"/>
        </w:rPr>
      </w:pPr>
    </w:p>
    <w:p>
      <w:pPr>
        <w:ind w:right="80" w:firstLine="1428"/>
        <w:spacing w:after="0" w:line="266"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strategic alliance, partnership or other Contract involving any joint ownership or sharing of any business, venture or enterprise, or a sharing of profits or losses, or pursuant to which the Company or any of its Subsidiaries has any ownership or control interest in any other Person or business enterprise;</w:t>
      </w:r>
    </w:p>
    <w:p>
      <w:pPr>
        <w:spacing w:after="0" w:line="175" w:lineRule="exact"/>
        <w:rPr>
          <w:rFonts w:ascii="Times New Roman" w:cs="Times New Roman" w:eastAsia="Times New Roman" w:hAnsi="Times New Roman"/>
          <w:sz w:val="18"/>
          <w:szCs w:val="18"/>
          <w:color w:val="auto"/>
        </w:rPr>
      </w:pPr>
    </w:p>
    <w:p>
      <w:pPr>
        <w:ind w:right="40" w:firstLine="1428"/>
        <w:spacing w:after="0" w:line="258" w:lineRule="auto"/>
        <w:tabs>
          <w:tab w:leader="none" w:pos="17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contains any covenant or other agreement limiting the right or ability of the Company or any of its Subsidiaries or its Affiliates to (1) manufacture, research, develop, distribute, sell or otherwise commercialize any products, (2) solicit for employment or hire any employees of any other Person, or (3) engage in any line of business or to compete (geographically or otherwise) with any Person, (B) grants any exclusive or preferential right to make, sell or distribute any of the Company’s or any of its Subsidiaries’ products, or to distribute, market, resell or otherwise commercialize any Company Product, or (C) grants any “most favored nation” or similar rights;</w:t>
      </w:r>
    </w:p>
    <w:p>
      <w:pPr>
        <w:spacing w:after="0" w:line="183"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union contract or collective bargaining agreement;</w:t>
      </w:r>
    </w:p>
    <w:p>
      <w:pPr>
        <w:spacing w:after="0" w:line="225" w:lineRule="exact"/>
        <w:rPr>
          <w:rFonts w:ascii="Times New Roman" w:cs="Times New Roman" w:eastAsia="Times New Roman" w:hAnsi="Times New Roman"/>
          <w:sz w:val="18"/>
          <w:szCs w:val="18"/>
          <w:color w:val="auto"/>
        </w:rPr>
      </w:pPr>
    </w:p>
    <w:p>
      <w:pPr>
        <w:ind w:right="220" w:firstLine="1428"/>
        <w:spacing w:after="0" w:line="266" w:lineRule="auto"/>
        <w:tabs>
          <w:tab w:leader="none" w:pos="18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payments by the Company or any of its Subsidiaries based on profits, revenue, fee income or other financial performance measures of the Company or any of its Subsidiaries, other than Contracts that are cancelable upon 90 days’ or less prior written notice;</w:t>
      </w:r>
    </w:p>
    <w:p>
      <w:pPr>
        <w:spacing w:after="0" w:line="175" w:lineRule="exact"/>
        <w:rPr>
          <w:rFonts w:ascii="Times New Roman" w:cs="Times New Roman" w:eastAsia="Times New Roman" w:hAnsi="Times New Roman"/>
          <w:sz w:val="18"/>
          <w:szCs w:val="18"/>
          <w:color w:val="auto"/>
        </w:rPr>
      </w:pPr>
    </w:p>
    <w:p>
      <w:pPr>
        <w:ind w:right="40" w:firstLine="1428"/>
        <w:spacing w:after="0" w:line="282" w:lineRule="auto"/>
        <w:tabs>
          <w:tab w:leader="none" w:pos="18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payments of any royalties, earnouts, development or commercialization milestones or similar payments in excess of $500,000 in the last fiscal year, other than Contracts that are cancelable upon 90 days’ or less prior written notice;</w:t>
      </w:r>
    </w:p>
    <w:p>
      <w:pPr>
        <w:spacing w:after="0" w:line="161" w:lineRule="exact"/>
        <w:rPr>
          <w:rFonts w:ascii="Times New Roman" w:cs="Times New Roman" w:eastAsia="Times New Roman" w:hAnsi="Times New Roman"/>
          <w:sz w:val="18"/>
          <w:szCs w:val="18"/>
          <w:color w:val="auto"/>
        </w:rPr>
      </w:pPr>
    </w:p>
    <w:p>
      <w:pPr>
        <w:ind w:right="20" w:firstLine="1428"/>
        <w:spacing w:after="0" w:line="312" w:lineRule="auto"/>
        <w:tabs>
          <w:tab w:leader="none" w:pos="177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involving any indemnification obligation of the Company or any of its Subsidiaries or otherwise involving any warranty, guaranty or surety by the Company or any of its Subsidiaries, in each case other than Contracts entered into in the ordinary course of business;</w:t>
      </w:r>
    </w:p>
    <w:p>
      <w:pPr>
        <w:spacing w:after="0" w:line="139" w:lineRule="exact"/>
        <w:rPr>
          <w:rFonts w:ascii="Times New Roman" w:cs="Times New Roman" w:eastAsia="Times New Roman" w:hAnsi="Times New Roman"/>
          <w:sz w:val="17"/>
          <w:szCs w:val="17"/>
          <w:color w:val="auto"/>
        </w:rPr>
      </w:pPr>
    </w:p>
    <w:p>
      <w:pPr>
        <w:ind w:right="580" w:firstLine="1428"/>
        <w:spacing w:after="0" w:line="282" w:lineRule="auto"/>
        <w:tabs>
          <w:tab w:leader="none" w:pos="18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relating to the purchase or sale of assets of the Company or any of its Subsidiaries outside the ordinary course of business and that involves an amount or value in excess of $1,000,000;</w:t>
      </w:r>
    </w:p>
    <w:p>
      <w:pPr>
        <w:spacing w:after="0" w:line="161" w:lineRule="exact"/>
        <w:rPr>
          <w:rFonts w:ascii="Times New Roman" w:cs="Times New Roman" w:eastAsia="Times New Roman" w:hAnsi="Times New Roman"/>
          <w:sz w:val="18"/>
          <w:szCs w:val="18"/>
          <w:color w:val="auto"/>
        </w:rPr>
      </w:pPr>
    </w:p>
    <w:p>
      <w:pPr>
        <w:ind w:right="40" w:firstLine="1428"/>
        <w:spacing w:after="0" w:line="266" w:lineRule="auto"/>
        <w:tabs>
          <w:tab w:leader="none" w:pos="18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sale of any of the assets of the Company or any of its Subsidiaries other than in the ordinary course of business, or for the grant to any Person of any preferential right to purchase any of the Company’s or any of its Subsidiaries’ assets (other than indications of interest entered into in the ordinary course of business consistent with past practice);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2" w:name="page43"/>
    <w:bookmarkEnd w:id="42"/>
    <w:p>
      <w:pPr>
        <w:ind w:left="-40" w:right="280" w:firstLine="1428"/>
        <w:spacing w:after="0" w:line="282" w:lineRule="auto"/>
        <w:tabs>
          <w:tab w:leader="none" w:pos="18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relating to the acquisition (by merger, purchase of stock or assets or otherwise) by the Company or any of its Subsidiaries of any operating business or assets or the capital stock of any other Person;</w:t>
      </w:r>
    </w:p>
    <w:p>
      <w:pPr>
        <w:spacing w:after="0" w:line="161" w:lineRule="exact"/>
        <w:rPr>
          <w:rFonts w:ascii="Times New Roman" w:cs="Times New Roman" w:eastAsia="Times New Roman" w:hAnsi="Times New Roman"/>
          <w:sz w:val="18"/>
          <w:szCs w:val="18"/>
          <w:color w:val="auto"/>
        </w:rPr>
      </w:pPr>
    </w:p>
    <w:p>
      <w:pPr>
        <w:jc w:val="both"/>
        <w:ind w:left="-40" w:right="80" w:firstLine="1428"/>
        <w:spacing w:after="0" w:line="261" w:lineRule="auto"/>
        <w:tabs>
          <w:tab w:leader="none" w:pos="17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incurrence, assumption or guarantee of any indebtedness for borrowed money, or imposing a Lien (other than Permitted Liens) on any of the assets of the Company or any of its Subsidiaries, including indentures, guarantees, loan or credit agreements, sale and leaseback agreements, purchase money obligations incurred in connection with the acquisition of property, mortgages, pledge agreements, security agreements, or conditional sale or title retention agreements;</w:t>
      </w:r>
    </w:p>
    <w:p>
      <w:pPr>
        <w:spacing w:after="0" w:line="179" w:lineRule="exact"/>
        <w:rPr>
          <w:rFonts w:ascii="Times New Roman" w:cs="Times New Roman" w:eastAsia="Times New Roman" w:hAnsi="Times New Roman"/>
          <w:sz w:val="18"/>
          <w:szCs w:val="18"/>
          <w:color w:val="auto"/>
        </w:rPr>
      </w:pPr>
    </w:p>
    <w:p>
      <w:pPr>
        <w:ind w:left="-40" w:right="100" w:firstLine="1428"/>
        <w:spacing w:after="0" w:line="266" w:lineRule="auto"/>
        <w:tabs>
          <w:tab w:leader="none" w:pos="173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or any of its Subsidiaries to provide or obtain products or services for a period of one year or more, or that requires the Company or any of its Subsidiaries to purchase or sell a stated portion of its requirements or outputs, including any “take or pay” or minimum purchase obligations;</w:t>
      </w:r>
    </w:p>
    <w:p>
      <w:pPr>
        <w:spacing w:after="0" w:line="175" w:lineRule="exact"/>
        <w:rPr>
          <w:rFonts w:ascii="Times New Roman" w:cs="Times New Roman" w:eastAsia="Times New Roman" w:hAnsi="Times New Roman"/>
          <w:sz w:val="18"/>
          <w:szCs w:val="18"/>
          <w:color w:val="auto"/>
        </w:rPr>
      </w:pPr>
    </w:p>
    <w:p>
      <w:pPr>
        <w:ind w:left="-40" w:firstLine="1428"/>
        <w:spacing w:after="0" w:line="266" w:lineRule="auto"/>
        <w:tabs>
          <w:tab w:leader="none" w:pos="17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 employee of the Company or any of its Subsidiaries pursuant to which the employee receives annual cash compensation (including salary and target annual cash bonus and target commissions) of $250,000 or more, excluding any such Contract that is terminable at-will without the Company or any of its Subsidiaries incurring any severance liability;</w:t>
      </w:r>
    </w:p>
    <w:p>
      <w:pPr>
        <w:spacing w:after="0" w:line="175" w:lineRule="exact"/>
        <w:rPr>
          <w:rFonts w:ascii="Times New Roman" w:cs="Times New Roman" w:eastAsia="Times New Roman" w:hAnsi="Times New Roman"/>
          <w:sz w:val="18"/>
          <w:szCs w:val="18"/>
          <w:color w:val="auto"/>
        </w:rPr>
      </w:pPr>
    </w:p>
    <w:p>
      <w:pPr>
        <w:ind w:left="1840" w:hanging="452"/>
        <w:spacing w:after="0"/>
        <w:tabs>
          <w:tab w:leader="none" w:pos="1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settlement of any material Action;</w:t>
      </w:r>
    </w:p>
    <w:p>
      <w:pPr>
        <w:spacing w:after="0" w:line="225" w:lineRule="exact"/>
        <w:rPr>
          <w:rFonts w:ascii="Times New Roman" w:cs="Times New Roman" w:eastAsia="Times New Roman" w:hAnsi="Times New Roman"/>
          <w:sz w:val="18"/>
          <w:szCs w:val="18"/>
          <w:color w:val="auto"/>
        </w:rPr>
      </w:pPr>
    </w:p>
    <w:p>
      <w:pPr>
        <w:ind w:left="-40" w:right="80" w:firstLine="1428"/>
        <w:spacing w:after="0" w:line="282" w:lineRule="auto"/>
        <w:tabs>
          <w:tab w:leader="none" w:pos="18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related person (as defined in Item 404 of Regulation S-K of the Securities Act) that would be required to be disclosed in the Company SEC Documents but has not been disclosed.</w:t>
      </w:r>
    </w:p>
    <w:p>
      <w:pPr>
        <w:spacing w:after="0" w:line="161" w:lineRule="exact"/>
        <w:rPr>
          <w:rFonts w:ascii="Times New Roman" w:cs="Times New Roman" w:eastAsia="Times New Roman" w:hAnsi="Times New Roman"/>
          <w:sz w:val="18"/>
          <w:szCs w:val="18"/>
          <w:color w:val="auto"/>
        </w:rPr>
      </w:pPr>
    </w:p>
    <w:p>
      <w:pPr>
        <w:ind w:left="-40" w:right="20" w:firstLine="987"/>
        <w:spacing w:after="0" w:line="255" w:lineRule="auto"/>
        <w:tabs>
          <w:tab w:leader="none" w:pos="12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each Material Contract is valid and binding on the Company and each of its Subsidiaries party thereof, and, to the knowledge of the Company, each other party thereto and is in full force and effect, except for such failures to be valid and binding or to be in full force and effect that would not, individually or in the aggregate, have a Material Adverse Effect. Except as would not, individually or in the aggregate, have a Material Adverse Effect, there is no default under any Material Contract by the Company or any of its Subsidiaries or, to the knowledge of the Company, any other party thereto, and no event has occurred that with the lapse of time or the giving of notice or both would constitute a default thereunder by the Company or any of its Subsidiaries or, to the knowledge of the Company, any other party thereto. The Company has made available to Parent true and complete copies of all Material Contracts as in effect as of the date of this Agreement.</w:t>
      </w:r>
    </w:p>
    <w:p>
      <w:pPr>
        <w:spacing w:after="0" w:line="188" w:lineRule="exact"/>
        <w:rPr>
          <w:rFonts w:ascii="Times New Roman" w:cs="Times New Roman" w:eastAsia="Times New Roman" w:hAnsi="Times New Roman"/>
          <w:sz w:val="18"/>
          <w:szCs w:val="18"/>
          <w:color w:val="auto"/>
        </w:rPr>
      </w:pPr>
    </w:p>
    <w:p>
      <w:pPr>
        <w:ind w:left="-40" w:right="60" w:firstLine="987"/>
        <w:spacing w:after="0" w:line="255" w:lineRule="auto"/>
        <w:tabs>
          <w:tab w:leader="none" w:pos="11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4.15(c)</w:t>
      </w:r>
      <w:r>
        <w:rPr>
          <w:rFonts w:ascii="Times New Roman" w:cs="Times New Roman" w:eastAsia="Times New Roman" w:hAnsi="Times New Roman"/>
          <w:sz w:val="18"/>
          <w:szCs w:val="18"/>
          <w:color w:val="auto"/>
        </w:rPr>
        <w:t xml:space="preserve"> of the Company Disclosure Letter sets forth a list of the ten largest customers and the ten largest suppliers of the Company and its Subsidiaries, as measured by the dollar amount of sales or purchases, as applicable, during the 12 months ended on the Balance Sheet Date, showing the approximate total sales to each such customer and the approximate total purchases from each such supplier during such period. Since the Balance Sheet Date, no customer or supplier listed on </w:t>
      </w:r>
      <w:r>
        <w:rPr>
          <w:rFonts w:ascii="Times New Roman" w:cs="Times New Roman" w:eastAsia="Times New Roman" w:hAnsi="Times New Roman"/>
          <w:sz w:val="18"/>
          <w:szCs w:val="18"/>
          <w:u w:val="single" w:color="auto"/>
          <w:color w:val="auto"/>
        </w:rPr>
        <w:t>Section 4.15(c)</w:t>
      </w:r>
      <w:r>
        <w:rPr>
          <w:rFonts w:ascii="Times New Roman" w:cs="Times New Roman" w:eastAsia="Times New Roman" w:hAnsi="Times New Roman"/>
          <w:sz w:val="18"/>
          <w:szCs w:val="18"/>
          <w:color w:val="auto"/>
        </w:rPr>
        <w:t xml:space="preserve"> of the Company Disclosure Letter has terminated, or notified the Company or any of its Subsidiaries in writing that it intends to terminate, its relationship with the Company or any of its Subsidiaries, or has materially reduced or changed, or notified the Company or any of its Subsidiaries in writing that it intends to materially reduce or change, the pricing or other material terms of its business with the Company or any of its Subsidiaries.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Regulatory Matters and Compliance with Applicable Regulatory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360" w:firstLine="987"/>
        <w:spacing w:after="0" w:line="266" w:lineRule="auto"/>
        <w:tabs>
          <w:tab w:leader="none" w:pos="11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holds all material Permits of all Governmental Entities required under applicable Laws, including the Department of Transportation’s Pipeline and Hazardous Materials Safety Administration regulations, the International Civil Aviation Organization and International Air Transport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80" w:top="270" w:right="479" w:bottom="1440" w:gutter="0" w:footer="0" w:header="0"/>
        </w:sectPr>
      </w:pPr>
    </w:p>
    <w:bookmarkStart w:id="43" w:name="page44"/>
    <w:bookmarkEnd w:id="4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Association Dangerous Goods Regulations, the International Maritime Dangerous Goods Code, the International Traffic in Arms Regulations, the Export Administration Regulations, and any comparable Governmental Entity outside the United States or any successor agency thereto, including all such Permits required for the lawful operation of the businesses of the Company and its Subsidiaries as currently conducted under applicable transportation, environmental, and export control Laws (collectively, “</w:t>
      </w:r>
      <w:r>
        <w:rPr>
          <w:rFonts w:ascii="Times New Roman" w:cs="Times New Roman" w:eastAsia="Times New Roman" w:hAnsi="Times New Roman"/>
          <w:sz w:val="18"/>
          <w:szCs w:val="18"/>
          <w:u w:val="single" w:color="auto"/>
          <w:color w:val="auto"/>
        </w:rPr>
        <w:t>Applicable Regulatory Laws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and all such Regulatory Permits are valid and in full force and effect. There has not occurred any material violation of, or default (with or without notice or lapse of time or both) under, any such Regulatory Permit. The Company and each of its Subsidiaries is in compliance in all material respects with the terms of all such Applicable Regulatory Laws, and all such Regulatory Permits required for the operation of the businesses as currently conducted. Neither the Company nor any of its Subsidiaries has received written notice of any pending or threatened claim, any Action by any Governmental Entity alleging that any Company Product or operation or activity of the Company or any of its Subsidiaries is in material violation of any Applicable Regulatory Law or Regulatory Permit.</w:t>
      </w:r>
    </w:p>
    <w:p>
      <w:pPr>
        <w:spacing w:after="0" w:line="194" w:lineRule="exact"/>
        <w:rPr>
          <w:sz w:val="20"/>
          <w:szCs w:val="20"/>
          <w:color w:val="auto"/>
        </w:rPr>
      </w:pPr>
    </w:p>
    <w:p>
      <w:pPr>
        <w:ind w:left="4" w:right="20" w:firstLine="987"/>
        <w:spacing w:after="0" w:line="252"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of the Company Disclosure Letter sets forth a true and complete list of each registration, approval, clearance, certificate, license, listing or filing issued by or made with any Governmental Entity outside the United States that is required for the importation, marketing, sale, distribution, installation or servicing of any Company Product (each, a “</w:t>
      </w:r>
      <w:r>
        <w:rPr>
          <w:rFonts w:ascii="Times New Roman" w:cs="Times New Roman" w:eastAsia="Times New Roman" w:hAnsi="Times New Roman"/>
          <w:sz w:val="18"/>
          <w:szCs w:val="18"/>
          <w:u w:val="single" w:color="auto"/>
          <w:color w:val="auto"/>
        </w:rPr>
        <w:t>Company Product Permit</w:t>
      </w:r>
      <w:r>
        <w:rPr>
          <w:rFonts w:ascii="Times New Roman" w:cs="Times New Roman" w:eastAsia="Times New Roman" w:hAnsi="Times New Roman"/>
          <w:sz w:val="18"/>
          <w:szCs w:val="18"/>
          <w:color w:val="auto"/>
        </w:rPr>
        <w:t>”). The Company and each of its Subsidiaries holds, and has held at all times, all Company Product Permits of all Governmental Entities required under applicable requirements of Applicable Regulatory Laws, including the EU Battery Directive, the EU Restriction of Hazardous Substances Directive, China RoHS 2, the (Indian) Electronics and Information Technology Goods (Requirement of Compulsory Registration) Order, 2021 and the Bureau of Indian Standards compulsory registration scheme thereunder, the (Indian) Battery Waste Management Rules, 2022, and the regulations promulgated thereunder by applicable Governmental Entities. Each Company Product Permit is held in the name of the Company or a Subsidiary, is valid and in full force and effect, and no proceeding is pending or, to the knowledge of the Company, threatened to suspend, revoke, cancel or materially modify any Company Product Permit. Since January 1, 2023, there has not occurred any material violation of, or default (with or without notice or lapse of time or both) under, any such Company Product Permit. The Company and each of its Subsidiaries is in compliance in all material respects with the terms of all such Company Product Permits required for the operation of the businesses as currently conducted. Since January 1, 2023, neither the Company nor any of its Subsidiaries has received written notice of any pending or threatened claim, any Action by any Governmental Entity alleging that any Company Product or operation or activity of the Company or any of its Subsidiaries is in material violation of any applicable Law or Company Product Permit.</w:t>
      </w:r>
    </w:p>
    <w:p>
      <w:pPr>
        <w:spacing w:after="0" w:line="197"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Products have been researched, manufactured, imported, exported, processed, developed, labeled, stored, tested, marketed, promoted, advertised and distributed by or on behalf of the Company or any of its Subsidiaries in compliance in all material respects with all applicable Law, including applicable requirements under any applicable Regulatory Permits and all Applicable Regulatory Laws, including applicable statutes and implementing regulations administered or enforced by the Department of Transportation, Environmental Protection Agency, Bureau of Industry and Security, Directorate of Defense Trade Controls, or any comparable Governmental Entity. All applications, notifications, submissions, information, claims, reports and data utilized by the Company or any of its Subsidiaries as the basis for, or submitted by or, to the knowledge of the Company, on behalf of the Company or any of its Subsidiaries in connection with, any and all requests for the Regulatory Permits relating to the Company or any of its Subsidiaries when submitted to any Governmental Entity, were true and correct in all material respects as of the date of submission, and any material updates, changes, corrections or modification to such applications, notifications, submissions, information, claims, reports and data required under applicable Laws, including Applicable Regulatory Laws, have been submitted to the applicable Governmental Entity.</w:t>
      </w:r>
    </w:p>
    <w:p>
      <w:pPr>
        <w:spacing w:after="0" w:line="194"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2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(i) made an untrue statement of a material fact or fraudulent statement to any Governmental Entity regulating the transportation, export, import, or environmental compliance of the Company’s or any of its Subsidiaries’ products,</w:t>
      </w: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disclose a material</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4" w:name="page45"/>
    <w:bookmarkEnd w:id="44"/>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 required to be disclosed to any such Governmental Entity or (iii) made any statement, failed to make any statement or committed any other act, which statement, failure or act, in any such case of the foregoing clauses (i), (ii) and (iii), would reasonably be expected to result in the denial, suspension, or revocation of any Regulatory Permit or Company Product Permit. Neither the Company nor any of its Subsidiaries nor, to the knowledge of the Company, any of their officers, directors, employees, or Representatives, has received any notification from any Governmental Entity that it is the subject of any pending or threatened investigation relating to any Applicable Regulatory Law.</w:t>
      </w:r>
    </w:p>
    <w:p>
      <w:pPr>
        <w:spacing w:after="0" w:line="183" w:lineRule="exact"/>
        <w:rPr>
          <w:sz w:val="20"/>
          <w:szCs w:val="20"/>
          <w:color w:val="auto"/>
        </w:rPr>
      </w:pPr>
    </w:p>
    <w:p>
      <w:pPr>
        <w:ind w:left="4" w:right="120" w:firstLine="987"/>
        <w:spacing w:after="0" w:line="272" w:lineRule="auto"/>
        <w:tabs>
          <w:tab w:leader="none" w:pos="12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Company Products by or on behalf of the Company or any of its Subsidiaries has been and is being conducted in compliance with all applicable Laws, including all Applicable Regulatory Laws and Regulatory Permits. Neither the Company nor any of its Subsidiaries nor, to the knowledge of the Company, any of their contract manufacturers for Company Products, has received any (i) notice of violation,</w:t>
      </w:r>
    </w:p>
    <w:p>
      <w:pPr>
        <w:spacing w:after="0" w:line="1" w:lineRule="exact"/>
        <w:rPr>
          <w:rFonts w:ascii="Times New Roman" w:cs="Times New Roman" w:eastAsia="Times New Roman" w:hAnsi="Times New Roman"/>
          <w:sz w:val="17"/>
          <w:szCs w:val="17"/>
          <w:color w:val="auto"/>
        </w:rPr>
      </w:pPr>
    </w:p>
    <w:p>
      <w:pPr>
        <w:ind w:left="4" w:right="100" w:hanging="4"/>
        <w:spacing w:after="0" w:line="252" w:lineRule="auto"/>
        <w:tabs>
          <w:tab w:leader="none" w:pos="2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 (iii) requests or requirements to make changes to the Company’s or any of its Subsidiaries’ Company Products, manufacturing processes or procedures related to any Company Product, or (iv) other similar written correspondence or written notice from any Governmental Entity alleging or asserting noncompliance with any applicable Law, including Applicable Regulatory Laws or the Regulatory Permits, with respect to any Company Product. No manufacturing site owned by the Company or any of its Subsidiaries, or, to the knowledge of the Company, any of their contract manufacturers for Company Products, is or has been subject to a shutdown or import or export prohibition imposed by any Governmental Entity with respect to the Company’s or any of its Subsidiaries’ Company Products.</w:t>
      </w:r>
    </w:p>
    <w:p>
      <w:pPr>
        <w:spacing w:after="0" w:line="189"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 testing, safety testing, and quality control activities being conducted by or on behalf of the Company or any of its Subsidiaries have been and are being conducted in compliance with all applicable Laws, including Applicable Regulatory Laws and the requirements of applicable industry standards (including ISO 9001, ISO 13485, and ISO 14001, as applicable). Neither the Company nor any of its Subsidiaries has received any written notices, correspondence or communication from any Governmental Entity or certification body requiring the termination, suspension or material modification of any Company Product certification or quality management system certification.</w:t>
      </w:r>
    </w:p>
    <w:p>
      <w:pPr>
        <w:spacing w:after="0" w:line="183"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officers, directors, employees or Representatives is debarred or suspended from contracting with any Governmental Entity, or has been convicted of any crime or has engaged in any conduct that would reasonably be expected to result in debarment or suspension from government contracting under any applicable Law.</w:t>
      </w:r>
    </w:p>
    <w:p>
      <w:pPr>
        <w:spacing w:after="0" w:line="175"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has been in compliance with all Applicable Regulatory Laws applicable to the operation of its business as then conducted. Neither the Company nor any of its Subsidiaries nor, to the knowledge of the Company, any director, officer, employee or Representative of the Company or any of its Subsidiaries (in each case, acting in the capacity of an employee or Representative of the Company or any of its Subsidiaries), has received any written notice from any Governmental Entity alleging any violation of any Applicable Regulatory Laws or is subject to any enforcement, regulatory or administrative proceedings against or affecting the Company or any of its Subsidiaries relating to or arising under the Applicable Regulatory Laws.</w:t>
      </w:r>
    </w:p>
    <w:p>
      <w:pPr>
        <w:spacing w:after="0" w:line="187"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1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directors, officers, employees or Representatives (in each case, acting in the capacity of an employee or Representative of the Company or any of its Subsidiaries) is a party to any corporate integrity agreement, monitoring agreement, deferred prosecution agreement, consent decree, settlement order or similar agreement with or imposed by any Governmental Entity, and no such Action is pending as of the date hereof.</w:t>
      </w:r>
    </w:p>
    <w:p>
      <w:pPr>
        <w:spacing w:after="0" w:line="179"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1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filed with the applicable Governmental Entities that administer Applicable Regulatory Laws all required and material filings, including all reports required to be filed with the Department of Transportation, Environmental Protection Agency, Bureau of Industry and Security,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5" w:name="page46"/>
    <w:bookmarkEnd w:id="45"/>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comparable Governmental Entities pursuant to applicable requirements, and annual reports and other periodic filings required by any applicable Governmental Entity. All such filings were in material compliance with applicable Law when filed, and no deficiencies have been asserted in writing by any applicable Governmental Entities with respect to any such filings.</w:t>
      </w:r>
    </w:p>
    <w:p>
      <w:pPr>
        <w:spacing w:after="0" w:line="176" w:lineRule="exact"/>
        <w:rPr>
          <w:sz w:val="20"/>
          <w:szCs w:val="20"/>
          <w:color w:val="auto"/>
        </w:rPr>
      </w:pPr>
    </w:p>
    <w:p>
      <w:pPr>
        <w:ind w:left="4" w:right="20" w:firstLine="987"/>
        <w:spacing w:after="0" w:line="256" w:lineRule="auto"/>
        <w:tabs>
          <w:tab w:leader="none" w:pos="12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has any material liability arising out of any injury to any Person or property as a result of the ownership, possession or use of any Company Product, (ii) no material claim, demand, Action or administrative proceeding alleging personal injury, death or property damage arising from any Company Product has been made or, to the knowledge of the Company, threatened, (iii) each Company Product has conformed in all material respects with all applicable contractual commitments and express warranties made by the Company or any of its Subsidiaries with respect thereto and (iv) neither the Company nor any of its Subsidiaries has designed, manufactured, distributed, sold or installed any Company Product, or rendered any service, that included a warranty for a period longer than two years.</w:t>
      </w:r>
    </w:p>
    <w:p>
      <w:pPr>
        <w:spacing w:after="0" w:line="187"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1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there are no proceedings or actions undertaken by any Governmental Entity, or voluntarily by or on behalf of the Company or any of its Subsidiaries, to recall, detain, seize, suspend, withdraw or limit the manufacturing, distribution, marketing or sale of any Company Product, and, to the knowledge of the Company, no such proceeding or action is threatened. </w:t>
      </w:r>
      <w:r>
        <w:rPr>
          <w:rFonts w:ascii="Times New Roman" w:cs="Times New Roman" w:eastAsia="Times New Roman" w:hAnsi="Times New Roman"/>
          <w:sz w:val="18"/>
          <w:szCs w:val="18"/>
          <w:u w:val="single" w:color="auto"/>
          <w:color w:val="auto"/>
        </w:rPr>
        <w:t>Section 4.16(l)</w:t>
      </w:r>
      <w:r>
        <w:rPr>
          <w:rFonts w:ascii="Times New Roman" w:cs="Times New Roman" w:eastAsia="Times New Roman" w:hAnsi="Times New Roman"/>
          <w:sz w:val="18"/>
          <w:szCs w:val="18"/>
          <w:color w:val="auto"/>
        </w:rPr>
        <w:t xml:space="preserve"> of the Company Disclosure Letter sets forth a complete list of all voluntary and mandatory field safety corrective actions, recalls, market withdrawals, and safety alerts with respect to Company Products.</w:t>
      </w:r>
    </w:p>
    <w:p>
      <w:pPr>
        <w:spacing w:after="0" w:line="183" w:lineRule="exact"/>
        <w:rPr>
          <w:rFonts w:ascii="Times New Roman" w:cs="Times New Roman" w:eastAsia="Times New Roman" w:hAnsi="Times New Roman"/>
          <w:sz w:val="18"/>
          <w:szCs w:val="18"/>
          <w:color w:val="auto"/>
        </w:rPr>
      </w:pPr>
    </w:p>
    <w:p>
      <w:pPr>
        <w:ind w:left="4" w:firstLine="987"/>
        <w:spacing w:after="0" w:line="270" w:lineRule="auto"/>
        <w:tabs>
          <w:tab w:leader="none" w:pos="130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4.16(m)</w:t>
      </w:r>
      <w:r>
        <w:rPr>
          <w:rFonts w:ascii="Times New Roman" w:cs="Times New Roman" w:eastAsia="Times New Roman" w:hAnsi="Times New Roman"/>
          <w:sz w:val="17"/>
          <w:szCs w:val="17"/>
          <w:color w:val="auto"/>
        </w:rPr>
        <w:t xml:space="preserve"> of the Company Disclosure Letter sets forth a true and complete list of all (i) export licenses, agreements, and authorizations issued by the Bureau of Industry and Security or Directorate of Defense Trade Controls, (ii) all pending applications, notifications, or submissions to any Governmental Entity relating to export controls or defense trade, (iii) all material certifications and registrations currently held by the Company or any of its Subsidiaries (including ISO certifications, Underwriters Laboratories certifications, and similar product safety certifications), and</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foregoing as they apply to other Governmental Entities.</w:t>
      </w:r>
    </w:p>
    <w:p>
      <w:pPr>
        <w:spacing w:after="0" w:line="206"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maintains a quality management system that complies in all material respects with the requirements of ISO 9001 and, to the extent applicable, ISO 13485 and ISO 14001. Neither the Company nor any of its Subsidiaries has received any written notice from any Governmental Entity or certification body that its quality management system is not in compliance with applicable requirements. All facilities at which Company Products are manufactured, tested, or stored, whether owned by the Company or any of its Subsidiaries or their contract manufacturers, are registered with applicable Governmental Entities as required by Law and are not subject to any pending or, to the knowledge of the Company, threatened warning letter, consent decree, or other enforcement action relating to quality system compliance.</w:t>
      </w:r>
    </w:p>
    <w:p>
      <w:pPr>
        <w:spacing w:after="0" w:line="187"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of the Company Disclosure Letter lists each policy of insurance owned by, or maintained for the benefit of, the Company or any of its Subsidiaries (collectively,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All Insurance Policies are in full force and effect. Each such Insurance Policy provides insurance coverage adequate and customary in all material respects, including amounts and types of insurance, in the industry for the operation of the Company’s and its Subsidiaries’ respective businesses, and all related premiums have been paid to date. Neither the Company nor any of its Subsidiaries is in breach or default with respect to its obligations under any of the Insurance Policies (including, with respect to the payment of premiums or the giving of any notice), and neither the Company nor any of its Subsidiaries has taken any action or failed to take any action which, with notice or the lapse of time, would constitute such a breach or default, or permit termination or modification of, any of such Insurance Policies. During the last four (4) years, no claim for coverage has been disputed or denied by the applicable insurer under any Insurance Policy, nor has any insurer issued a reservation of rights on such claim. Neither the Company nor any of its Subsidiaries has received any notice of cancellation or alteration of coverage or intent to cancel or alter coverage, or notice of increase or intent to increase premiums, with respect to any of the Insurance Policies. The Company and each of its Subsidiaries insures its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6" w:name="page47"/>
    <w:bookmarkEnd w:id="46"/>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assets and its business in such a manner as may be required by all applicable Laws and Contracts to which it is a party or by which it or its assets or properties is bound.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Company Disclosure Letter sets forth a true and complete list of all real property owned in fee by any member of the Company Group as of the date of this Agreement (collectively,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including for each such property the address, legal description, tax parcel number, and current use. Each member of the Company Group that owns Owned Real Property has good, valid, and marketable fee simple title to such Owned Real Property, free and clear of all Liens (other than Permitted Liens). No Owned Real Property is subject to any lease, license or other occupancy agreement granting any Person the right to use or occupy such Owned Real Property or any portion thereof.</w:t>
      </w:r>
    </w:p>
    <w:p>
      <w:pPr>
        <w:spacing w:after="0" w:line="183"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true, correct and complete copies of all title insurance policies, title commitments, surveys, zoning reports, and other reports pertaining to the Owned Real Property in the Company Group’s possession or control. There are no pending or, to the knowledge of the Company, threatened condemnation, eminent domain or similar proceedings affecting any Owned Real Property or any portion thereof.</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 xml:space="preserve"> of the Company Disclosure Letter sets forth a true and complete list of each leasehold or subleasehold estate held by any member of the Company Group as of the date of this Agreement (collectively,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together with the Owned Real Property, the “Real Property”), including for each such property the address, lessor/sublessor, current annual rent, expiration date, renewal options and any purchase options. The Company has delivered to Parent true, correct and complete copies of all leases, subleases, licenses, guaranties, concessions and other agreements (including all amendments, modifications, supplements, guaranties, subordination and non-disturbance agreements, side letters, estoppels, and material correspondence related thereto) relating to the Leased Real Property (collectively,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The Real Property constitutes all of the real property used or occupied by the Company Group in connection with the operation of its business. Except as would not, individually or in the aggregate, have a Material Adverse Effect, each member of the Company Group has a valid and enforceable leasehold interest in all of the Leased Real Property held by such member free and clear of all Liens (except for Permitted Liens), and each Real Property Lease is valid, binding and in full force and effect, without default thereunder by any member of the Company Group or, to the knowledge of the Company, any other party thereto, and no event has occurred that, with the lapse of time or the giving of notice or both, would constitute a default thereunder by any member of the Company Group or, to the knowledge of the Company, any other party thereto. No member of the Company Group has subleased, licensed or otherwise granted any Person the right to use or occupy any Leased Real Property or any portion thereof. All rent and additional rent, including operating expenses and property taxes, payable under the Real Property Leases has been paid when due to date. No Real Property Lease requires the consent of the landlord or any other party in connection with the consummation of the transactions contemplated by this Agreement, and the consummation of the transactions contemplated by this Agreement will not result in a breach of, or default under, or give rise to a right of termination, cancellation or acceleration under, any Real Property Lease.</w:t>
      </w:r>
    </w:p>
    <w:p>
      <w:pPr>
        <w:spacing w:after="0" w:line="193"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property and assets used in the Company’s and its Subsidiaries’ business, and the Owned Real Property and Leased Real Property (taken as a whole), is, to the knowledge of the Company, in good operating condition and repair, ordinary wear and tear and deferred maintenance excepted, and except for such failures to be in good operating condition and repair which would, individually or in the aggregate, have a Material Adverse Effect.</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is in good operating condition and repair, ordinary wear and tear excepted, and is sufficient for the continued conduct of the Company Group’s business as currently conducted. There are no material structural or mechanical defects in any improvements located on the Real Property, and no material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7" w:name="page48"/>
    <w:bookmarkEnd w:id="4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repair or capital expenditure is currently required or anticipated in connection therewith. No member of the Company Group has received written notice of any pending or threatened condemnation, eminent domain or similar proceeding affecting any Real Property. Except as set forth in </w:t>
      </w:r>
      <w:r>
        <w:rPr>
          <w:rFonts w:ascii="Times New Roman" w:cs="Times New Roman" w:eastAsia="Times New Roman" w:hAnsi="Times New Roman"/>
          <w:sz w:val="18"/>
          <w:szCs w:val="18"/>
          <w:u w:val="single" w:color="auto"/>
          <w:color w:val="auto"/>
        </w:rPr>
        <w:t>Section 4.18(e)</w:t>
      </w:r>
      <w:r>
        <w:rPr>
          <w:rFonts w:ascii="Times New Roman" w:cs="Times New Roman" w:eastAsia="Times New Roman" w:hAnsi="Times New Roman"/>
          <w:sz w:val="18"/>
          <w:szCs w:val="18"/>
          <w:color w:val="auto"/>
        </w:rPr>
        <w:t xml:space="preserve"> of the Company Disclosure Letter, no portion of the Real Property has been affected by fire or other casualty that prevents any member of the Company Group from conducting the ordinary course of business thereon. Except as set forth in </w:t>
      </w:r>
      <w:r>
        <w:rPr>
          <w:rFonts w:ascii="Times New Roman" w:cs="Times New Roman" w:eastAsia="Times New Roman" w:hAnsi="Times New Roman"/>
          <w:sz w:val="18"/>
          <w:szCs w:val="18"/>
          <w:u w:val="single" w:color="auto"/>
          <w:color w:val="auto"/>
        </w:rPr>
        <w:t>Section 4.18(e)</w:t>
      </w:r>
      <w:r>
        <w:rPr>
          <w:rFonts w:ascii="Times New Roman" w:cs="Times New Roman" w:eastAsia="Times New Roman" w:hAnsi="Times New Roman"/>
          <w:sz w:val="18"/>
          <w:szCs w:val="18"/>
          <w:color w:val="auto"/>
        </w:rPr>
        <w:t xml:space="preserve"> of the Company Disclosure Letter, there is no ongoing construction at the Real Property nor are there any amounts owed from completed construction at the Real Property. The Real Property is adequately serviced by public or private telecommunications, water, sewer, and electricity services.</w:t>
      </w:r>
    </w:p>
    <w:p>
      <w:pPr>
        <w:spacing w:after="0" w:line="187" w:lineRule="exact"/>
        <w:rPr>
          <w:sz w:val="20"/>
          <w:szCs w:val="20"/>
          <w:color w:val="auto"/>
        </w:rPr>
      </w:pPr>
    </w:p>
    <w:p>
      <w:pPr>
        <w:ind w:right="120" w:firstLine="987"/>
        <w:spacing w:after="0" w:line="258" w:lineRule="auto"/>
        <w:tabs>
          <w:tab w:leader="none" w:pos="1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each of its Subsidiaries’ use and operation of the Real Property is in compliance in all material respects with all applicable Laws, including zoning, building, fire, health and safety codes, and all certificates of occupancy, permits and authorizations required for the current use and operation of the Real Property have been obtained and are in full force and effect. No improvement on any Owned Real Property or Leased Real Property encroaches on real property owned or leased by any other Person, and no improvement of any other Person encroaches on any Owned Real Property.</w:t>
      </w:r>
    </w:p>
    <w:p>
      <w:pPr>
        <w:spacing w:after="0" w:line="183"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purchase options, rights of first refusal, rights of first offer or similar rights held by any Person with respect to any Real Property or any portion thereof (other than any such rights held by the Company or a Subsidiary under a Real Property Lease).</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 representation is made under this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with respect to any Intellectual Property or Intellectual Property Rights, which are the subject of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61"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Company Disclosure Letter sets forth a true and complete list of all Registered IP owned or purported to be owned in whole or in part by the Company or any of its Subsidiaries on the date of this Agreement (collectively,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indicating for each item the registration or application number, status, the applicable filing jurisdiction, the date of filing or issuance, the owner/owners, and the expiration date or renewal date.</w:t>
      </w:r>
    </w:p>
    <w:p>
      <w:pPr>
        <w:spacing w:after="0" w:line="179"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Company Disclosure Letter contains a list of (i) all Company Products currently offered by or on behalf of the Company or any of its Subsidiaries and (ii) all material unregistered Trademarks owned or purported to be owned by the Company or any of its Subsidiaries.</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Registered IP is involved in any interference, reissue, reexamination, opposition, cancellation, refusal, rejection, inter partes review, post grant review, derivation or similar proceeding and no such action is or has been threatened with respect to any of the Company Registered IP, in which the validity, enforceability or ownership of any Company Registered IP is being contested or challenged (other than office actions or similar communications issued by any Governmental Entity in the ordinary course of prosecution of any pending applications for registration of Company Registered IP). No loss, lapse, cancellation, expiration or abandonment of any Company Registered IP is pending, threatened or reasonably foreseeable (including as a result of any failure to pay required maintenance or renewal fees or take other necessary actions). Each item of Company Registered IP (other than applications for Company Registered IP) is subsisting, valid and enforceable. No pending application for Company Registered IP has received a final rejection or is on appeal, and no prosecution of any such application has been abandoned or allowed to lapse.</w:t>
      </w:r>
    </w:p>
    <w:p>
      <w:pPr>
        <w:spacing w:after="0" w:line="19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Registered IP is owned by the Company or a Subsidiary free and clear of all Liens and other encumbrances. Neither the Company nor any of its Subsidiaries has granted to any person a joint ownership interest of, and has not granted or permitted any person to retain, any exclusive rights that remain in effect in, any Intellectual Property Right that is Company Intellectual Property. The Company or a Subsidiary exclusively owns all right, title, and interest in and to all Company Intellectual Property (except as limited by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48" w:name="page49"/>
    <w:bookmarkEnd w:id="48"/>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Out-Licenses), or has a valid and enforceable In-License to use all Intellectual Property and Intellectual Property Rights used in the conduct of the business of the Company or any of its Subsidiaries, or in connection with any Company Product. All Intellectual Property and Intellectual Property Rights acquired by the Company or any of its Subsidiaries from any third party, including in connection with any acquisition, merger, asset purchase or similar transaction, have been validly assigned to the Company or a Subsidiary, all chain-of-title documentation for such assignments is complete and accurate, and all such assignments have been duly recorded with the applicable Governmental Entities where required or advisable. The Company Intellectual Property together with the Intellectual Property licensed to the Company or any of its Subsidiaries under the In-Licenses constitutes all of the Intellectual Property necessary to operate the business of the Company and its Subsidiaries, including with respect to the Company Products, as presently conducted and as proposed to be conducted. All of the Company’s and its Subsidiaries’ rights in and to the Company Intellectual Property are freely assignable, transferable, and licensable without any restrictions or obligations to make payment to any third party.</w:t>
      </w:r>
    </w:p>
    <w:p>
      <w:pPr>
        <w:spacing w:after="0" w:line="188" w:lineRule="exact"/>
        <w:rPr>
          <w:sz w:val="20"/>
          <w:szCs w:val="20"/>
          <w:color w:val="auto"/>
        </w:rPr>
      </w:pPr>
    </w:p>
    <w:p>
      <w:pPr>
        <w:jc w:val="both"/>
        <w:ind w:right="20" w:firstLine="987"/>
        <w:spacing w:after="0" w:line="266"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renewal, maintenance and other similar payments that are or have become due with respect to the Company Registered IP and with respect to Intellectual Property Rights exclusively licensed to the Company or any of its Subsidiaries, have been timely paid by or on behalf of the Company or such Subsidiary.</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a practice requiring each employee, consultant, independent contractor, or other third party involved in the creation of Intellectual Property Rights or Intellectual Property to execute a proprietary information, confidentiality and intellectual property assignment agreement containing a present assignment of rights substantially in the form made available to Parent. No current or former founder, officer, employee, consultant, independent contractor or other Person who has contributed to the creation or development of any Company Intellectual Property has performed services for any Governmental Entity, university, college or other educational institution or research center during a period of time during which such Person was also performing services for the Company or any of its Subsidiaries.</w:t>
      </w:r>
    </w:p>
    <w:p>
      <w:pPr>
        <w:spacing w:after="0" w:line="187"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and former founders, employees, consultants, independent contractors, or other third parties of the Company or any of its Subsidiaries that have created Intellectual Property Rights or Intellectual Property for the Company or any of its Subsidiaries have executed proprietary information, confidentiality and intellectual property assignment agreements containing a present assignment of rights and an agreement to assign rights substantially in the form made available to Parent. No manager, director, officer, employee, consultant, or other representative of the Company or any of its Subsidiaries owns or, to the knowledge of the Company, claims any rights in any Intellectual Property owned, purported to be owned, or used by or developed on behalf of the Company or any of its Subsidiaries. No Person has excluded any Intellectual Property from their respective confidentiality and invention assignment agreement, and no Person is in material breach of their respective confidentiality and invention assignment agreement. Each employee, consultant, independent contractor, or other third party involved in the creation of Intellectual Property Rights or Intellectual Property has waived their moral rights in and to such Intellectual Property Rights or Intellectual Property.</w:t>
      </w:r>
    </w:p>
    <w:p>
      <w:pPr>
        <w:spacing w:after="0" w:line="188"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commercially reasonable steps to maintain the confidentiality of all Trade Secrets owned or otherwise held by the Company or any of its Subsidiaries, including taking commercially reasonable steps to safeguard any such information that is accessible through computer systems or networks. There has been no (i) material unauthorized disclosure of any third party Trade Secrets, proprietary information or documentation in the possession, custody or control of the Company or any of its Subsidiaries with respect to the business of the Company or any of its Subsidiaries, or (ii) material breach of any of the Company’s or any of its Subsidiaries’ security procedures wherein Trade Secrets, proprietary information or documentation have been improperly disclosed to a third party.</w:t>
      </w:r>
    </w:p>
    <w:p>
      <w:pPr>
        <w:spacing w:after="0" w:line="187" w:lineRule="exact"/>
        <w:rPr>
          <w:rFonts w:ascii="Times New Roman" w:cs="Times New Roman" w:eastAsia="Times New Roman" w:hAnsi="Times New Roman"/>
          <w:sz w:val="18"/>
          <w:szCs w:val="18"/>
          <w:color w:val="auto"/>
        </w:rPr>
      </w:pPr>
    </w:p>
    <w:p>
      <w:pPr>
        <w:ind w:firstLine="987"/>
        <w:spacing w:after="0" w:line="289" w:lineRule="auto"/>
        <w:tabs>
          <w:tab w:leader="none" w:pos="120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Neither the Company Products, the Company Intellectual Property, nor the current conduct or operations of the Company or any of its Subsidiaries, infringe upon, misappropriate or otherwise violate, or since January 1, 2023 have infringed upon, misappropriated or otherwise violated, any Intellectual Property Rights of any third party in connection with the conduct of its business, (ii) no Action has been filed against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9" w:name="page50"/>
    <w:bookmarkEnd w:id="49"/>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of its Subsidiaries and neither the Company nor any of its Subsidiaries has received any written notice, demand, threat or claim asserting that any such infringement or misappropriation is occurring or has occurred, and to the knowledge of the Company, no such Action, notice, claim, demand or threat is threatened, (iii) no Company Intellectual Property nor, to the knowledge of the Company, Intellectual Property or Intellectual Property Rights licensed to the Company or any of its Subsidiaries under any In-License, is subject to any Order of any Governmental Entity restricting or limiting the ownership, use, validity, enforceability or licensing thereof by the Company or any of its Subsidiaries of any such Intellectual Property or Intellectual Property Rights, and (iv) to the knowledge of the Company, there are no facts or circumstances that could reasonably be expected to give rise to any claim of infringement, misappropriation or violation by the Company or any of its Subsidiaries. No third party is misappropriating, diluting, violating or infringing any Company Intellectual Property or any Intellectual Property Rights exclusively licensed to the Company or any of its Subsidiaries, and to the knowledge of the Company there are no facts or circumstances that would reasonably be expected to give rise to any such claim. Neither the Company nor any of its Subsidiaries has brought any claims, suits, arbitrations or other Actions before any court, Governmental Entity or arbitral tribunal against any third party with respect to any Company Intellectual Property or with respect to any Intellectual Property or Intellectual Property Rights exclusively licensed to the Company or any of its Subsidiaries.</w:t>
      </w:r>
    </w:p>
    <w:p>
      <w:pPr>
        <w:spacing w:after="0" w:line="190" w:lineRule="exact"/>
        <w:rPr>
          <w:sz w:val="20"/>
          <w:szCs w:val="20"/>
          <w:color w:val="auto"/>
        </w:rPr>
      </w:pPr>
    </w:p>
    <w:p>
      <w:pPr>
        <w:ind w:left="4" w:firstLine="987"/>
        <w:spacing w:after="0" w:line="254" w:lineRule="auto"/>
        <w:tabs>
          <w:tab w:leader="none" w:pos="12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4.19(j)</w:t>
      </w:r>
      <w:r>
        <w:rPr>
          <w:rFonts w:ascii="Times New Roman" w:cs="Times New Roman" w:eastAsia="Times New Roman" w:hAnsi="Times New Roman"/>
          <w:sz w:val="18"/>
          <w:szCs w:val="18"/>
          <w:color w:val="auto"/>
        </w:rPr>
        <w:t xml:space="preserve"> of the Company Disclosure Letter contains a list of all Contracts pursuant to which a third party has licensed or granted any right to the Company or any of its Subsidiaries in any Intellectual Property or Intellectual Property Rights, other than (i) non-disclosure agreements substantially in the form of the Company’s standard form non-disclosure agreement, a copy of which has been made available to Parent, (ii) Open Source Licenses, (iii) agreements with current and former employees, officers, contractors, and consultants for providing services to the Company or any of its Subsidiaries, in each case substantially in the form of the Company’s standard form non-disclosure agreement, a copy of which has been made available to Parent, (iv) any licenses for non-customized commercially available, off-the-shelf Software (including Software licensed through software as a service (SaaS) arrangements), (v) Contracts with aggregate annual fees less than $200,000 and not used in the operation of any Company Product, and (vi) Ordinary Course Licenses granted to the Company or any of its Subsidiaries that do not relate to Intellectual Property or Intellectual Property Rights incorporated into or used in any Company Product (“</w:t>
      </w:r>
      <w:r>
        <w:rPr>
          <w:rFonts w:ascii="Times New Roman" w:cs="Times New Roman" w:eastAsia="Times New Roman" w:hAnsi="Times New Roman"/>
          <w:sz w:val="18"/>
          <w:szCs w:val="18"/>
          <w:u w:val="single" w:color="auto"/>
          <w:color w:val="auto"/>
        </w:rPr>
        <w:t>In-Licenses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4.19(k)</w:t>
      </w:r>
      <w:r>
        <w:rPr>
          <w:rFonts w:ascii="Times New Roman" w:cs="Times New Roman" w:eastAsia="Times New Roman" w:hAnsi="Times New Roman"/>
          <w:sz w:val="18"/>
          <w:szCs w:val="18"/>
          <w:color w:val="auto"/>
        </w:rPr>
        <w:t xml:space="preserve"> of the Company Disclosure Letter contains a list of all Contracts pursuant to which the Company or any of its Subsidiaries has granted any third party any rights or licenses to any Company Intellectual Property other than non-disclosure agreements substantially in the form of the Company’s standard form non-disclosure agreement, a copy of which has been made available to Parent, Ordinary Course Licenses granted by the Company or any of its Subsidiaries that do not relate to Intellectual Property or Intellectual Property Rights incorporated into or used in any Company Product, agreements with current and former employees, officers, contractors, and consultants for providing services to the Company or any of its Subsidiaries in each case substantially in the form of the Company’s standard form non-disclosure agreement, a copy of which has been made available to Parent (the “</w:t>
      </w:r>
      <w:r>
        <w:rPr>
          <w:rFonts w:ascii="Times New Roman" w:cs="Times New Roman" w:eastAsia="Times New Roman" w:hAnsi="Times New Roman"/>
          <w:sz w:val="18"/>
          <w:szCs w:val="18"/>
          <w:u w:val="single" w:color="auto"/>
          <w:color w:val="auto"/>
        </w:rPr>
        <w:t>Out-Licenses</w:t>
      </w:r>
      <w:r>
        <w:rPr>
          <w:rFonts w:ascii="Times New Roman" w:cs="Times New Roman" w:eastAsia="Times New Roman" w:hAnsi="Times New Roman"/>
          <w:sz w:val="18"/>
          <w:szCs w:val="18"/>
          <w:color w:val="auto"/>
        </w:rPr>
        <w:t>,” and together with the In-Licenses, the “</w:t>
      </w:r>
      <w:r>
        <w:rPr>
          <w:rFonts w:ascii="Times New Roman" w:cs="Times New Roman" w:eastAsia="Times New Roman" w:hAnsi="Times New Roman"/>
          <w:sz w:val="18"/>
          <w:szCs w:val="18"/>
          <w:u w:val="single" w:color="auto"/>
          <w:color w:val="auto"/>
        </w:rPr>
        <w:t>IP Contracts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2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Entity or any university, college, research institute or other educational institution has been used to create any Company Intellectual Property or, any Intellectual Property or Intellectual Property Rights exclusively licensed to the Company or any of its Subsidiaries.</w:t>
      </w:r>
    </w:p>
    <w:p>
      <w:pPr>
        <w:spacing w:after="0" w:line="175"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granted, nor is the Company or any of its Subsidiaries obligated to grant, access or rights to Source Code in or for any Company Product, (ii) licensed, distributed or used any Software in breach of the terms of any Open Source License, or (iii) incorporated into, linked to, or distributed with any Company Software any Open Source Software in a manner that requires or has required the Company or any of its Subsidiaries to (A) make available or disclose any Source Code of any Company Software, (B) license any Company Software for purposes of preparing derivative works, (C) license or otherwise make available any Company Software at no charge, or</w:t>
      </w:r>
    </w:p>
    <w:p>
      <w:pPr>
        <w:spacing w:after="0" w:line="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patent license or other rights</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70" w:right="499" w:bottom="1440" w:gutter="0" w:footer="0" w:header="0"/>
        </w:sectPr>
      </w:pPr>
    </w:p>
    <w:bookmarkStart w:id="50" w:name="page51"/>
    <w:bookmarkEnd w:id="50"/>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any Company Intellectual Property. </w:t>
      </w:r>
      <w:r>
        <w:rPr>
          <w:rFonts w:ascii="Times New Roman" w:cs="Times New Roman" w:eastAsia="Times New Roman" w:hAnsi="Times New Roman"/>
          <w:sz w:val="18"/>
          <w:szCs w:val="18"/>
          <w:u w:val="single" w:color="auto"/>
          <w:color w:val="auto"/>
        </w:rPr>
        <w:t>Section 4.19(m)</w:t>
      </w:r>
      <w:r>
        <w:rPr>
          <w:rFonts w:ascii="Times New Roman" w:cs="Times New Roman" w:eastAsia="Times New Roman" w:hAnsi="Times New Roman"/>
          <w:sz w:val="18"/>
          <w:szCs w:val="18"/>
          <w:color w:val="auto"/>
        </w:rPr>
        <w:t xml:space="preserve"> of the Company Disclosure Letter sets forth a true, correct and complete list of all Open Source Software used or incorporated into, linked to, or distributed with any Company Software or Company Product, identifying the applicable license and describing how such Open Source Software is used.</w:t>
      </w:r>
    </w:p>
    <w:p>
      <w:pPr>
        <w:spacing w:after="0" w:line="176" w:lineRule="exact"/>
        <w:rPr>
          <w:sz w:val="20"/>
          <w:szCs w:val="20"/>
          <w:color w:val="auto"/>
        </w:rPr>
      </w:pPr>
    </w:p>
    <w:p>
      <w:pPr>
        <w:jc w:val="both"/>
        <w:ind w:left="4" w:right="60" w:firstLine="987"/>
        <w:spacing w:after="0" w:line="258" w:lineRule="auto"/>
        <w:tabs>
          <w:tab w:leader="none" w:pos="12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hereby, will not result in (i) the release of or any obligation to release any Source Code or other proprietary material technology, in each case owned or purported to be owned by the Company or any of its Subsidiaries, (ii) the granting of any right or licenses to any Company Intellectual Property or to any Intellectual Property or Intellectual Property Rights exclusively licensed to the Company or any of its Subsidiaries to any third party, or (iii) any limitation on the Company’s or any of its Subsidiaries’ right, title or interest in or to any of the Company Intellectual Property or any Intellectual Property or Intellectual Property Rights subject to any In-License.</w:t>
      </w:r>
    </w:p>
    <w:p>
      <w:pPr>
        <w:spacing w:after="0" w:line="183" w:lineRule="exact"/>
        <w:rPr>
          <w:rFonts w:ascii="Times New Roman" w:cs="Times New Roman" w:eastAsia="Times New Roman" w:hAnsi="Times New Roman"/>
          <w:sz w:val="18"/>
          <w:szCs w:val="18"/>
          <w:color w:val="auto"/>
        </w:rPr>
      </w:pPr>
    </w:p>
    <w:p>
      <w:pPr>
        <w:ind w:left="4" w:firstLine="987"/>
        <w:spacing w:after="0" w:line="268" w:lineRule="auto"/>
        <w:tabs>
          <w:tab w:leader="none" w:pos="125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or a Subsidiary is in actual possession of, and has exclusive control over, the Source Code for each proprietary component of the Company Products, (ii) no Source Code for any Company Product has been deposited with any escrow agent, and no release condition under any Source Code escrow arrangement has occurred or would be triggered by the consummation of the transactions contemplated hereby, (iii) no Company Product or Company Software contains any virus, malware, “back door,” “drop dead device,” “time bomb,” “Trojan horse,” “worm” (as such terms are commonly understood in the software industry) or other code designed or intended to have, or capable of performing, any of the following functions: (A) disrupting, disabling, harming or otherwise impeding in any manner the operation of, or providing unauthorized access to, any computer or other device on which such Company Software is stored, installed or used; (B) damaging or destroying any data or file without the user’s consent; or</w:t>
      </w:r>
    </w:p>
    <w:p>
      <w:pPr>
        <w:spacing w:after="0" w:line="2" w:lineRule="exact"/>
        <w:rPr>
          <w:rFonts w:ascii="Times New Roman" w:cs="Times New Roman" w:eastAsia="Times New Roman" w:hAnsi="Times New Roman"/>
          <w:sz w:val="17"/>
          <w:szCs w:val="17"/>
          <w:color w:val="auto"/>
        </w:rPr>
      </w:pPr>
    </w:p>
    <w:p>
      <w:pPr>
        <w:jc w:val="both"/>
        <w:ind w:left="4" w:right="20" w:hanging="4"/>
        <w:spacing w:after="0" w:line="253" w:lineRule="auto"/>
        <w:tabs>
          <w:tab w:leader="none" w:pos="2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information to the Company or any of its Subsidiaries or any other Person without the user’s consent, and (iv) the Company Software is free from any defect, bug or design or documentation error that would have a material effect on the operation or use of such Company Software. None of the Company Software constitutes, contains or is considered “spyware” or “trackware” (as such terms are commonly understood in the software industry), or records a user’s actions without such user’s knowledge and consent.</w:t>
      </w:r>
    </w:p>
    <w:p>
      <w:pPr>
        <w:spacing w:after="0" w:line="188" w:lineRule="exact"/>
        <w:rPr>
          <w:rFonts w:ascii="Times New Roman" w:cs="Times New Roman" w:eastAsia="Times New Roman" w:hAnsi="Times New Roman"/>
          <w:sz w:val="18"/>
          <w:szCs w:val="18"/>
          <w:color w:val="auto"/>
        </w:rPr>
      </w:pPr>
    </w:p>
    <w:p>
      <w:pPr>
        <w:ind w:left="4" w:right="140" w:firstLine="987"/>
        <w:spacing w:after="0" w:line="254" w:lineRule="auto"/>
        <w:tabs>
          <w:tab w:leader="none" w:pos="12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4.19(p)</w:t>
      </w:r>
      <w:r>
        <w:rPr>
          <w:rFonts w:ascii="Times New Roman" w:cs="Times New Roman" w:eastAsia="Times New Roman" w:hAnsi="Times New Roman"/>
          <w:sz w:val="18"/>
          <w:szCs w:val="18"/>
          <w:color w:val="auto"/>
        </w:rPr>
        <w:t xml:space="preserve"> of the Company Disclosure Letter sets forth a true and complete list of all artificial intelligence and machine learning models that are (i) incorporated into, embedded in, or used in the operation of any Company Product, (ii) used in the development, testing, or manufacturing of any Company Product, (iii) owned or purported to be owned by the Company or any of its Subsidiaries, or (iv) otherwise used by the Company or any of its Subsidiaries in the conduct of its business (collectively, “</w:t>
      </w:r>
      <w:r>
        <w:rPr>
          <w:rFonts w:ascii="Times New Roman" w:cs="Times New Roman" w:eastAsia="Times New Roman" w:hAnsi="Times New Roman"/>
          <w:sz w:val="18"/>
          <w:szCs w:val="18"/>
          <w:u w:val="single" w:color="auto"/>
          <w:color w:val="auto"/>
        </w:rPr>
        <w:t>Company AI</w:t>
      </w:r>
      <w:r>
        <w:rPr>
          <w:rFonts w:ascii="Times New Roman" w:cs="Times New Roman" w:eastAsia="Times New Roman" w:hAnsi="Times New Roman"/>
          <w:sz w:val="18"/>
          <w:szCs w:val="18"/>
          <w:color w:val="auto"/>
        </w:rPr>
        <w:t xml:space="preserve">”). For each item of Company AI, </w:t>
      </w:r>
      <w:r>
        <w:rPr>
          <w:rFonts w:ascii="Times New Roman" w:cs="Times New Roman" w:eastAsia="Times New Roman" w:hAnsi="Times New Roman"/>
          <w:sz w:val="18"/>
          <w:szCs w:val="18"/>
          <w:u w:val="single" w:color="auto"/>
          <w:color w:val="auto"/>
        </w:rPr>
        <w:t>Section 4.19(p)</w:t>
      </w:r>
      <w:r>
        <w:rPr>
          <w:rFonts w:ascii="Times New Roman" w:cs="Times New Roman" w:eastAsia="Times New Roman" w:hAnsi="Times New Roman"/>
          <w:sz w:val="18"/>
          <w:szCs w:val="18"/>
          <w:color w:val="auto"/>
        </w:rPr>
        <w:t xml:space="preserve"> of the Company Disclosure Letter identifies (A) the license or other terms applicable to each such tool, (B) the purposes for which each tool has been or is used, (C) a general description of any material outputs generated and how the Company or any of its Subsidiaries has used such outputs, and (D) any datasets used by the Company or any of its Subsidiaries for training, fine-tuning or optimizing such Company AI and the license terms or other rights applicable to each such dataset.</w:t>
      </w:r>
    </w:p>
    <w:p>
      <w:pPr>
        <w:spacing w:after="0" w:line="191"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the right to use all data used to train, validate, or test each item of Company AI, and no such data was obtained or used in violation of any applicable Law, Contract, or Intellectual Property Rights of any third party. The Company and each of its Subsidiaries has complied with all license and other Contract terms applicable to any training, validation or test data used in connection with Company AI, including (i) any end user license agreement or other terms that govern the Company’s or any of its Subsidiaries’ use of any application programming interface used to collect such data, and (ii) any website terms or other terms that govern the Company’s or any of its Subsidiaries’ collection and use of data collected or generated using web scraping, crawling, harvesting or similar Software or tools.</w:t>
      </w:r>
    </w:p>
    <w:p>
      <w:pPr>
        <w:spacing w:after="0" w:line="187" w:lineRule="exact"/>
        <w:rPr>
          <w:rFonts w:ascii="Times New Roman" w:cs="Times New Roman" w:eastAsia="Times New Roman" w:hAnsi="Times New Roman"/>
          <w:sz w:val="18"/>
          <w:szCs w:val="18"/>
          <w:color w:val="auto"/>
        </w:rPr>
      </w:pPr>
    </w:p>
    <w:p>
      <w:pPr>
        <w:jc w:val="both"/>
        <w:ind w:left="4" w:right="260" w:firstLine="987"/>
        <w:spacing w:after="0" w:line="289" w:lineRule="auto"/>
        <w:tabs>
          <w:tab w:leader="none" w:pos="122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AI has generated or produced any output that is incorporated into any Company Intellectual Property or any Company Product where (i) the Company’s or any of its Subsidiaries’ ownership of such output is subject to dispute or uncertainty, (ii) such output may not be eligible for intellectual property protection under applicable Law due to its AI-generated nature, (iii) such output infringes, misappropriates, or</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51" w:name="page52"/>
    <w:bookmarkEnd w:id="5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violates any Intellectual Property Rights of any third party, or (iv) the use of such output is restricted by the terms of any license or other agreement governing the Company AI that generated such output. No third party has asserted, or to the knowledge of the Company threatened to assert, any claim challenging the Company’s or any of its Subsidiaries’ ownership or right to use any output generated by Company AI. The Company’s and each of its Subsidiaries’ processes ensure that training procedures for the AI components of Company Intellectual Property are reproducible. The Company and each of its Subsidiaries maintains or adheres to policies, protocols and procedures with respect to AI, including policies, protocols and procedures for identifying and mitigating bias in training data or in the algorithmic models used in Company AI.</w:t>
      </w:r>
    </w:p>
    <w:p>
      <w:pPr>
        <w:spacing w:after="0" w:line="187" w:lineRule="exact"/>
        <w:rPr>
          <w:sz w:val="20"/>
          <w:szCs w:val="20"/>
          <w:color w:val="auto"/>
        </w:rPr>
      </w:pPr>
    </w:p>
    <w:p>
      <w:pPr>
        <w:ind w:right="340" w:firstLine="987"/>
        <w:spacing w:after="0" w:line="282" w:lineRule="auto"/>
        <w:tabs>
          <w:tab w:leader="none" w:pos="12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exclusively owns all right, title, and interest in and to all Company AI free and clear of all Liens and other encumbrances, or has a valid and enforceable license to use such Company AI as currently used by the Company or such Subsidiary.</w:t>
      </w:r>
    </w:p>
    <w:p>
      <w:pPr>
        <w:spacing w:after="0" w:line="161" w:lineRule="exact"/>
        <w:rPr>
          <w:rFonts w:ascii="Times New Roman" w:cs="Times New Roman" w:eastAsia="Times New Roman" w:hAnsi="Times New Roman"/>
          <w:sz w:val="18"/>
          <w:szCs w:val="18"/>
          <w:color w:val="auto"/>
        </w:rPr>
      </w:pPr>
    </w:p>
    <w:p>
      <w:pPr>
        <w:ind w:right="40" w:firstLine="987"/>
        <w:spacing w:after="0" w:line="274" w:lineRule="auto"/>
        <w:tabs>
          <w:tab w:leader="none" w:pos="120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of the Company Group has submitted, and does not submit, any Personal Data, Trade Secrets, or material confidential or proprietary information of the Company or any of its Subsidiaries or any third party (including information subject to contractual confidentiality obligations) as prompts, inputs or training data to any generative AI tools or Company AI, except where the provider of such tool has agreed in writing to (i) maintain the confidentiality of such information and use it solely to provide the applicable services to the Company or such Subsidiary, (ii) not use such information to train, improve or otherwise develop the model or related services, and (iii) execute a data processing agreement or otherwise agree to similar terms to ensure the Company’s or such Subsidiary’s compliance with all Privacy Laws in respect of any Personal Data shared with such tool.</w:t>
      </w:r>
    </w:p>
    <w:p>
      <w:pPr>
        <w:spacing w:after="0" w:line="172" w:lineRule="exact"/>
        <w:rPr>
          <w:rFonts w:ascii="Times New Roman" w:cs="Times New Roman" w:eastAsia="Times New Roman" w:hAnsi="Times New Roman"/>
          <w:sz w:val="17"/>
          <w:szCs w:val="17"/>
          <w:color w:val="auto"/>
        </w:rPr>
      </w:pPr>
    </w:p>
    <w:p>
      <w:pPr>
        <w:ind w:firstLine="987"/>
        <w:spacing w:after="0" w:line="258"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used, and has not permitted to be used on its behalf, any generative AI tools to develop, modify or generate any Company Software or other Company Intellectual Property in any manner, except as disclosed in </w:t>
      </w:r>
      <w:r>
        <w:rPr>
          <w:rFonts w:ascii="Times New Roman" w:cs="Times New Roman" w:eastAsia="Times New Roman" w:hAnsi="Times New Roman"/>
          <w:sz w:val="18"/>
          <w:szCs w:val="18"/>
          <w:u w:val="single" w:color="auto"/>
          <w:color w:val="auto"/>
        </w:rPr>
        <w:t>Section 4.19(u)</w:t>
      </w:r>
      <w:r>
        <w:rPr>
          <w:rFonts w:ascii="Times New Roman" w:cs="Times New Roman" w:eastAsia="Times New Roman" w:hAnsi="Times New Roman"/>
          <w:sz w:val="18"/>
          <w:szCs w:val="18"/>
          <w:color w:val="auto"/>
        </w:rPr>
        <w:t xml:space="preserve"> of the Company Disclosure Letter. The Company and each of its Subsidiaries implements and enforces commercially reasonable technical and administrative safeguards, including access controls and usage restrictions, to monitor and prevent unauthorized or unapproved use of generative AI tools by its personnel.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Privacy and Data Protection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1"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at all times been, and is currently, in compliance, in all material respects, with all applicable Privacy Laws relating to Personal Data. The Company and each of its Subsidiaries has maintained at all times published privacy policies that accurately describe the Company’s and its Subsidiaries’ collection, use and disclosure of Personal Data, and such policies comply with all applicable Privacy Laws and have not contained any material omissions and have not been misleading or deceptive.</w:t>
      </w:r>
    </w:p>
    <w:p>
      <w:pPr>
        <w:spacing w:after="0" w:line="179" w:lineRule="exact"/>
        <w:rPr>
          <w:rFonts w:ascii="Times New Roman" w:cs="Times New Roman" w:eastAsia="Times New Roman" w:hAnsi="Times New Roman"/>
          <w:sz w:val="18"/>
          <w:szCs w:val="18"/>
          <w:color w:val="auto"/>
        </w:rPr>
      </w:pPr>
    </w:p>
    <w:p>
      <w:pPr>
        <w:ind w:right="20" w:firstLine="987"/>
        <w:spacing w:after="0" w:line="272" w:lineRule="auto"/>
        <w:tabs>
          <w:tab w:leader="none" w:pos="124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and each of its Subsidiaries has implemented and at all times maintained reasonable and appropriate security procedures and practices, including technical, physical and administrative safeguards, at least consistent with industry best practices and applicable Privacy Laws, to protect all IT Systems, Personal Data and other confidential data in its possession or under its control against loss, theft, misuse or unauthorized or unlawful access, use, modification, alteration, destruction or disclosure. Since January 1, 2020, neither the Company nor any of its Subsidiaries has experienced any Security Breach (as defined below). Except as disclosed in </w:t>
      </w:r>
      <w:r>
        <w:rPr>
          <w:rFonts w:ascii="Times New Roman" w:cs="Times New Roman" w:eastAsia="Times New Roman" w:hAnsi="Times New Roman"/>
          <w:sz w:val="17"/>
          <w:szCs w:val="17"/>
          <w:u w:val="single" w:color="auto"/>
          <w:color w:val="auto"/>
        </w:rPr>
        <w:t>Section 4.20(b)</w:t>
      </w:r>
      <w:r>
        <w:rPr>
          <w:rFonts w:ascii="Times New Roman" w:cs="Times New Roman" w:eastAsia="Times New Roman" w:hAnsi="Times New Roman"/>
          <w:sz w:val="17"/>
          <w:szCs w:val="17"/>
          <w:color w:val="auto"/>
        </w:rPr>
        <w:t xml:space="preserve"> of the Company Disclosure Letter, since January 1, 2020, neither the Company nor any of its Subsidiaries has been required to provide any notices to any Person or Governmental Entity in connection with any Security Breach including, without limitation, any unauthorized access, acquisition, theft, destruction, loss, or compromise of any Personal Data in its possession, custody or control pursuant to applicable Law, and neither the Company nor any of its Subsidiaries has provided any such notice.</w:t>
      </w:r>
    </w:p>
    <w:p>
      <w:pPr>
        <w:spacing w:after="0" w:line="171" w:lineRule="exact"/>
        <w:rPr>
          <w:rFonts w:ascii="Times New Roman" w:cs="Times New Roman" w:eastAsia="Times New Roman" w:hAnsi="Times New Roman"/>
          <w:sz w:val="17"/>
          <w:szCs w:val="17"/>
          <w:color w:val="auto"/>
        </w:rPr>
      </w:pPr>
    </w:p>
    <w:p>
      <w:pPr>
        <w:ind w:right="580" w:firstLine="987"/>
        <w:spacing w:after="0" w:line="282"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and is not currently, under investigation by any Governmental Entity regarding its protection, storage, use, disclosure, or transfer of Personal Data.</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52" w:name="page53"/>
    <w:bookmarkEnd w:id="5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has received any complaint, claim, audit, inquiry, or demand from any Governmental Entity, data protection authority, private party or other Person alleging a violation of any Privacy Law or relating to the Company’s or any of its Subsidiaries’ privacy or data security practices, and neither the Company nor any of its Subsidiaries is subject to any outstanding Order, decree or other binding obligation of any Governmental Entity relating thereto. To the knowledge of the Company, there are no facts or circumstances that would reasonably be expected to give rise to any such proceeding or claim.</w:t>
      </w:r>
    </w:p>
    <w:p>
      <w:pPr>
        <w:spacing w:after="0" w:line="183" w:lineRule="exact"/>
        <w:rPr>
          <w:sz w:val="20"/>
          <w:szCs w:val="20"/>
          <w:color w:val="auto"/>
        </w:rPr>
      </w:pPr>
    </w:p>
    <w:p>
      <w:pPr>
        <w:ind w:right="180" w:firstLine="987"/>
        <w:spacing w:after="0" w:line="256"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neither the Company nor any of its Subsidiaries has received any written or oral claim, complaint, inquiry, audit, investigation, notice, demand, regulatory request for information, or other communication from any Governmental Entity, data protection authority, private party or other Person related to the Company’s or any of its Subsidiaries’ collection, processing, use, storage, security, transfer, or disclosure of Personal Data, or alleging that any of these activities are in violation of any Privacy Law or any privacy policy of the Company or any of its Subsidiaries. All Personal Data has been collected by or provided to the Company or any of its Subsidiaries in compliance with applicable Privacy Laws, including by providing any notice and obtaining any consent required.</w:t>
      </w:r>
    </w:p>
    <w:p>
      <w:pPr>
        <w:spacing w:after="0" w:line="187"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information technology systems, Software, hardware, servers, networks and related equipment owned, leased, licensed or used by the Company or any of its Subsidiaries (including through cloud-based or other third-party service providers) (the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in good working condition and are sufficient in all respects for the operation of the business of the Company and its Subsidiaries as currently conducted and as proposed to be conducted, (ii) there has been no malfunction, failure, continued substandard performance, denial-of-service or other cyber incident, including any cyberattack, ransomware incident, or unauthorized access or intrusion, affecting such systems that has caused or would reasonably be expected to cause a material disruption to the operations of the Company or any of its Subsidiaries or loss, corruption or unauthorized disclosure of any data, (iii) the Company and each of its Subsidiaries has taken commercially reasonable steps, consistent with industry best practices, to safeguard the confidentiality, availability, security and integrity of such systems and all data contained therein, including by maintaining and implementing appropriate back-up, disaster recovery and business continuity plans, procedures and facilities, and testing such plans and procedures on at least an annual basis, (iv) the IT Systems do not contain any viruses, worms, Trojan horses, bugs, faults or other devices, errors, contaminants or effects that materially disrupt or adversely affect the functionality of any IT Systems or enable or assist any Person to access without authorization any IT Systems, and (v) the Company and each of its Subsidiaries has purchased and paid in full for a sufficient number of licenses for the operation of the IT Systems.</w:t>
      </w:r>
    </w:p>
    <w:p>
      <w:pPr>
        <w:spacing w:after="0" w:line="189"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commercially reasonable steps to ensure, including by making contractual commitments to the extent required by applicable Privacy Laws, that all third-party service providers, outsourcers, processors or other third parties who process any Personal Data for or on behalf of the Company or any of its Subsidiaries have agreed in writing to comply with applicable Privacy Laws and take reasonable steps to maintain the privacy and confidentiality of Personal Data and to protect and secure Personal Data from loss, theft, misuse or unauthorized or unlawful access, use, modification, alteration, destruction or disclosure.</w:t>
      </w:r>
    </w:p>
    <w:p>
      <w:pPr>
        <w:spacing w:after="0" w:line="183" w:lineRule="exact"/>
        <w:rPr>
          <w:rFonts w:ascii="Times New Roman" w:cs="Times New Roman" w:eastAsia="Times New Roman" w:hAnsi="Times New Roman"/>
          <w:sz w:val="18"/>
          <w:szCs w:val="18"/>
          <w:color w:val="auto"/>
        </w:rPr>
      </w:pPr>
    </w:p>
    <w:p>
      <w:pPr>
        <w:ind w:right="280" w:firstLine="987"/>
        <w:spacing w:after="0" w:line="258"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or any of its Subsidiaries transfers, discloses or otherwise makes accessible any Personal Data across national borders, including from any jurisdiction with data export restrictions, to any third country, the Company and each of its Subsidiaries has conducted such transfers in compliance with applicable Privacy Laws governing cross-border data transfers. Neither the Company nor any of its Subsidiaries has received any notice or other communication alleging that any of the Company’s or any of its Subsidiaries’ cross-border data transfer mechanisms are invalid, inadequate or otherwise non-compliant with applicable Privacy Laws.</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maintained and implemented commercially reasonable or legally required plans, policies or procedures for privacy, physical and cyber security, business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53" w:name="page54"/>
    <w:bookmarkEnd w:id="5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continuity and incident response, including reasonable administrative, technical and physical safeguards to protect the confidentiality and security of Personal Data in its possession, custody or control against unauthorized access, use, modification, disclosure or other misuse and to safeguard the IT Systems against the risk of material business disruption. The Company and each of its Subsidiaries acts in compliance with such plans, procedures or policies in all material respects. The Company and each of its Subsidiaries has conducted periodic vulnerability scans, penetration tests, risk assessments and external audits of its IT Systems and networks containing Personal Data or sensitive data, and has timely remediated or mitigated to a commercially reasonable standard any material deficiencies, vulnerabilities or exceptions identified in any such reviews.</w:t>
      </w:r>
    </w:p>
    <w:p>
      <w:pPr>
        <w:spacing w:after="0" w:line="187" w:lineRule="exact"/>
        <w:rPr>
          <w:sz w:val="20"/>
          <w:szCs w:val="20"/>
          <w:color w:val="auto"/>
        </w:rPr>
      </w:pPr>
    </w:p>
    <w:p>
      <w:pPr>
        <w:ind w:right="80" w:firstLine="987"/>
        <w:spacing w:after="0" w:line="254" w:lineRule="auto"/>
        <w:tabs>
          <w:tab w:leader="none" w:pos="12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complied in all material respects with all applicable Laws and contractual requirements governing its receipt, use, storage, transmission, handling, marking and protection of Controlled Unclassified Information (“</w:t>
      </w:r>
      <w:r>
        <w:rPr>
          <w:rFonts w:ascii="Times New Roman" w:cs="Times New Roman" w:eastAsia="Times New Roman" w:hAnsi="Times New Roman"/>
          <w:sz w:val="18"/>
          <w:szCs w:val="18"/>
          <w:u w:val="single" w:color="auto"/>
          <w:color w:val="auto"/>
        </w:rPr>
        <w:t>CUI</w:t>
      </w:r>
      <w:r>
        <w:rPr>
          <w:rFonts w:ascii="Times New Roman" w:cs="Times New Roman" w:eastAsia="Times New Roman" w:hAnsi="Times New Roman"/>
          <w:sz w:val="18"/>
          <w:szCs w:val="18"/>
          <w:color w:val="auto"/>
        </w:rPr>
        <w:t>”), classified information, and any other sensitive, controlled, restricted or protected data or information received, created or processed by the Company or any of its Subsidiaries in its capacity as a government contractor or subcontractor (collectively with CUI, “</w:t>
      </w:r>
      <w:r>
        <w:rPr>
          <w:rFonts w:ascii="Times New Roman" w:cs="Times New Roman" w:eastAsia="Times New Roman" w:hAnsi="Times New Roman"/>
          <w:sz w:val="18"/>
          <w:szCs w:val="18"/>
          <w:u w:val="single" w:color="auto"/>
          <w:color w:val="auto"/>
        </w:rPr>
        <w:t>Government Data</w:t>
      </w:r>
      <w:r>
        <w:rPr>
          <w:rFonts w:ascii="Times New Roman" w:cs="Times New Roman" w:eastAsia="Times New Roman" w:hAnsi="Times New Roman"/>
          <w:sz w:val="18"/>
          <w:szCs w:val="18"/>
          <w:color w:val="auto"/>
        </w:rPr>
        <w:t>”). The Company and each of its Subsidiaries has properly marked, handled, stored, transmitted and disposed of Government Data in accordance with applicable requirements. There is no pending or threatened Action, audit, investigation, claim or other proceeding by any Governmental Entity, prime contractor or higher-tier subcontractor relating to alleged noncompliance by the Company or any of its Subsidiaries with any requirement concerning Company Intellectual Property, Government Data, cybersecurity or data security, and neither the Company nor any of its Subsidiaries has received any written notice alleging any such noncompliance.</w:t>
      </w:r>
    </w:p>
    <w:p>
      <w:pPr>
        <w:spacing w:after="0" w:line="18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State Takeover Statutes; Anti-Takeover Provisions</w:t>
      </w:r>
      <w:r>
        <w:rPr>
          <w:rFonts w:ascii="Times New Roman" w:cs="Times New Roman" w:eastAsia="Times New Roman" w:hAnsi="Times New Roman"/>
          <w:sz w:val="18"/>
          <w:szCs w:val="18"/>
          <w:color w:val="auto"/>
        </w:rPr>
        <w:t xml:space="preserve">. Assuming the accuracy of the representations and warranties of Parent and Merger Sub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(a) the Company Board has taken all action necessary to render Section 203 of the DGCL inapplicable to this Agreement, the Support Agreement and any of the transactions contemplated hereby or thereby and (b) no “fair price,” “moratorium,” “control share acquisition” or similar antitakeover Law (including Section 203 of the DGCL) (collectively,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apply to this Agreement, the Support Agreement and any of the transactions contemplated hereby or thereby, and no additional action is required by the Company Board in order for any such Takeover Laws to be inapplicable to this Agreement, the Support Agreement and any of the transactions contemplated hereby or thereby. As of the date hereof, the Company is not party to a stockholder rights agreement, “poison pill” or similar anti-takeover agreement or plan.</w:t>
      </w:r>
    </w:p>
    <w:p>
      <w:pPr>
        <w:spacing w:after="0" w:line="18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Section 251(h); Support Agreement</w:t>
      </w:r>
      <w:r>
        <w:rPr>
          <w:rFonts w:ascii="Times New Roman" w:cs="Times New Roman" w:eastAsia="Times New Roman" w:hAnsi="Times New Roman"/>
          <w:sz w:val="18"/>
          <w:szCs w:val="18"/>
          <w:color w:val="auto"/>
        </w:rPr>
        <w:t>. The Company has not taken, or authorized or permitted any of its Representatives to take, any action that has rendered or would reasonably be expected to render Section 251(h) of the DGCL inapplicable to the Merger. The Offer will be for all of the outstanding stock of the Company that would otherwise be entitled to vote on the adoption of this Agreement.</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for directors’ and employment-related Material Contracts filed or incorporated by reference as an exhibit to an Available Company SEC Document filed by the Company prior to the date hereof, as of the date hereof, no (a) executive officer or director of the Company, (b) holder of record or beneficial owner of more than 5% of the outstanding Shares (determined on an as-converted, as-exercised basis) or (c) to the knowledge of the Company, immediate family member of any Person described in clause (a) or (b), is a party to any Material Contract with or binding upon the Company or any of its Subsidiaries or any of their respective properties or assets or has any interest in property owned by the Company or any of its Subsidiaries or has engaged in any transaction with any of the foregoing within the last 12 months.</w:t>
      </w:r>
    </w:p>
    <w:p>
      <w:pPr>
        <w:spacing w:after="0" w:line="18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No agent, broker, investment banker, financial advisor or other Person is entitled to any broker’s, finder’s, financial advisor’s or other similar fee or commission from any of the parties hereto in connection with the transactions contemplated by this Agreement based upon arrangements made by or on behalf of the Company, except as set forth on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of the Company Disclosure Letter.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4" w:name="page55"/>
    <w:bookmarkEnd w:id="54"/>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4.25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written opinion of StoneX Financial Inc., as financial advisor to the Company, on or prior to the date of this Agreement,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of Shares (other than Excluded Shares) pursuant to this Agreement is fair from a financial point of view to such holders. An executed copy of such opinion will be made available to Parent solely for informational purposes promptly after the date of this Agreement, and it is agreed and understood that such opinion may not be relied upon by Parent or any director, officer or employee of Parent.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International Trade Laws; Anti-Bribery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4" w:lineRule="auto"/>
        <w:tabs>
          <w:tab w:leader="none" w:pos="1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to the knowledge of the Company, each of their officers, directors, managers, employees, agents, subcontractors, vendors, and any other Persons acting on behalf of the Company or any of its Subsidiaries (1) are, and for the past five years have been, in material compliance with applicable International Trade Laws, (2) are, and have been since April 24, 2019, in material compliance with all applicable Sanctions Laws; and (3) have not taken, directly or indirectly, any action that violates, evades or avoids, or attempts to violate International Trade Laws or Sanctions Laws. Neither the Company nor any of its Subsidiaries, nor to the knowledge of the Company, any of their directors, executives, employees or other Representatives acting on behalf of the Company or any of its Subsidiaries, since April 24, 2019: (i) is or has been Sanctioned Person; or (ii) has unlawfully conducted any business or engaged in any transaction involving any contribution of funds, goods or services to or for the benefit of any Sanctioned Person or unlawfully dealt in any property or interests in property of any Sanctioned Person.</w:t>
      </w:r>
    </w:p>
    <w:p>
      <w:pPr>
        <w:spacing w:after="0" w:line="19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during the past five years, no Action or notice has been filed or commenced against the Company or any of its Subsidiaries alleging any failure to comply with any International Trade Laws or Sanctions Laws.</w:t>
      </w:r>
    </w:p>
    <w:p>
      <w:pPr>
        <w:spacing w:after="0" w:line="161" w:lineRule="exact"/>
        <w:rPr>
          <w:rFonts w:ascii="Times New Roman" w:cs="Times New Roman" w:eastAsia="Times New Roman" w:hAnsi="Times New Roman"/>
          <w:sz w:val="18"/>
          <w:szCs w:val="18"/>
          <w:color w:val="auto"/>
        </w:rPr>
      </w:pPr>
    </w:p>
    <w:p>
      <w:pPr>
        <w:ind w:left="4" w:right="40" w:firstLine="987"/>
        <w:spacing w:after="0" w:line="267" w:lineRule="auto"/>
        <w:tabs>
          <w:tab w:leader="none" w:pos="124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to the knowledge of the Company, any of their directors, officers or employees or any other Representative or Person acting on behalf of the Company or any of its Subsidiaries, including any distributor, sub-distributor or reseller, has in the past five (5) years (i) violated or is in violation of any provision of the U.S. Foreign Corrupt Practices Act of 1977, any applicable Law enacted in any jurisdiction in connection with or arising under the OECD Convention Combating Bribery of Foreign Public Officials in International Business Transactions, any provision of the UK Bribery Act of 2010, Article 8 of the Anti-Unfair Competition Law of the People’s Republic of China, Articles 163, 164, 389-393 of the Criminal Law of the People’s Republic of China, the (Indian) Prevention of Corruption Act, 1988 or any other applicable Law relating to bribery, corruption, fraud or improper payments (the “</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(ii) made, offered to make, promised to make, facilitated or authorized the payment or giving of, directly or indirectly, any bribe, rebate, payoff, influence payment, kickback or other unlawful advantage or payment or gift of money or anything of value, regardless of form or amount, to any Person for the purpose of securing an unlawful advantage, inducing the recipient to violate an official or lawful duty, reward the recipient for an unlawful advantage already given, or for any other improper purpose;</w:t>
      </w:r>
    </w:p>
    <w:p>
      <w:pPr>
        <w:spacing w:after="0" w:line="3"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agreed to receive, or accepted a payment, gift or hospitality from a Person if it is known or suspected that it is offered with the expectation that it will obtain an unlawful business advantage for them; (iv) established or maintained, or is maintaining, any unlawful fund of corporate monies or other properties; (v) to the knowledge of the Company, been or is, under administrative, civil, or criminal investigation, indictment, information, suspension, debarment, or audit by any party, in connection with alleged or possible violations of any Anti-Corruption Laws; (vi) received written notice from, or made a voluntary disclosure to, any Governmental Entity with regard to any alleged or potential violations of any Anti-Corruption Laws; or (vii) violated or is in violation of any other applicable Laws regarding use of funds for political activity or commercial bribery. No Representative of the Company or any of its Subsidiaries is (A) an employee of any Governmental Entity, (B) an employee of any commercial enterprise that is owned or controlled by a Governmental Entity, including any state-owned or controlled university, (C) an employee of any public international organization, such as the International Monetary Fund, the United Nations or the World Bank, (D) a</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55" w:name="page56"/>
    <w:bookmarkEnd w:id="55"/>
    <w:p>
      <w:pPr>
        <w:ind w:left="4"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acting as the director of or in an official capacity for any Governmental Entity, enterprise, or organization identified above, or (E) any official of a political party or candidate for political office.</w:t>
      </w:r>
    </w:p>
    <w:p>
      <w:pPr>
        <w:spacing w:after="0" w:line="162" w:lineRule="exact"/>
        <w:rPr>
          <w:sz w:val="20"/>
          <w:szCs w:val="20"/>
          <w:color w:val="auto"/>
        </w:rPr>
      </w:pPr>
    </w:p>
    <w:p>
      <w:pPr>
        <w:ind w:left="1244" w:hanging="253"/>
        <w:spacing w:after="0"/>
        <w:tabs>
          <w:tab w:leader="none" w:pos="124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117"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51"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means all export, import, customs, anti-boycott, anti-money laundering, and other international trade Laws or programs administered, enacted or enforced by any relevant Governmental Entity, including (A) the U.S. Export Administration Regulations, the U.S. International Traffic in Arms Regulations, and the import Laws and regulations administered by U.S. Customs and Border Protection, (B) the anti-boycott Laws administered by the U.S. Departments of Commerce and Treasury, and (C) any other similar export, import, customs, anti-boycott, or other trade Laws or programs in any jurisdiction in which the Company or any of its Subsidiaries operates to the extent they are applicable to the Company.</w:t>
      </w:r>
    </w:p>
    <w:p>
      <w:pPr>
        <w:spacing w:after="0" w:line="187" w:lineRule="exact"/>
        <w:rPr>
          <w:rFonts w:ascii="Times New Roman" w:cs="Times New Roman" w:eastAsia="Times New Roman" w:hAnsi="Times New Roman"/>
          <w:sz w:val="18"/>
          <w:szCs w:val="18"/>
          <w:color w:val="auto"/>
        </w:rPr>
      </w:pPr>
    </w:p>
    <w:p>
      <w:pPr>
        <w:ind w:left="4" w:right="260" w:firstLine="1428"/>
        <w:spacing w:after="0" w:line="266" w:lineRule="auto"/>
        <w:tabs>
          <w:tab w:leader="none" w:pos="1701"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 country or territory which is, or during the past five years has been, the subject or target of comprehensive U.S. sanctions (as of the date of this Agreement, Cuba, Iran, North Korea, Syria and the Crimea, Donetsk People’s Republic and Luhansk People’s Republic regions of Ukraine) or Canadian sanctions.</w:t>
      </w:r>
    </w:p>
    <w:p>
      <w:pPr>
        <w:spacing w:after="0" w:line="175" w:lineRule="exact"/>
        <w:rPr>
          <w:rFonts w:ascii="Times New Roman" w:cs="Times New Roman" w:eastAsia="Times New Roman" w:hAnsi="Times New Roman"/>
          <w:sz w:val="18"/>
          <w:szCs w:val="18"/>
          <w:color w:val="auto"/>
        </w:rPr>
      </w:pPr>
    </w:p>
    <w:p>
      <w:pPr>
        <w:ind w:left="4" w:firstLine="1428"/>
        <w:spacing w:after="0" w:line="272" w:lineRule="auto"/>
        <w:tabs>
          <w:tab w:leader="none" w:pos="1751"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“Sanctions Laws</w:t>
      </w:r>
      <w:r>
        <w:rPr>
          <w:rFonts w:ascii="Times New Roman" w:cs="Times New Roman" w:eastAsia="Times New Roman" w:hAnsi="Times New Roman"/>
          <w:sz w:val="17"/>
          <w:szCs w:val="17"/>
          <w:color w:val="auto"/>
        </w:rPr>
        <w:t>” means any trade, economic and financial sanctions Laws, embargoes, and restrictive measures administered, enacted or enforced from time to time by (A) the U.S. Department of the Treasury’s Office of Foreign Assets Control or the Department of State, (B) the European Union or any European Union member state, (C) the United Nations Security Council, (D) His Majesty’s Treasury of the United Kingdom, or</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Governmental Entity.</w:t>
      </w:r>
    </w:p>
    <w:p>
      <w:pPr>
        <w:spacing w:after="0" w:line="206"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74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Person (A) identified on the United States’ Specially Designated Nationals and Blocked Persons List, the United States’ Denied Persons List, Entity List or Debarred Parties List, the United Nations Security Council Sanctions List, the European Union’s List of Persons, Groups and Entities Subject to Financial Sanctions, the United Kingdom’s Consolidated List of Financial Sanctions Targets, or any other similar list maintained by any Sanctions Authority having jurisdiction over the parties to this Agreement; (B) located, organized or resident in a Sanctioned Jurisdiction or (C) owned, 50% or more, individually or in the aggregate by, controlled by, or acting on behalf of a Person described in clause (A) or (B) above.</w:t>
      </w:r>
    </w:p>
    <w:p>
      <w:pPr>
        <w:spacing w:after="0" w:line="187" w:lineRule="exact"/>
        <w:rPr>
          <w:rFonts w:ascii="Times New Roman" w:cs="Times New Roman" w:eastAsia="Times New Roman" w:hAnsi="Times New Roman"/>
          <w:sz w:val="18"/>
          <w:szCs w:val="18"/>
          <w:color w:val="auto"/>
        </w:rPr>
      </w:pPr>
    </w:p>
    <w:p>
      <w:pPr>
        <w:ind w:left="4" w:right="100" w:firstLine="1428"/>
        <w:spacing w:after="0" w:line="254" w:lineRule="auto"/>
        <w:tabs>
          <w:tab w:leader="none" w:pos="169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Authority</w:t>
      </w:r>
      <w:r>
        <w:rPr>
          <w:rFonts w:ascii="Times New Roman" w:cs="Times New Roman" w:eastAsia="Times New Roman" w:hAnsi="Times New Roman"/>
          <w:sz w:val="18"/>
          <w:szCs w:val="18"/>
          <w:color w:val="auto"/>
        </w:rPr>
        <w:t>” means the United States government, the Office of Foreign Assets Control of the U.S. Department of the Treasury, the U.S. Department of State, the Bureau of Industry and Security of the U.S. Department of Commerce, the U.S. Customs and Border Protection, the United Nations Security Council, the European Union, any Member State of the European Union and the competent national authorities thereof, the United Kingdom, the Office of Financial Sanctions Implementation of His Majesty’s Treasury, the Export Control Joint Unit of the UK Department of International Trade, the People’s Republic of China government, the Ministry of Commerce of the People’s Republic of China, the Ministry of Foreign Affairs of the People’s Republic of China, the Ministry of Finance of the People’s Republic of China, and any other relevant governmental, intergovernmental or supranational body, agency or authority with jurisdiction over the parties to this Agreement or over business of the parties.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National Industrial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66" w:lineRule="auto"/>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applicable Subsidiaries are, and for the past five years have been, in compliance in all material respects with the NISPOM, each applicable DD Form 254, all requirements relating to the safeguarding of and access to classified information, and all other applicable national industrial security requirements.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56" w:name="page57"/>
    <w:bookmarkEnd w:id="56"/>
    <w:p>
      <w:pPr>
        <w:ind w:right="12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past five years, neither DCSA nor any other Governmental Entity has issued any notice of revocation, suspension, invalidation, termination, downgrade or material restriction that remains unresolved with respect to any Facility Security Clearance, safeguarding approval, accreditation or other national industrial security authorization held by the Company or any of its Subsidiaries.</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event, condition, circumstance or omission has occurred or exists that constitutes, or would reasonably be expected to constitute, grounds for the revocation, suspension, invalidation, termination, downgrade or material restriction of any Facility Security Clearance, Personnel Security Clearance, safeguarding approval, accreditation or other national industrial security authorization necessary to conduct the business of the Company and its Subsidiaries as currently conducted.</w:t>
      </w:r>
    </w:p>
    <w:p>
      <w:pPr>
        <w:spacing w:after="0" w:line="179"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applicable Subsidiaries have timely and accurately submitted all material notices, reports, certifications and other information required under the NISPOM, including all required reports concerning changes in ownership or control, organizational structure, legal name or address, key management personnel, safeguarding capability and FOCI.</w:t>
      </w:r>
    </w:p>
    <w:p>
      <w:pPr>
        <w:spacing w:after="0" w:line="175"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SF 328 submitted by the Company or any of its Subsidiaries, together with all supporting documentation, was true, correct and complete in all material respects when submitted. No event or circumstance has occurred that requires an updated SF 328 or other material FOCI disclosure that has not been submitted to DCSA.</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4.27(f)</w:t>
      </w:r>
      <w:r>
        <w:rPr>
          <w:rFonts w:ascii="Times New Roman" w:cs="Times New Roman" w:eastAsia="Times New Roman" w:hAnsi="Times New Roman"/>
          <w:sz w:val="18"/>
          <w:szCs w:val="18"/>
          <w:color w:val="auto"/>
        </w:rPr>
        <w:t xml:space="preserve"> of the Company Disclosure Letter identifies each agreement, plan or other arrangement imposed or approved by DCSA or another cognizant security agency to mitigate or negate FOCI, including any board resolution, security control agreement, special security agreement, proxy agreement, voting trust agreement, technology control plan, electronic communications plan or affiliated-operations plan. The Company and each of its applicable Subsidiaries are, and for the past five years have been, in compliance in all material respects with each such agreement, plan or arrangement.</w:t>
      </w:r>
    </w:p>
    <w:p>
      <w:pPr>
        <w:spacing w:after="0" w:line="183"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completed all security reviews and annual self-inspections required under the NISPOM. All material findings or deficiencies identified by DCSA, another Governmental Entity or any such self-inspection have been corrected and closed, and there are no outstanding material corrective-action plans, vulnerabilities or deficiencies.</w:t>
      </w:r>
    </w:p>
    <w:p>
      <w:pPr>
        <w:spacing w:after="0" w:line="175"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xml:space="preserve"> of the Company Disclosure Letter, for the past five years, there has been no material loss, compromise, suspected compromise, unauthorized disclosure of or unauthorized access to classified information by or attributable to the Company or any of its Subsidiaries, and no material security violation, insider-threat matter or cybersecurity incident affecting a classified information system that has not been reported and resolved in accordance with applicable requirements.</w:t>
      </w:r>
    </w:p>
    <w:p>
      <w:pPr>
        <w:spacing w:after="0" w:line="179" w:lineRule="exact"/>
        <w:rPr>
          <w:rFonts w:ascii="Times New Roman" w:cs="Times New Roman" w:eastAsia="Times New Roman" w:hAnsi="Times New Roman"/>
          <w:sz w:val="18"/>
          <w:szCs w:val="18"/>
          <w:color w:val="auto"/>
        </w:rPr>
      </w:pPr>
    </w:p>
    <w:p>
      <w:pPr>
        <w:ind w:right="120" w:firstLine="987"/>
        <w:spacing w:after="0" w:line="266" w:lineRule="auto"/>
        <w:tabs>
          <w:tab w:leader="none" w:pos="12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complete and accurate copies of all material notices, submissions and written communications between the Company or any of its Subsidiaries, on the one hand, and DCSA or another cognizant security agency, on the other hand, concerning the transactions contemplated by this Agreement.</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DCSA nor any other cognizant security agency has notified the Company that the transactions contemplated by this Agreement would result in the revocation, suspension, invalidation, termination, downgrade or material restriction of any Facility Security Clearance or other national industrial security authorization held by the Company or any of its Subsidiaries.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DCSA</w:t>
      </w:r>
      <w:r>
        <w:rPr>
          <w:rFonts w:ascii="Times New Roman" w:cs="Times New Roman" w:eastAsia="Times New Roman" w:hAnsi="Times New Roman"/>
          <w:sz w:val="18"/>
          <w:szCs w:val="18"/>
          <w:color w:val="auto"/>
        </w:rPr>
        <w:t>” means the Defense Counterintelligence and Security Agency of the U.S. Department of Defense or any successor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7" w:name="page58"/>
    <w:bookmarkEnd w:id="57"/>
    <w:p>
      <w:pPr>
        <w:ind w:right="340" w:firstLine="1428"/>
        <w:spacing w:after="0" w:line="282" w:lineRule="auto"/>
        <w:tabs>
          <w:tab w:leader="none" w:pos="16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Facility Security Clearance</w:t>
      </w:r>
      <w:r>
        <w:rPr>
          <w:rFonts w:ascii="Times New Roman" w:cs="Times New Roman" w:eastAsia="Times New Roman" w:hAnsi="Times New Roman"/>
          <w:sz w:val="18"/>
          <w:szCs w:val="18"/>
          <w:color w:val="auto"/>
        </w:rPr>
        <w:t>” means an entity eligibility determination authorizing access to classified information under the National Industrial Security Program.</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FOCI</w:t>
      </w:r>
      <w:r>
        <w:rPr>
          <w:rFonts w:ascii="Times New Roman" w:cs="Times New Roman" w:eastAsia="Times New Roman" w:hAnsi="Times New Roman"/>
          <w:sz w:val="18"/>
          <w:szCs w:val="18"/>
          <w:color w:val="auto"/>
        </w:rPr>
        <w:t>” means foreign ownership, control or influence within the meaning of the NISPOM.</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means the National Industrial Security Program Operating Manual regulations set forth at 32 C.F.R. Part 117,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6"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 Security Clearance</w:t>
      </w:r>
      <w:r>
        <w:rPr>
          <w:rFonts w:ascii="Times New Roman" w:cs="Times New Roman" w:eastAsia="Times New Roman" w:hAnsi="Times New Roman"/>
          <w:sz w:val="18"/>
          <w:szCs w:val="18"/>
          <w:color w:val="auto"/>
        </w:rPr>
        <w:t>” means a determination that an individual is eligible for access to classified information at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level.</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The Company hereby acknowledges and agrees that (a)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neither Parent nor Merger Sub, or any of their respective Affiliates or Representatives or any other Person, has made or is making any other express or implied representation or warranty with respect to Parent or Merger Sub or their respective business or operations, including with respect to any information provided or made available to the Company or any of their respective Affiliates or Representatives or any other Person and (b) except in the event of Fraud, neither Parent nor Merger Sub, or any of their respective Affiliates or Representatives or any other Person will have or be subject to any liability or indemnification obligation or other obligation of any kind or nature to the Company or any of their respective Affiliates or Representatives or any other Person, resulting from the delivery, dissemination or any other distribution to the Company or any of their respective Affiliates or Representatives or any other Person, or the use by the Company or any of their respective Affiliates or Representatives or any other Person, of any information provided or made available to any of them by Parent, Merger Sub, or any of their respective Affiliates or Representatives or any other Person in anticipation or contemplation of the Offer, the Merger or any other transactions contemplated hereby, including any information, documents, estimates, projections, forecasts or other forward-looking information, business plans or other material provided or made available to the Company or any of their respective Affiliates or Representatives or any other Person, in “data rooms,” confidential information memoranda or management presentations in anticipation or contemplation of the Offer, the Merger or any other transactions contemplated hereby.</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The Company and its Subsidiaries and their respective Affiliates and Representatives have received and may continue to receive after the date of this Agreement from Parent, Merger Sub and their respective Affiliates and Representatives in anticipation or contemplation of the Offer, the Merger or any other transactions contemplated hereby, certain estimates, projections, forecasts and other forward-looking information, as well as certain business plan information, regarding Parent, Merger Sub and their respective businesses and operations.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in any certificate delivered in connection with this Agreement, the Company acknowledges and agrees that none of Parent or any of its stockholders, directors, officers, employees, Affiliates, advisors or other Representatives has made any representation or warranty concerning any such estimates, projections, forecasts, business plans or other forward-looking information regarding Parent, its Subsidiaries or their respective businesses and operations, except in the event of Fraud. The Company hereby acknowledges that there are uncertainties inherent in attempting to develop such estimates, projections, forecasts, product roadmaps, business plans and other forward-looking information with which the Company is familiar, that the Company is taking full responsibility for making its own evaluation of the adequacy and accuracy of all estimates, projections, forecasts, product roadmaps, business plans and other forward-looking information furnished to them (including the reasonableness of the assumptions underlying such estimates, projections, forecasts, product roadmaps, business plans and other forward-looking information), and that with respect to any information described in this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except in the event of Fraud, neither the Company nor any of its Subsidiaries will have any claim against Parent or any of its stockholders, directors, officers, employees, Affiliates, advisors or other Representatives with respect to any such information.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8" w:name="page59"/>
    <w:bookmarkEnd w:id="5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of Parent and Merger Sub represents and warrants to the Company as follows: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6" w:lineRule="auto"/>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 is a corporation duly organized, validly existing and in good standing under the Laws of the jurisdiction of its incorporation, (ii) has all requisite corporate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with respect to clauses (ii) and (iii), for any such failures to have such power and authority or to be so qualified or licensed or in good standing as would not, individually or in the aggregate, have a Parent Material Adverse Effect.</w:t>
      </w:r>
    </w:p>
    <w:p>
      <w:pPr>
        <w:spacing w:after="0" w:line="187"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Merger Sub is in violation of any provision of its certificate of incorporation or bylaws, except as would not, individually or in the aggregate, have a Parent Material Adverse Effect.</w:t>
      </w:r>
    </w:p>
    <w:p>
      <w:pPr>
        <w:spacing w:after="0" w:line="162"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Parent and Merger Sub has all necessary corporate power and authority to execute and deliver this Agreement and all other agreements and documents contemplated hereby to which it is a party, to perform its obligations hereunder and thereunder and to consummate the transactions contemplated hereby and thereby. The execution, delivery and performance of this Agreement by Parent and Merger Sub and the consummation by Parent and Merger Sub of the transactions contemplated hereby have been duly authorized by all necessary corporate action on the part of Parent and Merger Sub (including by the Boards of Directors of Parent and Merger Sub), and no other corporate proceedings on the part of Parent or Merger Sub are necessary to authorize and approve the execution and delivery of this Agreement, the performance by Parent and Merger Sub of its obligations hereunder, and the consummation by Parent and Merger Sub of the transactions contemplated hereby, subject in the case of the consummation of the Merger, to the filing of the Certificate of Merger with the Secretary of State of the State of Delaware as required by the DGCL. This Agreement has been duly executed and delivered by Parent and Merger Sub and, assuming the due authorization, execution and delivery by the Company, constitutes a valid and binding obligation of Parent and Merger Sub, enforceable against each of them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No Conflict;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76" w:lineRule="auto"/>
        <w:tabs>
          <w:tab w:leader="none" w:pos="124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this Agreement by Parent and Merger Sub, and the consummation by Parent and Merger Sub of the transactions contemplated hereby, and the compliance by Parent and Merger Sub with any of the provisions herein, do not and will not</w:t>
      </w:r>
    </w:p>
    <w:p>
      <w:pPr>
        <w:ind w:left="4" w:right="140" w:hanging="4"/>
        <w:spacing w:after="0" w:line="250" w:lineRule="auto"/>
        <w:tabs>
          <w:tab w:leader="none" w:pos="21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breach or violate the certificate of incorporation or bylaws of Parent or Merger Sub, (ii) assuming that all consents, approvals and authorizations contemplated by clauses (i) through (vii)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below have been obtained and all filings described in such clauses have been made, conflict with or violate any Law applicable to Parent or Merger Sub or by which any of their respective properties or assets are bound or</w:t>
      </w:r>
    </w:p>
    <w:p>
      <w:pPr>
        <w:spacing w:after="0" w:line="1" w:lineRule="exact"/>
        <w:rPr>
          <w:rFonts w:ascii="Times New Roman" w:cs="Times New Roman" w:eastAsia="Times New Roman" w:hAnsi="Times New Roman"/>
          <w:sz w:val="18"/>
          <w:szCs w:val="18"/>
          <w:color w:val="auto"/>
        </w:rPr>
      </w:pPr>
    </w:p>
    <w:p>
      <w:pPr>
        <w:ind w:left="4" w:right="20" w:hanging="4"/>
        <w:spacing w:after="0" w:line="253" w:lineRule="auto"/>
        <w:tabs>
          <w:tab w:leader="none" w:pos="3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or violation of, or constitute a default (or an event which with notice or lapse of time or both would become or constitute a default), or result in the loss of a benefit under, or give rise to any right of termination, cancellation, amendment or acceleration of, any Contract to which Parent or Merger Sub is a party or by which Parent or Merger Sub or any of their respective properties or assets are bound, except, in the case of clauses (ii) and (iii), for any such conflict, breach, violation, default, loss, right or other occurrence that would not, individually or in the aggregate, have a Parent Material Adverse Effect.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66" w:right="479" w:bottom="1440" w:gutter="0" w:footer="0" w:header="0"/>
        </w:sectPr>
      </w:pPr>
    </w:p>
    <w:bookmarkStart w:id="59" w:name="page60"/>
    <w:bookmarkEnd w:id="59"/>
    <w:p>
      <w:pPr>
        <w:ind w:right="60" w:firstLine="987"/>
        <w:spacing w:after="0" w:line="270" w:lineRule="auto"/>
        <w:tabs>
          <w:tab w:leader="none" w:pos="124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and performance of this Agreement by Parent and Merger Sub, and the consummation by Parent and Merger Sub of the transactions contemplated hereby, do not and will not require any consent, approval, order, authorization or permit of, action by, registration, declaration or filing with or notification to, any Governmental Entity, except for (i) such filings as may be required under applicable requirements of the Exchange Act, and under state securities, “blue sky” and Takeover Laws, (ii) the filings required under the HSR Act, NSIA, and any filings required under the applicable requirements of Foreign Antitrust Laws, (iii) such filings as necessary to comply with the applicable requirements and rules of NASDAQ, (iv) the filings required under any Applicable Regulatory Laws, (v) compliance with the DGCL (including with respect to the filing with the Secretary of State of the State of Delaware of the Certificate of Merger as required by the DGCL), (vi) the filing with the SEC of the Offer Documents and any other documents required to be filed with the SEC by Merger Sub or Parent pursuant to this Agreement or in connection with the transactions contemplated hereby, and (vii) any such consent, approval, authorization, waiver, permit, action, nonaction, registration, declaration, filing or notification the failure of which to make or obtain would not, individually or in the aggregate, have a Parent Material Adverse Effect.</w:t>
      </w:r>
    </w:p>
    <w:p>
      <w:pPr>
        <w:spacing w:after="0" w:line="17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The Offer Documents will not, at the respective times they are first filed with the SEC, amended or supplemented or first published, distributed or disseminated to the Company’s stockholders, contain any untrue statement of a material fact or omit to state any material fact required to be stated therein or necessary to make the statements therein, in light of the circumstances under which they are made, not misleading. The Offer Documents will comply as to form and substance in all material respects with the applicable requirements of the Exchange Act. Notwithstanding the foregoing, neither Parent nor Merger Sub makes any representation or warranty with respect to statements included or incorporated by reference in the Offer Documents based on information supplied in writing by or on behalf of the Company specifically for inclusion or incorporation by reference therein. None of the information supplied or to be supplied by or on behalf of Parent or Merger Sub specifically for inclusion or incorporation by reference in the Schedule 14D-9 will, at the time it is first published, distributed or disseminated to the Company’s stockholders, contain any untrue statement of a material fact or omit to state any material fact required to be stated therein or necessary to make the statements therein, in light of the circumstances under which they are made, not misleading. Notwithstanding the foregoing, neither Parent nor Merger Sub makes any representation or warranty with respect to statements included or incorporated by reference in the Schedule 14D-9 based on information supplied in writing by or on behalf of the Company specifically for inclusion or incorporation by reference therein.</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Litigation; Orders</w:t>
      </w:r>
      <w:r>
        <w:rPr>
          <w:rFonts w:ascii="Times New Roman" w:cs="Times New Roman" w:eastAsia="Times New Roman" w:hAnsi="Times New Roman"/>
          <w:sz w:val="18"/>
          <w:szCs w:val="18"/>
          <w:color w:val="auto"/>
        </w:rPr>
        <w:t>. Except as would not, individually or in the aggregate, have a Parent Material Adverse Effect, (a) there is no Action pending or, to the knowledge of Parent, threatened against Parent or any of its Subsidiaries or any of their respective properties by or before any Governmental Entity and (b) neither Parent nor any of its Subsidiaries nor any of their respective properties is or are subject to any Order of any Governmental Entity. As of the date of this Agreement, there is no Action pending or, to the knowledge of Parent, threatened that questions the validity or enforceability of this Agreement or the right of Parent or Merger Sub to enter into this Agreement or to consummate the transactions contemplated hereby.</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Ownership and Operations of Merger Sub</w:t>
      </w:r>
      <w:r>
        <w:rPr>
          <w:rFonts w:ascii="Times New Roman" w:cs="Times New Roman" w:eastAsia="Times New Roman" w:hAnsi="Times New Roman"/>
          <w:sz w:val="18"/>
          <w:szCs w:val="18"/>
          <w:color w:val="auto"/>
        </w:rPr>
        <w:t>. Merger Sub was formed solely for the purpose of engaging in the transactions contemplated hereby and activities incidental thereto and has engaged in no other business activities and, as of immediately prior to the Effective Time, will have incurred no liabilities or obligations other than as contemplated herein or in connection with the transactions contemplated hereby. The authorized capital stock of Merger Sub consists of 100 shares of common stock, par value $0.01 per share, all of which are validly issued and outstanding. All of the issued and outstanding capital stock of Merger Sub is, and at the Effective Time will be, owned directly or indirectly by Parent.</w:t>
      </w:r>
    </w:p>
    <w:p>
      <w:pPr>
        <w:spacing w:after="0" w:line="183" w:lineRule="exact"/>
        <w:rPr>
          <w:sz w:val="20"/>
          <w:szCs w:val="20"/>
          <w:color w:val="auto"/>
        </w:rPr>
      </w:pPr>
    </w:p>
    <w:p>
      <w:pPr>
        <w:ind w:right="3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xml:space="preserve">. Parent has and will have, and will cause Merger Sub to have, at the Acceptance Time and the Effective Time, sufficient cash, available lines of credit, committed financing or other sources of immediately available funds to consummate the transactions contemplated hereby, including payment of all amounts required to be paid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In no event shall the receipt or availability of any funds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60" w:name="page61"/>
    <w:bookmarkEnd w:id="60"/>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financing by or to Parent, Merger Sub or any of their respective Affiliates or any other financing transaction be a condition to any of the obligations of Parent or Merger Sub under this Agreement.</w:t>
      </w:r>
    </w:p>
    <w:p>
      <w:pPr>
        <w:spacing w:after="0" w:line="162" w:lineRule="exact"/>
        <w:rPr>
          <w:sz w:val="20"/>
          <w:szCs w:val="20"/>
          <w:color w:val="auto"/>
        </w:rPr>
      </w:pPr>
    </w:p>
    <w:p>
      <w:pPr>
        <w:ind w:left="4"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Vote/Approval Required</w:t>
      </w:r>
      <w:r>
        <w:rPr>
          <w:rFonts w:ascii="Times New Roman" w:cs="Times New Roman" w:eastAsia="Times New Roman" w:hAnsi="Times New Roman"/>
          <w:sz w:val="18"/>
          <w:szCs w:val="18"/>
          <w:color w:val="auto"/>
        </w:rPr>
        <w:t>. As of the date of this Agreement, (a) the Board of Directors of Parent has approved this Agreement and the transactions contemplated hereby, including the Offer and the Merger, and (b) the Board of Directors of Merger Sub has (i) determined that it is in the best interests of Merger Sub and its sole stockholder, and declared it advisable, to enter into this Agreement and consummate the transactions contemplated hereby, (ii) approved the execution and delivery by Merger Sub of this Agreement, the performance by Merger Sub of its covenants and agreements contained herein and the consummation of the Offer and the Merger upon the terms and subject to the conditions contained herein and</w:t>
      </w:r>
    </w:p>
    <w:p>
      <w:pPr>
        <w:spacing w:after="0" w:line="3" w:lineRule="exact"/>
        <w:rPr>
          <w:sz w:val="20"/>
          <w:szCs w:val="20"/>
          <w:color w:val="auto"/>
        </w:rPr>
      </w:pPr>
    </w:p>
    <w:p>
      <w:pPr>
        <w:ind w:left="4" w:right="20" w:hanging="4"/>
        <w:spacing w:after="0" w:line="252" w:lineRule="auto"/>
        <w:tabs>
          <w:tab w:leader="none" w:pos="3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the sole stockholder of Merger Sub adopt this Agreement and approve the transactions contemplated hereby (including the Offer and the Merger), in each case of clauses (i) and (ii) above, at meetings duly called and held (or by unanimous written consent). No vote or consent of the holders of any class or series of capital stock of Parent is necessary to approve this Agreement or the Merger or the other transactions contemplated hereby. The vote or consent of Parent as the sole stockholder of Merger Sub (which shall have occurred prior to the Effective Time) is the only vote or consent of the holders of any class or series of capital stock of Merger Sub necessary to approve this Agreement or the Merger or the other transactions contemplated hereby.</w:t>
      </w:r>
    </w:p>
    <w:p>
      <w:pPr>
        <w:spacing w:after="0" w:line="190"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Neither Parent nor Merger Sub is, nor at any time for the past three years has been, an “interested stockholder” of the Company as defined in Section 203 of the DGCL. Prior to the date of this Agreement, neither Parent nor any of its Subsidiaries has taken (or authorized or permitted to take) any action that would reasonably be expected to cause Parent or its Subsidiaries to be deemed an “interested stockholder” as defined in Section 203 of the DGCL or otherwise render Section 251(h) of the DGCL inapplicable to the Merger. Parent and each of its Subsidiaries are “affiliates” of Merger Sub (as such term is defined in Section 251(h) of the DGCL).</w:t>
      </w:r>
    </w:p>
    <w:p>
      <w:pPr>
        <w:spacing w:after="0" w:line="18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financial advisor or other Person, other than XMS Capital Partners LLC, is entitled to any broker’s, finder’s, financial advisor’s or other similar fee or commission in connection with the transactions contemplated by this Agreement based upon arrangements made by or on behalf of Parent or Merger Sub, other than any such broker’s, finder’s, financial advisor’s or other similar fee or commission that shall be paid by or on behalf of Parent or Merger Sub (and not by the Company or any of its Subsidiaries).</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Merger Sub and Parent hereby acknowledge and agree that (a)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neither the Company nor any of its Subsidiaries nor any of their respective Affiliates or Representatives or any other Person, has made or is making any other express or implied representation or warranty with respect to the Company or any of its Subsidiaries or their respective business or operations, including with respect to any information provided or made available to Merger Sub, Parent or any of their respective Affiliates or Representatives or any other Person and (b) except in the event of Fraud, neither the Company nor any of its Subsidiaries nor any of their respective Affiliates or Representatives or any other Person will have or be subject to any liability or indemnification obligation or other obligation of any kind or nature to Merger Sub, Parent or any of their respective Affiliates or Representatives or any other Person, resulting from the delivery, dissemination or any other distribution to Merger Sub, Parent or any of their respective Affiliates or Representatives or any other Person, or the use by Merger Sub, Parent or any of their respective Affiliates or Representatives or any other Person, of any information provided or made available to any of them by the Company or any of its Subsidiaries, or any of their respective Affiliates or Representatives or any other Person in anticipation or contemplation of the Offer, the Merger or any other transactions contemplated hereby, including any information, documents, estimates, projections, forecasts or other forward-looking information, business plans or other material provided or made available to Merger Sub, Parent or any of their respective Affiliates or Representatives or any other Person, in “data rooms,” confidential information memoranda or management presentations in anticipation or contemplation of the Offer, the Merger or any other transactions contemplated hereby.</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61" w:name="page62"/>
    <w:bookmarkEnd w:id="61"/>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Each of Parent and Merger Sub acknowledges and agrees that it (a) has had an opportunity to discuss and ask questions regarding the business of the Company and its Subsidiaries with the management of the Company, (b) has had access to the books and records of the Company and its Subsidiaries, the “data room” maintained by the Company for purposes of the transactions contemplated by this Agreement and such other information as it has desired or requested to review and (c) has conducted its own independent investigation of the Company and its Subsidiaries and the transactions contemplated hereby, and has not relied on any representation or warranty by any Person regarding the Company or any of its Subsidiaries, except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Without limiting the foregoing,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in connection with this Agreement, each of Parent and Merger Sub further acknowledges and agrees that none of the Company or any of its Subsidiaries or any of their respective stockholders, directors, officers, employees, Affiliates, advisors or other Representatives has made any representation or warranty concerning any estimates, projections, forecasts, business plans or other forward-looking information regarding the Company or any of its Subsidiaries or their respective business and operations, except in the event of Fraud. Each of Parent and Merger Sub hereby acknowledges that there are uncertainties inherent in attempting to develop such estimates, projections, forecasts, product roadmaps, business plans and other forward-looking information with which Parent and Merger Sub are familiar, that Parent and Merger Sub are taking full responsibility for making their own evaluation of the adequacy and accuracy of all estimates, projections, forecasts, product roadmaps, business plans and other forward-looking information furnished to them (including the reasonableness of the assumptions underlying such estimates, projections, forecasts, product roadmaps, business plans and other forward-looking information), and that, except in the event of Fraud, Parent and Merger Sub will have no claim against the Company or any of its Subsidiaries or any of their respective stockholders, directors, officers, employees, Affiliates, advisors or other Representatives with respect to any such information.</w:t>
      </w:r>
    </w:p>
    <w:p>
      <w:pPr>
        <w:spacing w:after="0" w:line="200" w:lineRule="exact"/>
        <w:rPr>
          <w:sz w:val="20"/>
          <w:szCs w:val="20"/>
          <w:color w:val="auto"/>
        </w:rPr>
      </w:pPr>
    </w:p>
    <w:p>
      <w:pPr>
        <w:spacing w:after="0" w:line="205"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987"/>
        <w:spacing w:after="0" w:line="276" w:lineRule="auto"/>
        <w:tabs>
          <w:tab w:leader="none" w:pos="12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covenants and agrees that, during the period from the date of this Agreement until the earlier of the Effective Time and the valid termination of this Agreement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Interim Period</w:t>
      </w:r>
      <w:r>
        <w:rPr>
          <w:rFonts w:ascii="Times New Roman" w:cs="Times New Roman" w:eastAsia="Times New Roman" w:hAnsi="Times New Roman"/>
          <w:sz w:val="17"/>
          <w:szCs w:val="17"/>
          <w:color w:val="auto"/>
        </w:rPr>
        <w:t>”), except (i) as expressly required or permitted by this Agreement,</w:t>
      </w:r>
    </w:p>
    <w:p>
      <w:pPr>
        <w:ind w:left="4" w:right="40" w:hanging="4"/>
        <w:spacing w:after="0" w:line="251" w:lineRule="auto"/>
        <w:tabs>
          <w:tab w:leader="none" w:pos="2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disclosed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of the Company Disclosure Letter, (iii) as required by applicable Law, (iv) with the prior written consent of Parent (which consent shall not be unreasonably withheld, conditioned or delayed), or (v) for actions taken or omitted to be taken in response to emergency competitive conditions or any order, directive or other requirement of a Governmental Entity, in each case in good faith and as reasonably necessary under the circumstances (and all such actions shall be deemed to be in the ordinary course of business), the Company shall, and shall cause each of its Subsidiaries to, (x) conduct its business in the ordinary course and (y) use its commercially reasonable efforts to preserve substantially intact its current business organization, keep available the services of its officers and key employees by means of implementing the permitted actions described in </w:t>
      </w:r>
      <w:r>
        <w:rPr>
          <w:rFonts w:ascii="Times New Roman" w:cs="Times New Roman" w:eastAsia="Times New Roman" w:hAnsi="Times New Roman"/>
          <w:sz w:val="18"/>
          <w:szCs w:val="18"/>
          <w:u w:val="single" w:color="auto"/>
          <w:color w:val="auto"/>
        </w:rPr>
        <w:t>Section 6.1(b)(xii)</w:t>
      </w:r>
      <w:r>
        <w:rPr>
          <w:rFonts w:ascii="Times New Roman" w:cs="Times New Roman" w:eastAsia="Times New Roman" w:hAnsi="Times New Roman"/>
          <w:sz w:val="18"/>
          <w:szCs w:val="18"/>
          <w:color w:val="auto"/>
        </w:rPr>
        <w:t xml:space="preserve"> of the Company Disclosure Letter and maintain relations and goodwill with material suppliers, landlords, customers, licensors, licensees, Governmental Entities and other Persons having material business relationships with any member of the Company Group substantially consistent with such relations existing at the date of this Agreement. Any good-faith determination by the Company or its Subsidiaries regarding whether conduct is in the ordinary course of business or whether commercially reasonable efforts have been used shall be assessed based on what is practicable or reasonable under the circumstances. Any request by the Company for Parent’s consent under this Section 6.1 shall be deemed granted on the earlier of (A) Parent’s delivery of written consent and (B) the fifth Business Day (or such shorter reasonable period as is reasonably specified by the Company in its request) after delivery of such request, unless Parent notifies the Company in writing of its objection before such time.</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4"/>
          </w:cols>
          <w:pgMar w:left="436" w:top="270" w:right="499" w:bottom="1440" w:gutter="0" w:footer="0" w:header="0"/>
        </w:sectPr>
      </w:pPr>
    </w:p>
    <w:bookmarkStart w:id="62" w:name="page63"/>
    <w:bookmarkEnd w:id="62"/>
    <w:p>
      <w:pPr>
        <w:ind w:right="220" w:firstLine="987"/>
        <w:spacing w:after="0" w:line="266"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During the Interim Period, except (1) as expressly required by this Agreement, (2) as disclosed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Letter, (3) as required by applicable Law or (4) with the prior written consent of Parent (which consent shall not be unreasonably withheld, conditioned or delayed), the Company shall not, and shall cause each of its Subsidiaries not to:</w:t>
      </w:r>
    </w:p>
    <w:p>
      <w:pPr>
        <w:spacing w:after="0" w:line="67" w:lineRule="exact"/>
        <w:rPr>
          <w:rFonts w:ascii="Times New Roman" w:cs="Times New Roman" w:eastAsia="Times New Roman" w:hAnsi="Times New Roman"/>
          <w:sz w:val="18"/>
          <w:szCs w:val="18"/>
          <w:color w:val="auto"/>
        </w:rPr>
      </w:pPr>
    </w:p>
    <w:p>
      <w:pPr>
        <w:ind w:right="100" w:firstLine="1428"/>
        <w:spacing w:after="0" w:line="266" w:lineRule="auto"/>
        <w:tabs>
          <w:tab w:leader="none" w:pos="164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waive, or permit the adoption of any amendment to or waiver of, any provision of its Organizational Documents, or file any certificate of amendment, certificate of designation, certificate of elimination or other instrument affecting any capital stock of the Company;</w:t>
      </w:r>
    </w:p>
    <w:p>
      <w:pPr>
        <w:spacing w:after="0" w:line="175" w:lineRule="exact"/>
        <w:rPr>
          <w:rFonts w:ascii="Times New Roman" w:cs="Times New Roman" w:eastAsia="Times New Roman" w:hAnsi="Times New Roman"/>
          <w:sz w:val="18"/>
          <w:szCs w:val="18"/>
          <w:color w:val="auto"/>
        </w:rPr>
      </w:pPr>
    </w:p>
    <w:p>
      <w:pPr>
        <w:ind w:firstLine="1428"/>
        <w:spacing w:after="0" w:line="258" w:lineRule="auto"/>
        <w:tabs>
          <w:tab w:leader="none" w:pos="169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dispose of or encumber (or authorize the issuance, deliverance, sale, grant, pledge, disposal or encumbrance of) (x) any shares of capital stock or other equity security of the Company, (y) any option, call, warrant or right to acquire any capital stock or other equity security of the Company or (z) any instrument convertible into or exchangeable for any capital stock or other equity security of the Company, except pursuant to the exercise or settlement of Company Equity Awards, in each case outstanding as of the date hereof and in accordance with the terms thereof as of the date of this Agreement;</w:t>
      </w:r>
    </w:p>
    <w:p>
      <w:pPr>
        <w:spacing w:after="0" w:line="18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modify any of the terms of any outstanding Company Equity Awards or grant or issue any Company Equity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w:t>
      </w:r>
    </w:p>
    <w:p>
      <w:pPr>
        <w:spacing w:after="0" w:line="206" w:lineRule="exact"/>
        <w:rPr>
          <w:rFonts w:ascii="Times New Roman" w:cs="Times New Roman" w:eastAsia="Times New Roman" w:hAnsi="Times New Roman"/>
          <w:sz w:val="18"/>
          <w:szCs w:val="18"/>
          <w:color w:val="auto"/>
        </w:rPr>
      </w:pPr>
    </w:p>
    <w:p>
      <w:pPr>
        <w:ind w:right="280" w:firstLine="1428"/>
        <w:spacing w:after="0" w:line="282" w:lineRule="auto"/>
        <w:tabs>
          <w:tab w:leader="none" w:pos="173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otherwise, with respect to any of its capital stock or other equity securities;</w:t>
      </w:r>
    </w:p>
    <w:p>
      <w:pPr>
        <w:spacing w:after="0" w:line="161"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redeem, repurchase or otherwise acquire, reacquire or offer to acquire or redeem any shares of capital stock or other securities of the Company or its Subsidiaries (except in connection with the cashless exercises or similar transactions pursuant to the exercise or settlement of the Company Equity Awards outstanding as of the date hereof (or permitted to be granted hereunder after the date of this Agreement) in accordance with the terms thereof as of the date of this Agreement), or reclassify, combine, split, subdivide or otherwise amend the terms of the capital stock or other securities of the Company or any of its Subsidiaries;</w:t>
      </w:r>
    </w:p>
    <w:p>
      <w:pPr>
        <w:spacing w:after="0" w:line="183" w:lineRule="exact"/>
        <w:rPr>
          <w:rFonts w:ascii="Times New Roman" w:cs="Times New Roman" w:eastAsia="Times New Roman" w:hAnsi="Times New Roman"/>
          <w:sz w:val="18"/>
          <w:szCs w:val="18"/>
          <w:color w:val="auto"/>
        </w:rPr>
      </w:pPr>
    </w:p>
    <w:p>
      <w:pPr>
        <w:ind w:right="40" w:firstLine="1428"/>
        <w:spacing w:after="0" w:line="253" w:lineRule="auto"/>
        <w:tabs>
          <w:tab w:leader="none" w:pos="173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acquire (whether by merger, amalgamation, consolidation, share exchange, business combination, liquidation, dissolution, recapitalization, reclassification of shares, stock split, reverse stock split, division or subdivision of shares, consolidation of shares, acquisition of stock or assets or otherwise, or any similar transaction) any corporation, partnership or other business organization or division thereof or any assets or equity interests of any other Person, in each case, other than purchases of inventory, equipment and other assets in the ordinary course of business that involve a purchase price not in excess of $1,000,000.00 individually or $3,500,000.00 in the aggregate; or (B) sell or otherwise dispose of (whether by merger, amalgamation, consolidation or acquisition of stock or assets or otherwise) any corporation, partnership or other business organization or division thereof or any assets or property of the Company or any of its Subsidiaries, or lease or license any right or other asset or property of the Company or any of its Subsidiaries to any other Person, except in each case for rights, assets or properties (x) that do not have a fair market value in excess of $1,000,000.00 individually or $3,500,000.00 in the aggregate, (y) leased, licensed (in the case of Intellectual Property or Intellectual Property Rights, only to the extent such license is non-exclusive) or disposed of by the Company in the ordinary course of business or required pursuant to existing Contracts made available to Parent or (z) that are obsolete or worthless;</w:t>
      </w:r>
    </w:p>
    <w:p>
      <w:pPr>
        <w:spacing w:after="0" w:line="191" w:lineRule="exact"/>
        <w:rPr>
          <w:rFonts w:ascii="Times New Roman" w:cs="Times New Roman" w:eastAsia="Times New Roman" w:hAnsi="Times New Roman"/>
          <w:sz w:val="18"/>
          <w:szCs w:val="18"/>
          <w:color w:val="auto"/>
        </w:rPr>
      </w:pPr>
    </w:p>
    <w:p>
      <w:pPr>
        <w:ind w:right="100" w:firstLine="1428"/>
        <w:spacing w:after="0" w:line="266" w:lineRule="auto"/>
        <w:tabs>
          <w:tab w:leader="none" w:pos="178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enter into, materially amend or terminate (other than expiration in accordance with its terms), or waive any material right, remedy or default under any Material Contract (or any Contract that would have been a Material Contract if in effect on the date of this Agreement);</w:t>
      </w:r>
    </w:p>
    <w:p>
      <w:pPr>
        <w:spacing w:after="0" w:line="175" w:lineRule="exact"/>
        <w:rPr>
          <w:rFonts w:ascii="Times New Roman" w:cs="Times New Roman" w:eastAsia="Times New Roman" w:hAnsi="Times New Roman"/>
          <w:sz w:val="18"/>
          <w:szCs w:val="18"/>
          <w:color w:val="auto"/>
        </w:rPr>
      </w:pPr>
    </w:p>
    <w:p>
      <w:pPr>
        <w:ind w:right="160" w:firstLine="1428"/>
        <w:spacing w:after="0" w:line="282" w:lineRule="auto"/>
        <w:tabs>
          <w:tab w:leader="none" w:pos="183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apply for, amend, surrender, suspend, revoke, cancel, transfer, allow to lapse, or make any other changes in respect of any Company Product Permit;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63" w:name="page64"/>
    <w:bookmarkEnd w:id="63"/>
    <w:p>
      <w:pPr>
        <w:ind w:left="4" w:right="100" w:firstLine="1428"/>
        <w:spacing w:after="0" w:line="266" w:lineRule="auto"/>
        <w:tabs>
          <w:tab w:leader="none" w:pos="174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transfer, assign, lease, license, sublicense, abandon, permit to lapse, mortgage, pledge or otherwise dispose of or encumber any Company Intellectual Property or Company Registered IP, other than non-exclusive licenses of Intellectual Property to customers in the ordinary course of business</w:t>
      </w:r>
    </w:p>
    <w:p>
      <w:pPr>
        <w:spacing w:after="0" w:line="175" w:lineRule="exact"/>
        <w:rPr>
          <w:rFonts w:ascii="Times New Roman" w:cs="Times New Roman" w:eastAsia="Times New Roman" w:hAnsi="Times New Roman"/>
          <w:sz w:val="18"/>
          <w:szCs w:val="18"/>
          <w:color w:val="auto"/>
        </w:rPr>
      </w:pPr>
    </w:p>
    <w:p>
      <w:pPr>
        <w:ind w:left="4" w:right="60" w:firstLine="1428"/>
        <w:spacing w:after="0" w:line="253" w:lineRule="auto"/>
        <w:tabs>
          <w:tab w:leader="none" w:pos="169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loans, advances or capital contributions to, or investments in, any other Person (other than advances to Company Employees in the ordinary course of business pursuant to the Company’s business expense policy made available to Parent), (B) incur any indebtedness for borrowed money or issue any debt securities (other than in the ordinary course of business pursuant to the Company’s Existing Credit Agreement as in effect on the date of this Agreement without giving effect to any amendment, modification, supplement or restatement of the Existing Credit Agreement that would increase the aggregate commitments or borrowing limit thereunder in an aggregate amount in excess of $5,000,000), (C) assume, guarantee, endorse or otherwise become liable or responsible for the indebtedness or other obligations of another Person, in the case of clauses</w:t>
      </w:r>
    </w:p>
    <w:p>
      <w:pPr>
        <w:spacing w:after="0" w:line="5" w:lineRule="exact"/>
        <w:rPr>
          <w:rFonts w:ascii="Times New Roman" w:cs="Times New Roman" w:eastAsia="Times New Roman" w:hAnsi="Times New Roman"/>
          <w:sz w:val="18"/>
          <w:szCs w:val="18"/>
          <w:color w:val="auto"/>
        </w:rPr>
      </w:pPr>
    </w:p>
    <w:p>
      <w:pPr>
        <w:ind w:left="4" w:right="80" w:hanging="4"/>
        <w:spacing w:after="0" w:line="253" w:lineRule="auto"/>
        <w:tabs>
          <w:tab w:leader="none" w:pos="29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other than letters of credit, bank guarantees, security or performance bonds or similar credit support instruments, overdraft facilities or cash management programs issued, made or entered into in the ordinary course of business, (D) modify, amend, repurchase, redeem, repay or otherwise acquire or retire any bonds, debentures, notes or other indebtedness, other than repayments of indebtedness at stated maturity, (E) enter into any swap, futures or derivatives transaction, other than hedging activities in the ordinary course of business consistent with past practice, or (F) prepay any Material Contract;</w:t>
      </w:r>
    </w:p>
    <w:p>
      <w:pPr>
        <w:spacing w:after="0" w:line="186" w:lineRule="exact"/>
        <w:rPr>
          <w:rFonts w:ascii="Times New Roman" w:cs="Times New Roman" w:eastAsia="Times New Roman" w:hAnsi="Times New Roman"/>
          <w:sz w:val="18"/>
          <w:szCs w:val="18"/>
          <w:color w:val="auto"/>
        </w:rPr>
      </w:pPr>
    </w:p>
    <w:p>
      <w:pPr>
        <w:ind w:left="4" w:firstLine="1428"/>
        <w:spacing w:after="0" w:line="252" w:lineRule="auto"/>
        <w:tabs>
          <w:tab w:leader="none" w:pos="174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as required by the terms of any Company Plan as in effect as of the date hereof, or for the reallocation of benefits among the Company Plans in a manner that would not result in any increase in cost or expense, or in any increased liability or obligation, to the Company and its Subsidiaries, establish, adopt, enter into any new, amend, terminate or take any action to accelerate rights under any Company Plan or other plan or arrangement that would be considered a Company Plan if in effect as of the date of this Agreement, grant or pay any bonus or make any profit-sharing payment to, promote or change the title of any Company Employee or increase the amount of the wages, salary, commissions, fringe benefits or other compensation (including equity or equity-based compensation, whether payable in stock, cash or other property) or remuneration payable to any Company Employee or terminate (without cause) any Company Employee (except that the Company may: (A) provide routine salary increases consistent with past practice to any Company Employee entitled to receive annual cash compensation (including salary and target annual cash bonus opportunity) of $50,000 or less in the ordinary course of business and in connection with the Company’s customary employee review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such increase shall not result in increased costs to the Company or any of its Subsidiaries in any calendar year of more than 5% in the aggregate for all such increases or 7% for an increase with respect to an individual Company Employee), (B) subject to the increase limitation in (A), promote or change the title of any Company Employee in the ordinary course of business and in connection with the Company’s customary employee review process, (C) enter into written Company Employee Agreements with newly hired Company Employees, (D) amend the Company Plans to the extent required by applicable Law, (E) make customary bonus and profit-sharing payments in accordance with, and as required by, Company Plans existing on the date of this Agreement and (F) terminate the employment of any Company Employees entitled to receive annual cash compensation (including salary and target annual cash bonus opportunity) of $200,000 or less in the ordinary course of business without cause;</w:t>
      </w:r>
    </w:p>
    <w:p>
      <w:pPr>
        <w:spacing w:after="0" w:line="194" w:lineRule="exact"/>
        <w:rPr>
          <w:rFonts w:ascii="Times New Roman" w:cs="Times New Roman" w:eastAsia="Times New Roman" w:hAnsi="Times New Roman"/>
          <w:sz w:val="18"/>
          <w:szCs w:val="18"/>
          <w:color w:val="auto"/>
        </w:rPr>
      </w:pPr>
    </w:p>
    <w:p>
      <w:pPr>
        <w:ind w:left="4" w:right="260" w:firstLine="1428"/>
        <w:spacing w:after="0" w:line="282" w:lineRule="auto"/>
        <w:tabs>
          <w:tab w:leader="none" w:pos="17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methods of accounting or accounting practices, except as required by changes after the date of this Agreement in SEC accounting rules or GAAP or applicable Law;</w:t>
      </w:r>
    </w:p>
    <w:p>
      <w:pPr>
        <w:spacing w:after="0" w:line="161" w:lineRule="exact"/>
        <w:rPr>
          <w:rFonts w:ascii="Times New Roman" w:cs="Times New Roman" w:eastAsia="Times New Roman" w:hAnsi="Times New Roman"/>
          <w:sz w:val="18"/>
          <w:szCs w:val="18"/>
          <w:color w:val="auto"/>
        </w:rPr>
      </w:pPr>
    </w:p>
    <w:p>
      <w:pPr>
        <w:ind w:left="4" w:right="40" w:firstLine="1428"/>
        <w:spacing w:after="0" w:line="258" w:lineRule="auto"/>
        <w:tabs>
          <w:tab w:leader="none" w:pos="184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(or cause any insurer to pay, discharge, compromise, settle or satisfy) any Action (including any Action relating to this Agreement or the transactions contemplated hereby), or consent to the same, other than compromises, settlements or agreements in the ordinary course of business that involve only the payment of money damages not in excess of $250,000 individually or $1,000,000 in the aggregate and that do not involve any non-monetary relief or any admission of wrongdoing by the Company or its Subsidiaries, or commence any Action, except in connection with a breach or alleged breach of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64" w:name="page65"/>
    <w:bookmarkEnd w:id="64"/>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any other transaction contemplated hereby or between the parties hereto, with respect to routine collection of bills, or the enforcement of rights under a Material Contract that is not related to the Company’s Intellectual Property or Intellectual Property Rights or that are not In-Licenses;</w:t>
      </w:r>
    </w:p>
    <w:p>
      <w:pPr>
        <w:spacing w:after="0" w:line="140" w:lineRule="exact"/>
        <w:rPr>
          <w:sz w:val="20"/>
          <w:szCs w:val="20"/>
          <w:color w:val="auto"/>
        </w:rPr>
      </w:pPr>
    </w:p>
    <w:p>
      <w:pPr>
        <w:ind w:right="240" w:firstLine="1428"/>
        <w:spacing w:after="0" w:line="258" w:lineRule="auto"/>
        <w:tabs>
          <w:tab w:leader="none" w:pos="18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impose any material restriction on the right or ability of the Company or any of its Subsidiaries or, from and after the Effective Time, Parent and its Affiliates: (A) to compete with any other Person, (B) to acquire any product or other asset or any services from any other Person, (C) to perform services for or sell products to any other Person, (D) to transact business with any other Person, or (E) to operate at any location in the world, in each case, other than Contracts that contain covenants that prohibit Parent or any of its Subsidiaries from using any trade names other than Parent’s or its Subsidiaries’ trade names;</w:t>
      </w:r>
    </w:p>
    <w:p>
      <w:pPr>
        <w:spacing w:after="0" w:line="183" w:lineRule="exact"/>
        <w:rPr>
          <w:rFonts w:ascii="Times New Roman" w:cs="Times New Roman" w:eastAsia="Times New Roman" w:hAnsi="Times New Roman"/>
          <w:sz w:val="18"/>
          <w:szCs w:val="18"/>
          <w:color w:val="auto"/>
        </w:rPr>
      </w:pPr>
    </w:p>
    <w:p>
      <w:pPr>
        <w:ind w:right="200" w:firstLine="1428"/>
        <w:spacing w:after="0" w:line="266" w:lineRule="auto"/>
        <w:tabs>
          <w:tab w:leader="none" w:pos="177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pledge of any of its material assets or permit any of its material assets, or any of its cash equivalents or short-term investments, to become subject to any Liens (other than Permitted Liens and, subject to </w:t>
      </w:r>
      <w:r>
        <w:rPr>
          <w:rFonts w:ascii="Times New Roman" w:cs="Times New Roman" w:eastAsia="Times New Roman" w:hAnsi="Times New Roman"/>
          <w:sz w:val="18"/>
          <w:szCs w:val="18"/>
          <w:u w:val="single" w:color="auto"/>
          <w:color w:val="auto"/>
        </w:rPr>
        <w:t>Section 6.1(b)(xx)</w:t>
      </w:r>
      <w:r>
        <w:rPr>
          <w:rFonts w:ascii="Times New Roman" w:cs="Times New Roman" w:eastAsia="Times New Roman" w:hAnsi="Times New Roman"/>
          <w:sz w:val="18"/>
          <w:szCs w:val="18"/>
          <w:color w:val="auto"/>
        </w:rPr>
        <w:t>, in connection with equipment financing in the ordinary course of business);</w:t>
      </w:r>
    </w:p>
    <w:p>
      <w:pPr>
        <w:spacing w:after="0" w:line="17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that would be entitled to receive annual cash compensation (including salary and target annual cash bonus)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$250,000 or more;</w:t>
      </w:r>
    </w:p>
    <w:p>
      <w:pPr>
        <w:spacing w:after="0" w:line="206"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effectuate a “plant closing,” “mass layoff,” or similar action that would require notice under the WARN Act or any similar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local Law;</w:t>
      </w:r>
    </w:p>
    <w:p>
      <w:pPr>
        <w:spacing w:after="0" w:line="206" w:lineRule="exact"/>
        <w:rPr>
          <w:rFonts w:ascii="Times New Roman" w:cs="Times New Roman" w:eastAsia="Times New Roman" w:hAnsi="Times New Roman"/>
          <w:sz w:val="18"/>
          <w:szCs w:val="18"/>
          <w:color w:val="auto"/>
        </w:rPr>
      </w:pPr>
    </w:p>
    <w:p>
      <w:pPr>
        <w:ind w:left="1920" w:hanging="492"/>
        <w:spacing w:after="0"/>
        <w:tabs>
          <w:tab w:leader="none" w:pos="19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or similar labor agreement;</w:t>
      </w:r>
    </w:p>
    <w:p>
      <w:pPr>
        <w:spacing w:after="0" w:line="225" w:lineRule="exact"/>
        <w:rPr>
          <w:rFonts w:ascii="Times New Roman" w:cs="Times New Roman" w:eastAsia="Times New Roman" w:hAnsi="Times New Roman"/>
          <w:sz w:val="18"/>
          <w:szCs w:val="18"/>
          <w:color w:val="auto"/>
        </w:rPr>
      </w:pPr>
    </w:p>
    <w:p>
      <w:pPr>
        <w:ind w:firstLine="1428"/>
        <w:spacing w:after="0" w:line="254" w:lineRule="auto"/>
        <w:tabs>
          <w:tab w:leader="none" w:pos="18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any annual Tax accounting period, adopt or change any method of Tax accounting, extend the statute of limitations relating to material Taxes with any Governmental Entity, file any Tax Return other than on a basis consistent with past practice, take any material position on a Tax Return inconsistent with a position taken on a Tax Return previously filed, amend any material Tax Return, initiate any voluntary disclosure or closing agreement as described in Section 7121 of the Code (or any corresponding or similar provision of state, provincial, local, or non-U.S. applicable Law) with a taxing authority, settle or compromise any material Tax claim assessment, surrender any right to claim a material Tax refund, or enter into any material Contract with (other than in the ordinary course of business) or request any material ruling from any Governmental Entity relating to Taxes, consent to any extension or waiver of the limitations period applicable to any claim or assessment, in each case, with respect to Taxes, or act or omit to act where such action or omission to act could reasonably be expected to have the effect of increasing any present or future Tax liability or decreasing any present or future Tax benefit for the Company or Parent or its Affiliates;</w:t>
      </w:r>
    </w:p>
    <w:p>
      <w:pPr>
        <w:spacing w:after="0" w:line="188" w:lineRule="exact"/>
        <w:rPr>
          <w:rFonts w:ascii="Times New Roman" w:cs="Times New Roman" w:eastAsia="Times New Roman" w:hAnsi="Times New Roman"/>
          <w:sz w:val="18"/>
          <w:szCs w:val="18"/>
          <w:color w:val="auto"/>
        </w:rPr>
      </w:pPr>
    </w:p>
    <w:p>
      <w:pPr>
        <w:ind w:right="100" w:firstLine="1428"/>
        <w:spacing w:after="0" w:line="261" w:lineRule="auto"/>
        <w:tabs>
          <w:tab w:leader="none" w:pos="177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capital expenditure or any obligations, liabilities or indebtedness in respect thereof, except for any capital expenditures incurred following the date of this Agreement in an amount not to exceed (A) $2,000,000 in the aggregate during the first six months following the date of this Agreement, (B) an additional $2,000,000 in the aggregate during the second six months following the date of this Agreement, and (C) from and after the initial Outside Date, $5,000,000 in the aggregate;</w:t>
      </w:r>
    </w:p>
    <w:p>
      <w:pPr>
        <w:spacing w:after="0" w:line="179" w:lineRule="exact"/>
        <w:rPr>
          <w:rFonts w:ascii="Times New Roman" w:cs="Times New Roman" w:eastAsia="Times New Roman" w:hAnsi="Times New Roman"/>
          <w:sz w:val="18"/>
          <w:szCs w:val="18"/>
          <w:color w:val="auto"/>
        </w:rPr>
      </w:pPr>
    </w:p>
    <w:p>
      <w:pPr>
        <w:ind w:right="100" w:firstLine="1428"/>
        <w:spacing w:after="0" w:line="258" w:lineRule="auto"/>
        <w:tabs>
          <w:tab w:leader="none" w:pos="18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withdraw, or materially amend any application, notification, registration, or other filing with any Governmental Entity relating to any Company Product or any export license, authorization, or agreement without the prior written consent of Parent (which consent shall not be unreasonably withheld, conditioned or delayed), or take any action or omit to take any action that would reasonably be expected to result in the issuance of a warning letter, notice of violation, consent decree, debarment, or similar enforcement action by any Governmental Entity with respect to any Company Product;</w:t>
      </w:r>
    </w:p>
    <w:p>
      <w:pPr>
        <w:spacing w:after="0" w:line="183"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discontinue any existing line of business;</w:t>
      </w:r>
    </w:p>
    <w:p>
      <w:pPr>
        <w:spacing w:after="0" w:line="225" w:lineRule="exact"/>
        <w:rPr>
          <w:rFonts w:ascii="Times New Roman" w:cs="Times New Roman" w:eastAsia="Times New Roman" w:hAnsi="Times New Roman"/>
          <w:sz w:val="18"/>
          <w:szCs w:val="18"/>
          <w:color w:val="auto"/>
        </w:rPr>
      </w:pPr>
    </w:p>
    <w:p>
      <w:pPr>
        <w:ind w:right="360" w:firstLine="1428"/>
        <w:spacing w:after="0" w:line="266" w:lineRule="auto"/>
        <w:tabs>
          <w:tab w:leader="none" w:pos="19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deposit or otherwise provide access to, or license or distribute, any Source Code for any Company Software to any third party, including any escrow agent, except in the ordinary course of business to employees, consultants or contractors under appropriate confidentiality agreements;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5" w:name="page66"/>
    <w:bookmarkEnd w:id="65"/>
    <w:p>
      <w:pPr>
        <w:ind w:right="40" w:firstLine="1428"/>
        <w:spacing w:after="0" w:line="266" w:lineRule="auto"/>
        <w:tabs>
          <w:tab w:leader="none" w:pos="191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materially amend, terminate (other than expiration in accordance with its terms), or waive any material right under, any Real Property Lease, or enter into any new lease, sublease, license or other occupancy agreement for real property, or vacate, abandon or cease to operate at any Real Property, or sell, transfer, convey, encumber or otherwise dispose of any Owned Real Property or any interest therein;</w:t>
      </w:r>
    </w:p>
    <w:p>
      <w:pPr>
        <w:spacing w:after="0" w:line="175" w:lineRule="exact"/>
        <w:rPr>
          <w:rFonts w:ascii="Times New Roman" w:cs="Times New Roman" w:eastAsia="Times New Roman" w:hAnsi="Times New Roman"/>
          <w:sz w:val="18"/>
          <w:szCs w:val="18"/>
          <w:color w:val="auto"/>
        </w:rPr>
      </w:pPr>
    </w:p>
    <w:p>
      <w:pPr>
        <w:ind w:right="20" w:firstLine="1428"/>
        <w:spacing w:after="0" w:line="261" w:lineRule="auto"/>
        <w:tabs>
          <w:tab w:leader="none" w:pos="18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terminate any Contract, transaction, arrangement or understanding with (A) any Affiliate of the Company, (B) any holder of record or beneficial owner of 5% or more of the outstanding Shares or any Affiliate thereof, or (C) any director or officer of the Company, in each case other than reimbursement of business expenses of directors and Company Employees in the ordinary course of business and other than as expressly contemplated by this Agreement or the Support Agreement;</w:t>
      </w:r>
    </w:p>
    <w:p>
      <w:pPr>
        <w:spacing w:after="0" w:line="179" w:lineRule="exact"/>
        <w:rPr>
          <w:rFonts w:ascii="Times New Roman" w:cs="Times New Roman" w:eastAsia="Times New Roman" w:hAnsi="Times New Roman"/>
          <w:sz w:val="18"/>
          <w:szCs w:val="18"/>
          <w:color w:val="auto"/>
        </w:rPr>
      </w:pPr>
    </w:p>
    <w:p>
      <w:pPr>
        <w:ind w:right="980" w:firstLine="1428"/>
        <w:spacing w:after="0" w:line="282" w:lineRule="auto"/>
        <w:tabs>
          <w:tab w:leader="none" w:pos="191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any plan of complete or partial liquidation, dissolution, restructuring, recapitalization or other reorganization of the Company, other than the Merger;</w:t>
      </w:r>
    </w:p>
    <w:p>
      <w:pPr>
        <w:spacing w:after="0" w:line="161" w:lineRule="exact"/>
        <w:rPr>
          <w:rFonts w:ascii="Times New Roman" w:cs="Times New Roman" w:eastAsia="Times New Roman" w:hAnsi="Times New Roman"/>
          <w:sz w:val="18"/>
          <w:szCs w:val="18"/>
          <w:color w:val="auto"/>
        </w:rPr>
      </w:pPr>
    </w:p>
    <w:p>
      <w:pPr>
        <w:ind w:right="80" w:firstLine="1428"/>
        <w:spacing w:after="0" w:line="282" w:lineRule="auto"/>
        <w:tabs>
          <w:tab w:leader="none" w:pos="19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any confidentiality, non-competition, non-solicitation, invention assignment or other restrictive covenant obligation of any current or former Company Employee, independent contractor or consultant; or</w:t>
      </w:r>
    </w:p>
    <w:p>
      <w:pPr>
        <w:spacing w:after="0" w:line="161" w:lineRule="exact"/>
        <w:rPr>
          <w:rFonts w:ascii="Times New Roman" w:cs="Times New Roman" w:eastAsia="Times New Roman" w:hAnsi="Times New Roman"/>
          <w:sz w:val="18"/>
          <w:szCs w:val="18"/>
          <w:color w:val="auto"/>
        </w:rPr>
      </w:pPr>
    </w:p>
    <w:p>
      <w:pPr>
        <w:ind w:left="2020" w:hanging="592"/>
        <w:spacing w:after="0"/>
        <w:tabs>
          <w:tab w:leader="none" w:pos="2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resolve, propose or agree (in writing or otherwise) to take any of the foregoing actions.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Merger Sub Stockholder Consent</w:t>
      </w:r>
      <w:r>
        <w:rPr>
          <w:rFonts w:ascii="Times New Roman" w:cs="Times New Roman" w:eastAsia="Times New Roman" w:hAnsi="Times New Roman"/>
          <w:sz w:val="18"/>
          <w:szCs w:val="18"/>
          <w:color w:val="auto"/>
        </w:rPr>
        <w:t>. Parent shall, immediately after the execution and delivery of this Agreement, execute and deliver, in accordance with Section 228 of the DGCL and in its capacity as the sole stockholder of Merger Sub, a written consent adopting this Agreement, and will promptly thereafter deliver a copy of such written consent to the Company.</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No Control of the Other Party’s Business</w:t>
      </w:r>
      <w:r>
        <w:rPr>
          <w:rFonts w:ascii="Times New Roman" w:cs="Times New Roman" w:eastAsia="Times New Roman" w:hAnsi="Times New Roman"/>
          <w:sz w:val="18"/>
          <w:szCs w:val="18"/>
          <w:color w:val="auto"/>
        </w:rPr>
        <w:t>. Nothing contained in this Agreement shall give Parent,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in each case, except as expressly set forth herein. Prior to the Effective Time, the Company shall exercise, consistent with the terms and conditions of this Agreement, complete control and supervision over its operations, and Parent shall exercise complete control and supervision over its and its Subsidiaries’ respective operations.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Acquisition Proposals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 Company agrees that it shall not, and it shall cause its Subsidiaries not to, and it shall use its reasonable best efforts to cause its and their respective directors, officers, employees, investment bankers, attorneys, accountants and other advisors or representatives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initiate, solicit or knowingly facilitate or knowingly encourage (including by providing non-public information) any inquiries, proposals or offers that constitute or that would reasonably be expected to lead to, an Acquisition Proposal; (ii) furnish any information regarding, or provide access to the business, properties, assets, books or records (except as required by applicable Law) of, the Company to any Person (other than Parent, Merger Sub and their respective Representatives) in response to any inquiry, proposal or offer that constitutes, or would reasonably be expected to lead to, an Acquisition Proposal; or (iii) continue, enter into, engage in or participate in any negotiations or discussions (other than to state that they are not permitted to have discussions) concerning, or provide or cause to be provided any information or data relating to the Company or any of its Subsidiaries in response to any inquiry, proposal or offer that constitutes, or that would reasonably be expected to lead to, an Acquisition Proposal. The Company agrees that it shall, and it shall cause its Subsidiaries to, and shall use its reasonable best efforts to cause its Representatives to, immediately cease and cause to be terminated any existing activities, discussions or negotiations with any Persons conducted heretofore with respect to any inquiry, proposal or offer that constitutes, or that would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6" w:name="page67"/>
    <w:bookmarkEnd w:id="66"/>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be expected to lead to, an Acquisition Proposal (including promptly (and in any event within one Business Day after the execution and delivery of this Agreement) terminating access of any such Person and its Representatives (other than Parent, Merger Sub and their respective Representatives) to any electronic data room relating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Acceptance Time, nothing in this Agreement shall restrict the Company from granting a waiver of a “standstill” or similar obligation with respect to any Acquisition Proposal, in each case, if the Company Board determines in good faith, after consultation with its outside legal counsel, that the failure to take such action would reasonably be expected to be inconsistent with the Company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provide Parent with written notice of any such waiver concurrently with or promptly (and in any event within 48 hours) following the granting of such waiver. Notwithstanding the foregoing, the Company may, in response to (A)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is received by the Company after the date of this Agreement and that did not result from a material breach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contact in writing the Person making such Acquisition Proposal to seek to clarify any ambiguous terms and conditions of such Acquisition Proposal to determine whether such Acquisition Proposal constitutes or would reasonably be expected to lead to a Superior Proposal, and (B) an unsolicited inquiry or proposal from a third party, direct such third party or its Representative to the terms of this Agreement, including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(without, in each case, conveying, requesting or attempting to gather any other information except as otherwise specifically permitted hereunder). The Company shall be responsible for any action taken by its Representatives (to the extent acting in their respective authorized capacities on behalf or at the direction of the Company) that would violate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if taken by the Company, and the Company shall instruct its Representatives in writing of the obligations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promptly following the execution and delivery of this Agreement.</w:t>
      </w:r>
    </w:p>
    <w:p>
      <w:pPr>
        <w:spacing w:after="0" w:line="195" w:lineRule="exact"/>
        <w:rPr>
          <w:sz w:val="20"/>
          <w:szCs w:val="20"/>
          <w:color w:val="auto"/>
        </w:rPr>
      </w:pPr>
    </w:p>
    <w:p>
      <w:pPr>
        <w:ind w:left="4" w:firstLine="987"/>
        <w:spacing w:after="0" w:line="253"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at any time prior to the Acceptance Time, in response to an unsolicited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written Acquisition Proposal that is received by the Company after the date of this Agreement and that did not result from a material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if the Company Board determines in good faith, after consultation with its outside legal counsel and financial advisors, that such Acquisition Proposal constitutes or would reasonably be expected to lead to a Superior Proposal and, after consultation with its outside legal counsel, that the failure to take such action would reasonably be expected to be inconsistent with the Company Board’s fiduciary duties under applicable Law, the Company may (i) furnish information with respect to the Company and its Subsidiaries to the Person making such Acquisition Proposal pursuant to a customary confidentiality agreement that contains confidentiality and non-use terms not materially less favorable in the aggregate to the Company to those contained in the Confidentiality Agreement (except for such changes specifically necessary in order for the Company to be able to comply with its obligations under this Agreement and the absence of a “standstill” provision), a copy of which shall be provided to Parent promptly following the execution thereof, and (ii) participate in discussions or negotiations with such Person and its Representatives regarding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provide or make available to Parent any information concerning the Company or any of its Subsidiaries that is provided to the Person making such Acquisition Proposal or its Representatives which was not previously made available to Parent, prior to or concurrently with such information being provided to such Person making such Acquisition Proposal or its Representatives.</w:t>
      </w:r>
    </w:p>
    <w:p>
      <w:pPr>
        <w:spacing w:after="0" w:line="187"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actions contemplated by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the Company Board shall not (i) (A) withhold, withdraw or modify in a manner adverse to Parent or Merger Sub, or publicly propose to withhold, withdraw or modify in a manner adverse to Parent or Merger Sub, the Company Recommendation; (B) adopt, approve, endorse or recommend, or otherwise declare advisable the adoption of, any Acquisition Proposal; or (C) resolve, agree or publicly propose to take any such actions (any such action or failure to act in the foregoing clauses</w:t>
      </w:r>
    </w:p>
    <w:p>
      <w:pPr>
        <w:spacing w:after="0" w:line="2" w:lineRule="exact"/>
        <w:rPr>
          <w:rFonts w:ascii="Times New Roman" w:cs="Times New Roman" w:eastAsia="Times New Roman" w:hAnsi="Times New Roman"/>
          <w:sz w:val="18"/>
          <w:szCs w:val="18"/>
          <w:color w:val="auto"/>
        </w:rPr>
      </w:pPr>
    </w:p>
    <w:p>
      <w:pPr>
        <w:ind w:left="4" w:right="40" w:hanging="4"/>
        <w:spacing w:after="0" w:line="253" w:lineRule="auto"/>
        <w:tabs>
          <w:tab w:leader="none" w:pos="2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or (ii) cause or permit the Company or any of its Subsidiaries to enter into any letter of intent (whether binding or non-binding), memorandum of understanding, agreement in principle, acquisition agreement, merger agreement, or other Contract (other than a confidentiality agreement referred to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entered into in compliance with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relating to any Acquisition Proposal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67" w:name="page68"/>
    <w:bookmarkEnd w:id="67"/>
    <w:p>
      <w:pPr>
        <w:ind w:firstLine="987"/>
        <w:spacing w:after="0" w:line="257"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at any time prior to the Acceptance Time, in response to the receipt of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is received by the Company after the date of this Agreement and that did not result from a material breach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that the Company Board has determined in good faith, after consultation with its outside legal counsel and financial advisors, constitutes a Superior Proposal, the Company Board may make an Adverse Recommendation Change or terminate this Agreement and enter into an Alternative Acquisition Agreement with respect to such Superior Proposal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as applicable, or authorize, resolve, agree or propose publicly to take any such action, if, and only if, all of the following conditions are met:</w:t>
      </w:r>
    </w:p>
    <w:p>
      <w:pPr>
        <w:spacing w:after="0" w:line="76" w:lineRule="exact"/>
        <w:rPr>
          <w:rFonts w:ascii="Times New Roman" w:cs="Times New Roman" w:eastAsia="Times New Roman" w:hAnsi="Times New Roman"/>
          <w:sz w:val="18"/>
          <w:szCs w:val="18"/>
          <w:color w:val="auto"/>
        </w:rPr>
      </w:pPr>
    </w:p>
    <w:p>
      <w:pPr>
        <w:ind w:firstLine="1428"/>
        <w:spacing w:after="0" w:line="252" w:lineRule="auto"/>
        <w:tabs>
          <w:tab w:leader="none" w:pos="164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shall have provided to Parent at least three Business Days’ prior written notice (it being understood and agreed that the delivery of such notice shall not, in and of itself, be deemed to be an Adverse Recommendation Change), which shall state expressly (1) that it has received a written Acquisition Proposal that the Company Board has determined constitutes a Superior Proposal, (2) the material terms and conditions of the Acquisition Proposal (including the consideration offered therein and the identity of the Person or group of Persons making the Acquisition Proposal) and shall have contemporaneously provided an unredacted copy of the Alternative Acquisition Agreement in the form proposed to be entered into by the Company and all other documents (other than immaterial documents) related to the Superior Proposal and (3) that,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the Company Board is prepared to make an Adverse Recommendation Change or to terminate this Agreement and enter into an Alternative Acquisition Agreement with respect to such Superior Proposal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as applicable, and (B) prior to making such Adverse Recommendation Change or terminating this Agreement and entering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as applicable, (x) during the three Business Day period commencing on the date of Parent’s receipt of such notice, the Company shall have engaged in good faith negotiations with Parent and its Representatives (to the extent Parent wishes to engage), which may be on a non-exclusive basis, to consider any adjustments proposed by Parent to the terms and conditions of this Agreement or the Offer or a possible alternative transaction such that the Acquisition Proposal ceases to constitute a Superior Proposal and (y) in determining whether to make an Adverse Recommendation Change or terminate this Agreement and enter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the Company Board shall have taken into account any adjustments to the terms of this Agreement or the Offer or any possible alternative transaction proposed by Parent and any other information provided by Parent and its Representatives during such three Business Day period in response to such notice; and</w:t>
      </w:r>
    </w:p>
    <w:p>
      <w:pPr>
        <w:spacing w:after="0" w:line="194" w:lineRule="exact"/>
        <w:rPr>
          <w:rFonts w:ascii="Times New Roman" w:cs="Times New Roman" w:eastAsia="Times New Roman" w:hAnsi="Times New Roman"/>
          <w:sz w:val="18"/>
          <w:szCs w:val="18"/>
          <w:color w:val="auto"/>
        </w:rPr>
      </w:pPr>
    </w:p>
    <w:p>
      <w:pPr>
        <w:ind w:right="80" w:firstLine="1428"/>
        <w:spacing w:after="0" w:line="258" w:lineRule="auto"/>
        <w:tabs>
          <w:tab w:leader="none" w:pos="16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shall have determined, in good faith, after consultation with its outside legal counsel and financial advisors, that, taking into account any adjustments to the terms of this Agreement or the Offer or any possible alternative transaction proposed by Parent, such Acquisition Proposal continues to constitute a Superior Proposal and that the failure to make such Adverse Recommendation Change or to so terminate this Agreement and enter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as applicable, would reasonably be expected to be inconsistent with the Company Board’s fiduciary duties under applicable Law.</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shall also apply to any changes to the financial or other material terms of such Acquisition Proposal, as the case may be, occurring prior to the Company Board effecting the Adverse Recommendation Change or terminating this Agreement and entering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in each case, with respect to such Acquisition Proposal in accordance with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which shall require the Company to provide to Parent a new notice in accordance with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except that the references to three Business Days in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shall be deemed to be references to two Business Days.</w:t>
      </w:r>
    </w:p>
    <w:p>
      <w:pPr>
        <w:spacing w:after="0" w:line="183" w:lineRule="exact"/>
        <w:rPr>
          <w:sz w:val="20"/>
          <w:szCs w:val="20"/>
          <w:color w:val="auto"/>
        </w:rPr>
      </w:pPr>
    </w:p>
    <w:p>
      <w:pPr>
        <w:jc w:val="both"/>
        <w:ind w:right="300" w:firstLine="987"/>
        <w:spacing w:after="0" w:line="266"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at any time prior to the Acceptance Time, the Company Board has determined in good faith, after consultation with its outside legal counsel and financial advisors, that an Intervening Event has occurred, the Company Board may make an Adverse Recommendation Change in response to such Intervening Event) if, and only if, all of the following conditions are met: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8" w:right="459" w:bottom="1440" w:gutter="0" w:footer="0" w:header="0"/>
        </w:sectPr>
      </w:pPr>
    </w:p>
    <w:bookmarkStart w:id="68" w:name="page69"/>
    <w:bookmarkEnd w:id="68"/>
    <w:p>
      <w:pPr>
        <w:ind w:left="4" w:right="60" w:firstLine="1428"/>
        <w:spacing w:after="0" w:line="254" w:lineRule="auto"/>
        <w:tabs>
          <w:tab w:leader="none" w:pos="16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have (A) provided to Parent three Business Days’ prior written notice (it being understood and agreed that the delivery of such notice shall not, in and of itself, be deemed to be an Adverse Recommendation Change), which shall (1) set forth in reasonable detail information describing the Intervening Event and the rationale and basis for the Adverse Recommendation Change in response thereto and (2) state expressly that,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the Company Board is prepared to make an Adverse Recommendation Change in response to such Intervening Event and (B) during the three Business Day period commencing on the date of Parent’s receipt of such notice, prior to making such an Adverse Recommendation Change, engaged in good faith negotiations with Parent and its Representatives (to the extent Parent wishes to engage) to consider any adjustments proposed by Parent to the terms and conditions of this Agreement or the Offer, such that the failure of the Company Board to make an Adverse Recommendation Change in response to such Intervening Event would no longer reasonably be expected to be inconsistent with the Company Board’s fiduciary duties under applicable Law; and</w:t>
      </w:r>
    </w:p>
    <w:p>
      <w:pPr>
        <w:spacing w:after="0" w:line="188" w:lineRule="exact"/>
        <w:rPr>
          <w:rFonts w:ascii="Times New Roman" w:cs="Times New Roman" w:eastAsia="Times New Roman" w:hAnsi="Times New Roman"/>
          <w:sz w:val="18"/>
          <w:szCs w:val="18"/>
          <w:color w:val="auto"/>
        </w:rPr>
      </w:pPr>
    </w:p>
    <w:p>
      <w:pPr>
        <w:ind w:left="4" w:right="80" w:firstLine="1428"/>
        <w:spacing w:after="0" w:line="256" w:lineRule="auto"/>
        <w:tabs>
          <w:tab w:leader="none" w:pos="17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shall have determined, in good faith, after consultation with its outside legal counsel and financial advisors, that in light of such Intervening Event and taking into account any adjustments proposed by Parent to the terms and conditions of this Agreement or the Offer, the failure of the Company Board to make an Adverse Recommendation Change in response to such Intervening Event would reasonably be expected to be inconsistent with the Company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no Intervening Event (or Adverse Recommendation Change in response thereto) shall provide the Company or the Company Board with any right to terminate this Agreement.</w:t>
      </w:r>
    </w:p>
    <w:p>
      <w:pPr>
        <w:spacing w:after="0" w:line="187" w:lineRule="exact"/>
        <w:rPr>
          <w:sz w:val="20"/>
          <w:szCs w:val="20"/>
          <w:color w:val="auto"/>
        </w:rPr>
      </w:pPr>
    </w:p>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shall also apply to any material changes or developments with respect to such Intervening Event occurring prior to the Company Board effecting an Adverse Recommendation Change in response to such Intervening Event in accordance with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which shall require the Company to provide to Parent a new notice in accordance with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except that the references to three Business Days in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shall be deemed to be references to two Business Days.</w:t>
      </w:r>
    </w:p>
    <w:p>
      <w:pPr>
        <w:spacing w:after="0" w:line="180" w:lineRule="exact"/>
        <w:rPr>
          <w:sz w:val="20"/>
          <w:szCs w:val="20"/>
          <w:color w:val="auto"/>
        </w:rPr>
      </w:pPr>
    </w:p>
    <w:p>
      <w:pPr>
        <w:ind w:left="4" w:firstLine="987"/>
        <w:spacing w:after="0" w:line="253" w:lineRule="auto"/>
        <w:tabs>
          <w:tab w:leader="none" w:pos="12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promptly (and in any event within 24 hours) shall advise Parent orally and in writing of (i) its receipt of any Acquisition Proposal (or inquiry, proposal or offer that would reasonably be expected to lead to an Acquisition Proposal), (ii) any inquiry or request for non-public information relating to the Company or its Subsidiaries, other than inquiries or requests for information that are not related and would not reasonably be expected to be related to an Acquisition Proposal (and that would not reasonably be expected to lead to an Acquisition Proposal), and (iii) any inquiry or request for discussion or negotiation regarding an Acquisition Proposal (or any inquiry, proposal or offer that would reasonably be expected to lead to an Acquisition Proposal), including, in each case, the identity of the Person or group of Persons making any such Acquisition Proposal, inquiry, proposal, offer or request and the material terms and conditions of any such Acquisition Proposal, inquiry, proposal, offer or request (and the Company shall promptly (and in any event within 24 hours) deliver to Parent true and complete copies of any such written inquiries, proposals or offers (and any amendment, modification or supplement thereto) and any related correspondence or any proposed agreements received by the Company or its Representatives) and thereafter shall keep Parent informed, on a current basis (and in any event within 24 hours) of any material change, amendment or modification of the status or terms of any such inquiries, proposals or offers or the status of any such discussions or negotiations.</w:t>
      </w:r>
    </w:p>
    <w:p>
      <w:pPr>
        <w:spacing w:after="0" w:line="191" w:lineRule="exact"/>
        <w:rPr>
          <w:rFonts w:ascii="Times New Roman" w:cs="Times New Roman" w:eastAsia="Times New Roman" w:hAnsi="Times New Roman"/>
          <w:sz w:val="18"/>
          <w:szCs w:val="18"/>
          <w:color w:val="auto"/>
        </w:rPr>
      </w:pPr>
    </w:p>
    <w:p>
      <w:pPr>
        <w:ind w:left="4" w:right="440" w:firstLine="987"/>
        <w:spacing w:after="0" w:line="272" w:lineRule="auto"/>
        <w:tabs>
          <w:tab w:leader="none" w:pos="125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set forth in this Agreement shall prevent the Company or the Company Board from (i) taking and disclosing to the stockholders of the Company a position contemplated by Rule 14e-2(a), Rule 14d-9 or Item 1012(a) of Regulation M-A promulgated under the Exchange Act (or any similar communication to shareholders in connection with the making or amendment of a tender offer or exchange offer); or</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required disclosure to the Company’s stockholders of factual information regarding the business, financial condition or results of operations of the Company or the fact that an Acquisition Proposal has been made (including the identity of the Person or group of Persons making such Acquisition Proposal and the material terms and conditions thereof), if, the Company Board determines in good faith, after consultation with its outside legal counsel, that the failure to disclose such information would reasonably be expected to violate its obligations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69" w:name="page70"/>
    <w:bookmarkEnd w:id="6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action taken or disclosure made that relates to an Acquisition Proposal shall be deemed to be an Adverse Recommendation Change unless the Company Board expressly reaffirms the Company Recommendation in such statement or disclosure (it being understood that a mere “stop, look and listen” letter or similar communication in compliance with Rule 14d-9(f) under the Exchange Act shall in no event, in and of itself, be deemed to be an Adverse Recommendation Change).</w:t>
      </w:r>
    </w:p>
    <w:p>
      <w:pPr>
        <w:spacing w:after="0" w:line="180" w:lineRule="exact"/>
        <w:rPr>
          <w:sz w:val="20"/>
          <w:szCs w:val="20"/>
          <w:color w:val="auto"/>
        </w:rPr>
      </w:pPr>
    </w:p>
    <w:p>
      <w:pPr>
        <w:ind w:left="1240" w:hanging="253"/>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w:t>
      </w:r>
    </w:p>
    <w:p>
      <w:pPr>
        <w:spacing w:after="0" w:line="117" w:lineRule="exact"/>
        <w:rPr>
          <w:rFonts w:ascii="Times New Roman" w:cs="Times New Roman" w:eastAsia="Times New Roman" w:hAnsi="Times New Roman"/>
          <w:sz w:val="18"/>
          <w:szCs w:val="18"/>
          <w:color w:val="auto"/>
        </w:rPr>
      </w:pPr>
    </w:p>
    <w:p>
      <w:pPr>
        <w:ind w:right="100" w:firstLine="1428"/>
        <w:spacing w:after="0" w:line="282" w:lineRule="auto"/>
        <w:tabs>
          <w:tab w:leader="none" w:pos="164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whether oral or written, any inquiry, proposal or offer from any Person or group of Persons other than Parent or one of its Subsidiaries contemplating or otherwise relating to an Acquisition Transaction.</w:t>
      </w:r>
    </w:p>
    <w:p>
      <w:pPr>
        <w:spacing w:after="0" w:line="161" w:lineRule="exact"/>
        <w:rPr>
          <w:rFonts w:ascii="Times New Roman" w:cs="Times New Roman" w:eastAsia="Times New Roman" w:hAnsi="Times New Roman"/>
          <w:sz w:val="18"/>
          <w:szCs w:val="18"/>
          <w:color w:val="auto"/>
        </w:rPr>
      </w:pPr>
    </w:p>
    <w:p>
      <w:pPr>
        <w:ind w:right="40" w:firstLine="1428"/>
        <w:spacing w:after="0" w:line="253" w:lineRule="auto"/>
        <w:tabs>
          <w:tab w:leader="none" w:pos="169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any transaction or series of related transactions (other than the Offer, the Merger, and the other transactions contemplated by this Agreement) involving: (A) a merger, amalgamation, reorganization, consolidation, share exchange, business combination, recapitalization, direct or indirect acquisition of securities, tender offer or similar transaction pursuant to which (i) a Person or group of Persons directly or indirectly acquires, or if consummated in accordance with its terms would acquire, beneficial or record ownership of securities (including options, warrants, convertible securities, rights or other instruments exercisable or convertible into voting securities) representing 20% or more of the outstanding shares of any class of voting securities of the Company or (ii) the Company issues securities representing more than 20% of the outstanding shares of any class of voting securities of the Company; (B) any direct or indirect sale, lease, license, exchange, transfer, acquisition or disposition of any assets of the Company and/or its Subsidiaries that constitute or account for (i) 20% or more of the consolidated net revenues of the Company, consolidated net income of the Company or consolidated book value of the Company or (ii) 20% or more of the fair market value of the assets of the Company and its Subsidiaries, taken as a whole; or (C) any liquidation or dissolution of the Company</w:t>
      </w:r>
    </w:p>
    <w:p>
      <w:pPr>
        <w:spacing w:after="0" w:line="194" w:lineRule="exact"/>
        <w:rPr>
          <w:rFonts w:ascii="Times New Roman" w:cs="Times New Roman" w:eastAsia="Times New Roman" w:hAnsi="Times New Roman"/>
          <w:sz w:val="18"/>
          <w:szCs w:val="18"/>
          <w:color w:val="auto"/>
        </w:rPr>
      </w:pPr>
    </w:p>
    <w:p>
      <w:pPr>
        <w:ind w:firstLine="1428"/>
        <w:spacing w:after="0" w:line="253" w:lineRule="auto"/>
        <w:tabs>
          <w:tab w:leader="none" w:pos="174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Acquisition Proposal (A) with respect to an Acquisition Transaction on terms which, if consummated, the Company Board determines in good faith, after consultation with its outside legal counsel and financial advisors, to be more favorable from a financial point of view to the holders of Shares than the Merger, the Offer and the other transactions contemplated by this Agreement, and (B) that the Company Board believes in good faith, after consultation with its outside legal counsel and financial advisors, is reasonably likely to be consummated on the terms presented to the Company Board, in each case, taking into account at the time of determination all relevant circumstances, including all financial, regulatory, legal and other aspects of such proposal, all of the terms and conditions of such proposal, the identity of the Person or group of Persons making such proposal and the anticipated timing, conditions and the ability of the Person or group of Persons making such proposal to consummate the transactions contemplated by such Acquisition Proposal (based upon, among other things, the expectation of obtaining any approvals or financing necessary to consummate such Acquisition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the definition of “Superior Proposal,” the references to “20%” in the definition of Acquisition Transaction shall be deemed to be references to “50%.”</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upon reasonable prior written notice and for reasonable business purposes related to the transactions contemplated by this Agreement, the Company shall, and shall cause its Subsidiaries and their respective Representatives to, (i) afford to Parent and its Representatives reasonable access during normal business hours, consistent with applicable Law, to the Company’s and its Subsidiaries’ Representatives, books, records, Tax Returns, material operating and financial reports, work papers, assets, executive officers, offices and other facilities, Contracts and other documents and information relating to the Company and its Subsidiaries, and instruct the Company’s and its Subsidiaries’ independent public accountants to provide reasonable access to their work papers (subject to the receipt of any required consents from such accountants and the execution of customary access letters) and such other information regarding the Company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70" w:name="page71"/>
    <w:bookmarkEnd w:id="7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its Subsidiaries, as Parent may reasonably request; and (ii) provide Parent and its Representatives with such copies of the books, records, Tax Returns, work papers, Contracts and other documents and information relating to the Company and its Subsidiaries, and with such additional financial, operating and other data and information relating to the Company and its Subsidiaries, as Parent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permitted to provide such information electronically or by other remote access where practicable. Notwithstanding the foregoing, any such investigation or consultation shall be conducted in such a manner as not to interfere unreasonably with the business or operations of the Company or any of its Subsidiaries or otherwise result in any significant interference with the prompt and timely discharge by the employees of the Company or any of its Subsidiaries of their normal duties. Neither the Company nor any of its Subsidiaries shall be required to provide access to or to disclose information where such access or disclosure would (A) breach any Contract with any third party, (B) constitute a waiver of or jeopardize the attorney-client or other privilege held by the Company or any of its Subsidiaries or (C) otherwise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clause (A), (B) and (C), the Company shall inform Parent of the general nature of the access or information being withheld and, upon Parent’s request, use commercially reasonable efforts to make appropriate substitute arrangements (including by way of example by entering into a joint defense or other similar agreement) to permit disclosure to the maximum extent permissible by applicable Law or Contract, as applicable. If Parent requests that the Company or any of its Subsidiaries produce, compile or furnish any such data or information that would not otherwise be produced or compiled by the Company or such Subsidiary, and the Company determines in good faith that it would be unreasonably burdensome to produce, compile or furnish such data or information, neither the Company nor any of its Subsidiaries shall be obligated to produce, compile or furnish such data or information unless Parent agrees to reimburse the reasonable and documented out-of-pocket costs and expenses incurred by the Company or such Subsidiary in producing, compiling and furnishing such data or information.</w:t>
      </w:r>
    </w:p>
    <w:p>
      <w:pPr>
        <w:spacing w:after="0" w:line="193" w:lineRule="exact"/>
        <w:rPr>
          <w:sz w:val="20"/>
          <w:szCs w:val="20"/>
          <w:color w:val="auto"/>
        </w:rPr>
      </w:pPr>
    </w:p>
    <w:p>
      <w:pPr>
        <w:ind w:left="4" w:firstLine="987"/>
        <w:spacing w:after="0" w:line="253" w:lineRule="auto"/>
        <w:tabs>
          <w:tab w:leader="none" w:pos="12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will hold and treat and will cause its Representatives to hold and treat in confidence all documents and information concerning the Company and its Subsidiaries furnished to Parent or Merger Sub in connection with the transactions contemplated by this Agreement in accordance with Paragraph 8 (Confidential Information) of the Indication of Interest, dated as of July 14, 2026, by and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which Confidentiality Agreement shall remain in full force and effect in accordance with its terms. The parties hereto agree that the terms of the Confidentiality Agreement are hereby incorporated by reference herein as if set forth herein in their entirety and that such provisions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as incorporated herein, shall survive until the Closing Date, or in the event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one year following the date of such termination. Except as otherwise permitted above, Parent and Merger Sub shall not, and shall cause their respective Representatives not to, contact any employee of the Company or any customer, technology or other partner, vendor or supplier of the Company in connection with the Merger or any other transactions contemplated by this Agreement without the Company’s prior written consent, and Parent and Merger Sub acknowledge and agree to that any such contact shall be arranged and supervised by Representatives of the Company (it being acknowledged and agreed that any such contacts with the foregoing parties or Persons in the ordinary course of business and unrelated to the Company or the transactions contemplated by this Agreement shall be unrestricted).</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of this Agreement, and in all cases subject to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each of the parties shall</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1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or under any applicable Law (including under any Antitrust Law), use its reasonable best efforts to consummate the transactions contemplated by this Agreement as soon as reasonably practicable, including causing the preparation and filing of all forms, registrations and notices required to be filed to consummate the Merger and the taking of such actions as are necessary to obtain any requisite consent or expiration of any applicable waiting period under the HSR Act, NSIA or any other Antitrust Law, including but not limited to complying with a Request for Additional Information and Documentary Material (a “</w:t>
      </w:r>
      <w:r>
        <w:rPr>
          <w:rFonts w:ascii="Times New Roman" w:cs="Times New Roman" w:eastAsia="Times New Roman" w:hAnsi="Times New Roman"/>
          <w:sz w:val="18"/>
          <w:szCs w:val="18"/>
          <w:u w:val="single" w:color="auto"/>
          <w:color w:val="auto"/>
        </w:rPr>
        <w:t>Second Request</w:t>
      </w:r>
      <w:r>
        <w:rPr>
          <w:rFonts w:ascii="Times New Roman" w:cs="Times New Roman" w:eastAsia="Times New Roman" w:hAnsi="Times New Roman"/>
          <w:sz w:val="18"/>
          <w:szCs w:val="18"/>
          <w:color w:val="auto"/>
        </w:rPr>
        <w:t>”); and (ii) use its reasonable best efforts to resolve any objection asserted with respect to the transactions contemplated under this Agreement under any Antitrust Law raised by any Governmental Entity.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71" w:name="page72"/>
    <w:bookmarkEnd w:id="71"/>
    <w:p>
      <w:pPr>
        <w:ind w:right="20" w:firstLine="987"/>
        <w:spacing w:after="0" w:line="261"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furtherance and not in limitation of the provisions of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each of the parties, as applicable, agrees to prepare and file as promptly as practicable, and in any event by no later than 10 Business Days from the date of this Agreement an appropriate filing of a Notification and Report Form pursuant to the HSR Act. Parent shall pay, or cause to be paid, all filing fees for any filings, notices or submissions required under the HSR Act, any other Antitrust Law or other applicable regulatory Law in connection with the transactions.</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submit a “Material Change Notification” to DDTC within five (5) days of the Closing pursuant to Section 122.4(a) of the ITAR (“</w:t>
      </w:r>
      <w:r>
        <w:rPr>
          <w:rFonts w:ascii="Times New Roman" w:cs="Times New Roman" w:eastAsia="Times New Roman" w:hAnsi="Times New Roman"/>
          <w:sz w:val="18"/>
          <w:szCs w:val="18"/>
          <w:u w:val="single" w:color="auto"/>
          <w:color w:val="auto"/>
        </w:rPr>
        <w:t>ITAR Notification</w:t>
      </w:r>
      <w:r>
        <w:rPr>
          <w:rFonts w:ascii="Times New Roman" w:cs="Times New Roman" w:eastAsia="Times New Roman" w:hAnsi="Times New Roman"/>
          <w:sz w:val="18"/>
          <w:szCs w:val="18"/>
          <w:color w:val="auto"/>
        </w:rPr>
        <w:t>”). The parties shall undertake to act promptly and cooperatively in providing all such information required for the purposes of the ITAR Notification, including timely providing to DDTC any reasonably available information DDTC may request in connection with its review of the ITAR Notification.</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Parent and Merger Sub shall, and shall cause their respective Subsidiaries to, use reasonable best efforts to obtain, as promptly as practicable, all approvals, clearances, consents, expirations or terminations of waiting periods and other authorizations required from any Governmental Entity under any Antitrust Law or other applicable regulatory Law in connection with the Offer, the Merger and the other transactions contemplated hereby. Notwithstanding the foregoing, reasonable best efforts does not include Parent and Merger Sub causing their respective Subsidiaries to, propose, negotiate, offer, commit to, agree to, accept, effect or otherwise become subject to (i) any sale, divestiture, license or other conveyance of any business, assets or operations of Parent, Merger Sub, their respective Subsidiaries or the Company, whether before, contemporaneously with or after the Effective Time; (ii) any hold-separate arrangement, behavioral remedy, firewall, conduct-of-business restriction, supply or non-discrimination obligation or similar arrangement; (iii) any requirement to obtain prior approval or other approval from a Governmental Entity or submit a notification or otherwise notify any Governmental Entity prior to consummating any future transaction; or (iv) any other condition, restriction, undertaking, commitment or requirement imposed or requested by any Governmental Entity in connection with obtaining any such approval, clearance, expiration or termination of a waiting period or consent.</w:t>
      </w:r>
    </w:p>
    <w:p>
      <w:pPr>
        <w:spacing w:after="0" w:line="191"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keep each other apprised of status with respect to the matters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work cooperatively in connection with obtaining the approvals of or clearances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from each applicable Governmental Entity, including:</w:t>
      </w:r>
    </w:p>
    <w:p>
      <w:pPr>
        <w:spacing w:after="0" w:line="53" w:lineRule="exact"/>
        <w:rPr>
          <w:rFonts w:ascii="Times New Roman" w:cs="Times New Roman" w:eastAsia="Times New Roman" w:hAnsi="Times New Roman"/>
          <w:sz w:val="18"/>
          <w:szCs w:val="18"/>
          <w:color w:val="auto"/>
        </w:rPr>
      </w:pPr>
    </w:p>
    <w:p>
      <w:pPr>
        <w:ind w:right="60" w:firstLine="1428"/>
        <w:spacing w:after="0" w:line="258" w:lineRule="auto"/>
        <w:tabs>
          <w:tab w:leader="none" w:pos="164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each other in connection with filings required to be made by any party under any Antitrust Law and informing the other party as to the contents of all communications with such Governmental Entities. In particular, to the extent permitted by Law or Governmental Entity, no party will make any substantive submission in relation to the transactions contemplated hereunder without first providing the other party with a copy of such submission in draft form and giving such other party a reasonable opportunity to discuss its content before it is filed with the relevant Governmental Entities;</w:t>
      </w:r>
    </w:p>
    <w:p>
      <w:pPr>
        <w:spacing w:after="0" w:line="183" w:lineRule="exact"/>
        <w:rPr>
          <w:rFonts w:ascii="Times New Roman" w:cs="Times New Roman" w:eastAsia="Times New Roman" w:hAnsi="Times New Roman"/>
          <w:sz w:val="18"/>
          <w:szCs w:val="18"/>
          <w:color w:val="auto"/>
        </w:rPr>
      </w:pPr>
    </w:p>
    <w:p>
      <w:pPr>
        <w:ind w:right="300" w:firstLine="1428"/>
        <w:spacing w:after="0" w:line="282" w:lineRule="auto"/>
        <w:tabs>
          <w:tab w:leader="none" w:pos="16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to the other party information that is required for any application or other regulatory filing to be made by the other party pursuant to the applicable Law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right="120" w:firstLine="1428"/>
        <w:spacing w:after="0" w:line="266" w:lineRule="auto"/>
        <w:tabs>
          <w:tab w:leader="none" w:pos="174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notifying each other of any substantive communications from or with any Governmental Entity with respect to the matters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ensuring to the extent permitted by Law or Governmental Entity that each of the parties is entitled to attend any meetings with or other appearances before any Governmental Entity with respect thereto; and</w:t>
      </w:r>
    </w:p>
    <w:p>
      <w:pPr>
        <w:spacing w:after="0" w:line="175" w:lineRule="exact"/>
        <w:rPr>
          <w:rFonts w:ascii="Times New Roman" w:cs="Times New Roman" w:eastAsia="Times New Roman" w:hAnsi="Times New Roman"/>
          <w:sz w:val="18"/>
          <w:szCs w:val="18"/>
          <w:color w:val="auto"/>
        </w:rPr>
      </w:pPr>
    </w:p>
    <w:p>
      <w:pPr>
        <w:ind w:right="300" w:firstLine="1428"/>
        <w:spacing w:after="0" w:line="266" w:lineRule="auto"/>
        <w:tabs>
          <w:tab w:leader="none" w:pos="173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cooperating with one another in connection with all analyses, appearances, presentations, memoranda, briefs, arguments, opinions and proposals made or submitted by or on behalf of any party hereto in connection with proceedings under or relating to the Antitrust 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72" w:name="page73"/>
    <w:bookmarkEnd w:id="72"/>
    <w:p>
      <w:pPr>
        <w:ind w:left="4" w:firstLine="987"/>
        <w:spacing w:after="0" w:line="256" w:lineRule="auto"/>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have primary responsibility over the strategy for obtaining any necessary approval of or responding to any request, inquiry, investigation, action or other Action by or before any Governmental Entity with respect to the Offer and the Merger. Nevertheless, Parent will consider the views of the Company in good faith, and the Company shall have the right to participate in all meetings and communications with any Governmental Entity in connection with the foregoing, including by reviewing and commenting on all material submissions and communications in advance and having its Representatives attend all such meetings and communications, in each case to the extent permitted by Law or the applicable Governmental Entity.</w:t>
      </w:r>
    </w:p>
    <w:p>
      <w:pPr>
        <w:spacing w:after="0" w:line="187" w:lineRule="exact"/>
        <w:rPr>
          <w:rFonts w:ascii="Times New Roman" w:cs="Times New Roman" w:eastAsia="Times New Roman" w:hAnsi="Times New Roman"/>
          <w:sz w:val="18"/>
          <w:szCs w:val="18"/>
          <w:color w:val="auto"/>
        </w:rPr>
      </w:pPr>
    </w:p>
    <w:p>
      <w:pPr>
        <w:ind w:left="4" w:right="180" w:firstLine="987"/>
        <w:spacing w:after="0" w:line="258" w:lineRule="auto"/>
        <w:tabs>
          <w:tab w:leader="none" w:pos="125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commercially and/or competitively sensitive information and materials of a party may be provided to the other party either (i) on an outside counsel-only basis; or (ii) on a reasonably redacted basis allowing for the redaction of legally privileged or commercially sensitive material, including (1) to remove references concerning the valuation of the Company; (2) as necessary to comply with contractual arrangements; (3) to remove references to competitively sensitive information of the business of Parent or its Affiliates unrelated to any Company Product; and (4) as necessary to preserve the attorney-client or other privileges under applicable Law.</w:t>
      </w:r>
    </w:p>
    <w:p>
      <w:pPr>
        <w:spacing w:after="0" w:line="183" w:lineRule="exact"/>
        <w:rPr>
          <w:rFonts w:ascii="Times New Roman" w:cs="Times New Roman" w:eastAsia="Times New Roman" w:hAnsi="Times New Roman"/>
          <w:sz w:val="18"/>
          <w:szCs w:val="18"/>
          <w:color w:val="auto"/>
        </w:rPr>
      </w:pPr>
    </w:p>
    <w:p>
      <w:pPr>
        <w:ind w:left="4" w:right="460" w:firstLine="987"/>
        <w:spacing w:after="0" w:line="266" w:lineRule="auto"/>
        <w:tabs>
          <w:tab w:leader="none" w:pos="125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means the Sherman Act, the Clayton Act, the HSR Act, the Federal Trade Commission Act, Foreign Antitrust Laws, NSIA and all other applicable Laws that are designed or intended to prohibit, restrict or regulate actions having the purpose or effect of monopolization or restraint of trade or lessening of competition through merger or acquisition.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8" w:lineRule="auto"/>
        <w:tabs>
          <w:tab w:leader="none" w:pos="1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obtain, as promptly as practicable following the date of this Agreement and during the Interim Period, all consents, waivers, approvals, authorizations, notices, estoppels or other confirmations required to be obtained from or delivered to any third party (other than any Governmental Entity) in connection with the consummation of the transactions contemplated by this Agreement, including under any Material Contract, lease, license or other Contract to which the Company or any of its Subsidiaries is a party (collectively, the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5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 keep Parent reasonably informed regarding the status of all material efforts to obtain any such Third-Party Consent, (ii) promptly notify Parent of any written notice or other communication received by the Company or any of its Subsidiaries relating to the need for, or the status of, any Third-Party Consent, and (iii) not agree to make any payment, concession or amendment to any Contract in connection with obtaining any Third-Party Consent without Parent’s prior written consent (such consent not to be unreasonably withheld, conditioned or delayed). Notwithstanding anything to the contrary contained in this Agreement, the parties acknowledge and agree that, assuming the accuracy of the representations and warranties of the Company set forth in </w:t>
      </w:r>
      <w:r>
        <w:rPr>
          <w:rFonts w:ascii="Times New Roman" w:cs="Times New Roman" w:eastAsia="Times New Roman" w:hAnsi="Times New Roman"/>
          <w:sz w:val="18"/>
          <w:szCs w:val="18"/>
          <w:u w:val="single" w:color="auto"/>
          <w:color w:val="auto"/>
        </w:rPr>
        <w:t>Section 4.4(a)(iii)</w:t>
      </w:r>
      <w:r>
        <w:rPr>
          <w:rFonts w:ascii="Times New Roman" w:cs="Times New Roman" w:eastAsia="Times New Roman" w:hAnsi="Times New Roman"/>
          <w:sz w:val="18"/>
          <w:szCs w:val="18"/>
          <w:color w:val="auto"/>
        </w:rPr>
        <w:t xml:space="preserve">, their respective obligations to consummate the transactions contemplated hereby are not contingent upon the receipt of any Third-Party Consent contemplated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Employment and Employee Benefits Matters; Other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6" w:lineRule="auto"/>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u w:val="single" w:color="auto"/>
          <w:color w:val="auto"/>
        </w:rPr>
        <w:t>Covered Employees</w:t>
      </w:r>
      <w:r>
        <w:rPr>
          <w:rFonts w:ascii="Times New Roman" w:cs="Times New Roman" w:eastAsia="Times New Roman" w:hAnsi="Times New Roman"/>
          <w:sz w:val="18"/>
          <w:szCs w:val="18"/>
          <w:color w:val="auto"/>
        </w:rPr>
        <w:t>” means all Company Employees who are employed by the Company or any of its Subsidiaries at the Effective Time, and (ii) the term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means the period beginning on the Closing Date and ending on the first anniversary of the Closing Date or, if earlier, an applicable Covered Employee’s termination of employment.</w:t>
      </w:r>
    </w:p>
    <w:p>
      <w:pPr>
        <w:spacing w:after="0" w:line="175" w:lineRule="exact"/>
        <w:rPr>
          <w:rFonts w:ascii="Times New Roman" w:cs="Times New Roman" w:eastAsia="Times New Roman" w:hAnsi="Times New Roman"/>
          <w:sz w:val="18"/>
          <w:szCs w:val="18"/>
          <w:color w:val="auto"/>
        </w:rPr>
      </w:pPr>
    </w:p>
    <w:p>
      <w:pPr>
        <w:jc w:val="both"/>
        <w:ind w:left="4" w:right="60" w:firstLine="987"/>
        <w:spacing w:after="0" w:line="272" w:lineRule="auto"/>
        <w:tabs>
          <w:tab w:leader="none" w:pos="125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agreed in writing between Parent and a Company Employee, during the Continuation Period, Parent shall, or shall cause one of its Affiliates (including the Surviving Corporation) to, maintain for any Covered Employee for so long as such Covered Employee remains an employee of Parent or any of its Affiliates, (i) base cash compensation (such term to include base salary or hourly wages, as applicable,)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that are in the aggregate, substantially comparable to, respectively, the base salary 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73" w:name="page74"/>
    <w:bookmarkEnd w:id="73"/>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hourly wages and employee benefits (excluding any equity or equity-based compensation, retention, change of control, transaction or similar bonuses, non-qualified deferred compensation, severance, defined benefit pension plan and retiree medical benefits) being provided to the Covered Employee immediately prior to the Effective Time. In addition, the Covered Employees shall as soon as administratively practicable be eligible to participate in Parent’s transitional benefits plan to the extent generally made available to similarly situated employees of Parent and its Affiliates in accordance with the terms and subject to the conditions of such plan (including such terms and conditions that set forth eligibility requirements or specified categories of ineligibility) and taking into account and giving full credit for their years of service with the Company immediately prior to the Effective Time. In addition, Parent shall honor and pay, in accordance with their terms, the existing change-in-control, retention and transaction bonus obligations and other transaction-related payments set forth on </w:t>
      </w:r>
      <w:r>
        <w:rPr>
          <w:rFonts w:ascii="Times New Roman" w:cs="Times New Roman" w:eastAsia="Times New Roman" w:hAnsi="Times New Roman"/>
          <w:sz w:val="17"/>
          <w:szCs w:val="17"/>
          <w:u w:val="single" w:color="auto"/>
          <w:color w:val="auto"/>
        </w:rPr>
        <w:t>Section 4.11(f)</w:t>
      </w:r>
      <w:r>
        <w:rPr>
          <w:rFonts w:ascii="Times New Roman" w:cs="Times New Roman" w:eastAsia="Times New Roman" w:hAnsi="Times New Roman"/>
          <w:sz w:val="17"/>
          <w:szCs w:val="17"/>
          <w:color w:val="auto"/>
        </w:rPr>
        <w:t xml:space="preserve"> of the Company Disclosure Letter, to the extent any such payments are triggered and become payable following the Effective Time. Parent shall, or shall cause its Affiliates to, provide to any Covered Employee whose employment is involuntarily terminated without “Cause” at the discretion of Parent during the Continuation Period severance payments and benefits on terms no less favorable than those to which such Covered Employee is entitled under the Company’s existing severance policies as in effect immediately prior to the Effective Time.</w:t>
      </w:r>
    </w:p>
    <w:p>
      <w:pPr>
        <w:spacing w:after="0" w:line="182" w:lineRule="exact"/>
        <w:rPr>
          <w:sz w:val="20"/>
          <w:szCs w:val="20"/>
          <w:color w:val="auto"/>
        </w:rPr>
      </w:pPr>
    </w:p>
    <w:p>
      <w:pPr>
        <w:ind w:firstLine="987"/>
        <w:spacing w:after="0" w:line="252"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Effective Time, Parent shall, or shall cause one of its Affiliates (including the Surviving Corporation) to, recognize all service of each Covered Employee prior to the Effective Time with the Company (or any predecessor entities of the Company or any of its Subsidiaries, to the extent such service was recognized by the Company prior to the Effective Time) for purposes of eligibility to participate in and vesting under any benefit (including vacation) plans, programs, policies and arrangements maintained for the benefit of Covered Employees as of and after the Effective Time by Parent, its Subsidiaries or the Surviving Corporation (each, a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in which the Covered Employees are eligible to participate, and for purposes of determining regular vacation time and severance eligibility and amounts, in each case to the same extent as such Covered Employee was entitled, before the Effective Time, to credit for such service under any similar Company Plan in which such Covered Employee participated immediately prior to the Effective Time. For the avoidance of doubt, service of each Covered Employee prior to the Effective Time shall not be recognized for purposes of determining benefit accruals under any Parent defined benefit pension plan, eligibility for benefits under any Parent retiree medical program or eligibility for any Parent sabbatical program. With respect to each Parent Plan that is a “welfare benefit plan” (as defined in Section 3(1) of ERISA), Parent and its Affiliates shall use reasonable best efforts to waive any pre-existing condition exclusions, and shall use commercially reasonable efforts to (i) waive any waiting periods with respect to eligibility and coverage requirements to the same extent such limitations would have been waived or satisfied under the Company Plan in which the Covered Employee participated immediately prior to coverage under the applicable Parent Plan and (ii) give effect, in determining credit for any deductible and maximum out-of-pocket limitations, to claims incurred and amounts paid by, and amounts reimbursed to, Covered Employees prior to the Covered Employee’s coverage under any applicable Parent Plan during the year in which the Effective Time occurs, to the same extent such credit was given under the Company Plan in which such Covered Employee participated immediately prior to the Effective Time and to the extent reported to Parent by the Company. In no event shall anything contained in this Section 6.8(c) result in any duplication of benefits for the same period of service.</w:t>
      </w:r>
    </w:p>
    <w:p>
      <w:pPr>
        <w:spacing w:after="0" w:line="191" w:lineRule="exact"/>
        <w:rPr>
          <w:rFonts w:ascii="Times New Roman" w:cs="Times New Roman" w:eastAsia="Times New Roman" w:hAnsi="Times New Roman"/>
          <w:sz w:val="18"/>
          <w:szCs w:val="18"/>
          <w:color w:val="auto"/>
        </w:rPr>
      </w:pPr>
    </w:p>
    <w:p>
      <w:pPr>
        <w:ind w:right="140" w:firstLine="987"/>
        <w:spacing w:after="0" w:line="255"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nothing contained in this Agreement shall (i) be treated as an amendment to any Company Plan, (ii) obligate Parent, the Company (including, following the Effective Time, the Surviving Corporation) to maintain any particular benefit plan or arrangement or retain the employment of any particular Person for any fixed period of time following the Effective Time or (iii) prevent Parent, the Company (including, following the Effective Time, the Surviving Corporation) from amending or terminating any Company Plan or other employee benefit plan or arrangement, to the extent such amendment or termination is permitted by the terms of the applicable plan or arrangement. Nothing herein is intended to provide any individual (including employees, retirees or dependents or beneficiaries of employees or retirees) or entity any third-party beneficiary rights under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4" w:name="page75"/>
    <w:bookmarkEnd w:id="74"/>
    <w:p>
      <w:pPr>
        <w:ind w:left="4" w:right="20" w:firstLine="987"/>
        <w:spacing w:after="0" w:line="255" w:lineRule="auto"/>
        <w:tabs>
          <w:tab w:leader="none" w:pos="12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280G Approval</w:t>
      </w:r>
      <w:r>
        <w:rPr>
          <w:rFonts w:ascii="Times New Roman" w:cs="Times New Roman" w:eastAsia="Times New Roman" w:hAnsi="Times New Roman"/>
          <w:sz w:val="18"/>
          <w:szCs w:val="18"/>
          <w:color w:val="auto"/>
        </w:rPr>
        <w:t>. If the consummation of the transactions contemplated in this Agreement could reasonably be expected to constitute a “change in ownership or control” (within the meaning of Treas. Reg. Section 1.280G-1, Q/A-2(b)) of the Company and any “disqualified individual” (within the meaning of Section 280G(c) of the Code) with respect to the Company has the right to receive or retain any payments or benefits that could constitute “parachute payments” (within the meaning of Section 280G(b)(2)(A) of the Code), then the Company shall, at least fifteen</w:t>
      </w:r>
    </w:p>
    <w:p>
      <w:pPr>
        <w:spacing w:after="0" w:line="2" w:lineRule="exact"/>
        <w:rPr>
          <w:rFonts w:ascii="Times New Roman" w:cs="Times New Roman" w:eastAsia="Times New Roman" w:hAnsi="Times New Roman"/>
          <w:sz w:val="18"/>
          <w:szCs w:val="18"/>
          <w:color w:val="auto"/>
        </w:rPr>
      </w:pPr>
    </w:p>
    <w:p>
      <w:pPr>
        <w:ind w:left="4" w:right="40" w:hanging="4"/>
        <w:spacing w:after="0" w:line="252" w:lineRule="auto"/>
        <w:tabs>
          <w:tab w:leader="none" w:pos="3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anticipated Closing Date, deliver to Parent computations of the potential parachute payments, including identification of the “disqualified individuals” who are potential recipients of parachute payments (the “</w:t>
      </w:r>
      <w:r>
        <w:rPr>
          <w:rFonts w:ascii="Times New Roman" w:cs="Times New Roman" w:eastAsia="Times New Roman" w:hAnsi="Times New Roman"/>
          <w:sz w:val="18"/>
          <w:szCs w:val="18"/>
          <w:u w:val="single" w:color="auto"/>
          <w:color w:val="auto"/>
        </w:rPr>
        <w:t>280G Analysis</w:t>
      </w:r>
      <w:r>
        <w:rPr>
          <w:rFonts w:ascii="Times New Roman" w:cs="Times New Roman" w:eastAsia="Times New Roman" w:hAnsi="Times New Roman"/>
          <w:sz w:val="18"/>
          <w:szCs w:val="18"/>
          <w:color w:val="auto"/>
        </w:rPr>
        <w:t>”). Upon Parent’s receipt of the 280G Analysis, the parties shall determine, in good faith, whether the Company shall, subject to the consent of any affected disqualified individual, amend, reduce or restructure any agreement, plan or other arrangement, or seek or obtain any waiver, modification or stockholder approval, with respect to any such payments or benefits, to the extent necessary to eliminate any “excess parachute payments” (within the meaning of Section 280G(b)(1) of the Code). Any decision to take any such action shall be made in the discretion of the Company Board, subject to the approval of Parent, and no such action or approval shall be a condition to the Closing.</w:t>
      </w:r>
    </w:p>
    <w:p>
      <w:pPr>
        <w:spacing w:after="0" w:line="18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If any Takeover Law is or becomes applicable to this Agreement, the Offer, the Merger or any of the other transactions contemplated hereby, each of the Company and Parent and their respective Boards of Directors shall take all action necessary to ensure that the Offer, the Merger and the other transactions contemplated hereby may be consummated as promptly as practicable on the terms contemplated by this Agreement and otherwise to eliminate or minimize the effect of such Takeover Law on this Agreement, the Offer, the Merger and the other transactions contemplated hereby, and use their respective reasonable best efforts to assist in any challenge by Parent or Merger Sub to the validity or applicability to the transactions contemplated hereby of any such Takeover Law. During the Interim Period, without the prior written consent of the Company, except as expressly contemplated by this Agreement (including the Offer), Parent shall not, and shall cause its Affiliates not to, acquire, offer to acquire, agree to acquire, by purchase or otherwise, or provide financing for the acquisition of, any Shares (including any rights, options or other derivative securities or contracts or instruments that derives its value from (in whole or in part, or by reference to) such securities (whether currently, upon lapse of time, following the satisfaction of any conditions, upon the occurrence of any event or any combinations of the foregoing)).</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The Company and Parent shall promptly notify each other of:</w:t>
      </w:r>
    </w:p>
    <w:p>
      <w:pPr>
        <w:spacing w:after="0" w:line="117" w:lineRule="exact"/>
        <w:rPr>
          <w:sz w:val="20"/>
          <w:szCs w:val="20"/>
          <w:color w:val="auto"/>
        </w:rPr>
      </w:pPr>
    </w:p>
    <w:p>
      <w:pPr>
        <w:ind w:left="4" w:right="380" w:firstLine="987"/>
        <w:spacing w:after="0" w:line="282" w:lineRule="auto"/>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notice or other material communication received by such party from any Governmental Entity in connection with the Offer or the Merger or the other transactions contemplated hereby;</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party is aware of such communication, any written communication from any Person alleging that the consent of such Person is or may be required in connection with the Offer or the Merger or the other transactions contemplated hereby, if the subject matter of such communication could be material to the Company, the Surviving Corporation or Parent or the transactions contemplated hereby;</w:t>
      </w:r>
    </w:p>
    <w:p>
      <w:pPr>
        <w:spacing w:after="0" w:line="175"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commenced or, to such party’s knowledge, threatened against, relating to or involving or otherwise affecting such party or any of its Subsidiaries which relate to the Offer or the Merger or the other transactions contemplated hereby, or that, if pending on the date of this Agreement, would have been required to have been disclosed pursuant to any Section of this Agreement;</w:t>
      </w:r>
    </w:p>
    <w:p>
      <w:pPr>
        <w:spacing w:after="0" w:line="175"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discovery of any fact or circumstance that, or the occurrence or non-occurrence of any event the occurrence or non-occurrence of which, would, individually or in the aggregate, cause or result in (or would reasonably be expected to cause or result in) any of the conditions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any of the Offer Conditions not being satisfied or satisfaction of those conditions being materially delayed or materially impaired in violation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not (i) cure any breach of, or non-compliance with, any other provision of this Agreement or (ii) limit the remedies available under this Agreement to the party receiving such notice; or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4"/>
          </w:cols>
          <w:pgMar w:left="436" w:top="270" w:right="479" w:bottom="1440" w:gutter="0" w:footer="0" w:header="0"/>
        </w:sectPr>
      </w:pPr>
    </w:p>
    <w:bookmarkStart w:id="75" w:name="page76"/>
    <w:bookmarkEnd w:id="75"/>
    <w:p>
      <w:pPr>
        <w:ind w:right="80" w:firstLine="987"/>
        <w:spacing w:after="0" w:line="282"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 refusal, suspension, revocation or lapse of any Company Product Permit, and any notice, communication or inquiry received from any distributors or suppliers relating to any Company Product, any Company Product Permit or any Material Contract.</w:t>
      </w:r>
    </w:p>
    <w:p>
      <w:pPr>
        <w:spacing w:after="0" w:line="162"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failure to give prompt notice pursuant to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shall not constitute a failure of a condition to the Merger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any of the Offer Conditions, or give rise to a right to terminate this Agreement pursuant to </w:t>
      </w:r>
      <w:r>
        <w:rPr>
          <w:rFonts w:ascii="Times New Roman" w:cs="Times New Roman" w:eastAsia="Times New Roman" w:hAnsi="Times New Roman"/>
          <w:sz w:val="17"/>
          <w:szCs w:val="17"/>
          <w:u w:val="single" w:color="auto"/>
          <w:color w:val="auto"/>
        </w:rPr>
        <w:t>Section 8.1(c)(i)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8.1(d)(i)</w:t>
      </w:r>
      <w:r>
        <w:rPr>
          <w:rFonts w:ascii="Times New Roman" w:cs="Times New Roman" w:eastAsia="Times New Roman" w:hAnsi="Times New Roman"/>
          <w:sz w:val="17"/>
          <w:szCs w:val="17"/>
          <w:color w:val="auto"/>
        </w:rPr>
        <w:t>, as applicable, except to the extent that the underlying fact or circumstance not so notified would standing alone constitute such a failure or give rise to such termination right.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Directors’ and Officers’ Indemnification, Exculpation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9" w:lineRule="auto"/>
        <w:tabs>
          <w:tab w:leader="none" w:pos="123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any additional rights that any employee may have under any agreement or Company Plan, from the Effective Time through the sixth anniversary of the date on which the Effective Time occurs, to the extent permitted by applicable Law, Parent shall, or shall cause the Surviving Corporation to, indemnify and hold harmless, and provide advancement of expenses to, each present and former (in each case, as of the Effective Time) officer or director of the Company or any of its Subsidiaries (the “</w:t>
      </w:r>
      <w:r>
        <w:rPr>
          <w:rFonts w:ascii="Times New Roman" w:cs="Times New Roman" w:eastAsia="Times New Roman" w:hAnsi="Times New Roman"/>
          <w:sz w:val="17"/>
          <w:szCs w:val="17"/>
          <w:u w:val="single" w:color="auto"/>
          <w:color w:val="auto"/>
        </w:rPr>
        <w:t>Indemnified Parties</w:t>
      </w:r>
      <w:r>
        <w:rPr>
          <w:rFonts w:ascii="Times New Roman" w:cs="Times New Roman" w:eastAsia="Times New Roman" w:hAnsi="Times New Roman"/>
          <w:sz w:val="17"/>
          <w:szCs w:val="17"/>
          <w:color w:val="auto"/>
        </w:rPr>
        <w:t>”), against all claims, losses, liabilities, damages, judgments, inquiries, fines and reasonable fees, costs and expenses, including attorneys’ fees and disbursements incurred in connection with any Action, whether civil, criminal, administrative or investigative, arising out of or pertaining to (i) the fact that the Indemnified Party is or was an officer or director of the Company or any of its Subsidiaries at or prior to the Effective Time and (ii) matters existing or occurring at or prior to the Effective Time (including this Agreement and the transactions and actions contemplated hereby), whether asserted or claimed prior to, at or after the Effective Time, to the fullest extent permitted under applicable Law and the Company’s Organizational Documents, and in each case to the same extent such Indemnified Parties are indemnified or have the right to advancement of expenses as of the date of this Agreement by the Company or any of its Subsidiaries pursuant to the Organizational Documents of the Company or such Subsidiary, as applicable, and the indemnification agreements in existence and effect on the date of this Agreement with any directors and officers of the Company or any of its Subsidiaries that have been made available to Parent.</w:t>
      </w:r>
    </w:p>
    <w:p>
      <w:pPr>
        <w:spacing w:after="0" w:line="178" w:lineRule="exact"/>
        <w:rPr>
          <w:rFonts w:ascii="Times New Roman" w:cs="Times New Roman" w:eastAsia="Times New Roman" w:hAnsi="Times New Roman"/>
          <w:sz w:val="17"/>
          <w:szCs w:val="17"/>
          <w:color w:val="auto"/>
        </w:rPr>
      </w:pPr>
    </w:p>
    <w:p>
      <w:pPr>
        <w:ind w:right="20" w:firstLine="987"/>
        <w:spacing w:after="0" w:line="258"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and bylaws of the Surviving Corporation and each Subsidiary of the Company shall contain provisions no less favorable with respect to indemnification, advancement of expenses and exculpation of former or present directors and officers than as set forth in the Organizational Documents of the Company or such Subsidiary, as applicable, as of the date of this Agreement, which provisions shall not be amended, repealed or otherwise modified for a period of six years from the Closing Date in any manner that would adversely affect the rights thereunder of any such Indemnified Party.</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or, if the Company is unable to, Parent shall cause the Surviving Corporation as of the Effective Time to, purchase a six year “tail” prepaid policy on terms and conditions no less advantageous to the Indemnified Parties than the existing directors’ and officers’ liability (and fiduciary) insurance maintained by the Company and its Subsidiaries, covering, without limitation, the Offer and the Merger and Merger Sub and Parent shall cause the Surviving Corporation to maintain such “tail” prepaid policy in full force and effect for six years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paid for such policy shall not exceed 300% of the amount per annum the Company and its Subsidiaries paid in their last full fiscal year prior to the date hereof for existing directors’ and officers’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spacing w:after="0" w:line="189" w:lineRule="exact"/>
        <w:rPr>
          <w:rFonts w:ascii="Times New Roman" w:cs="Times New Roman" w:eastAsia="Times New Roman" w:hAnsi="Times New Roman"/>
          <w:sz w:val="18"/>
          <w:szCs w:val="18"/>
          <w:color w:val="auto"/>
        </w:rPr>
      </w:pPr>
    </w:p>
    <w:p>
      <w:pPr>
        <w:ind w:right="320" w:firstLine="987"/>
        <w:spacing w:after="0" w:line="315" w:lineRule="auto"/>
        <w:tabs>
          <w:tab w:leader="none" w:pos="124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any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claim made by an Indemnified Party pursuant to the rights provided under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within such six-year period shall continue to be subject to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until the final disposition of such claim.</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6" w:name="page77"/>
    <w:bookmarkEnd w:id="76"/>
    <w:p>
      <w:pPr>
        <w:ind w:right="20" w:firstLine="987"/>
        <w:spacing w:after="0" w:line="261"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indemnification provided for herein shall not be deemed exclusive of any other rights to which an Indemnified Party is entitled, whether pursuant to Law, Contract or otherwise. The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survive the consummation of the Merger and, notwithstanding any other provision of this Agreement that may be to the contrary, expressly are intended to benefit, and shall be enforceable by, each of the Indemnified Parties and their respective heirs and legal representatives.</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Surviving Corporation or any of its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made so that the successors and assigns of the Surviving Corporation, or at Parent’s option, Parent, as the case may be, shall succeed to the obligations set forth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Rule 16b-3; Rule 14d-10</w:t>
      </w:r>
      <w:r>
        <w:rPr>
          <w:rFonts w:ascii="Times New Roman" w:cs="Times New Roman" w:eastAsia="Times New Roman" w:hAnsi="Times New Roman"/>
          <w:sz w:val="18"/>
          <w:szCs w:val="18"/>
          <w:color w:val="auto"/>
        </w:rPr>
        <w:t>. Prior to the Effective Time, and in any event not later than two Business Days prior to the Closing Date, the Company shall take all actions as may be reasonably necessary or advisable (including the adoption of resolutions by the Company Board or the compensation committee thereof) to approve, for purposes of Section 16(b) of the Exchange Act, the disposition and cancellation or deemed disposition and cancellation of Shares, Company Equity Awards and any other equity securities of the Company in the transactions contemplated by this Agreement (including derivative securities) by each individual who is or becomes, at or prior to the Effective Time, subject to the reporting requirements of Section 16(a) of the Exchange Act with respect to the Company, and to cause such dispositions or cancellations to be exempt under Rule 16b-3 promulgated under the Exchange Act. In addition, prior to the Acceptance Time, the Company shall take all actions reasonably necessary to cause each employment compensation, severance, retention, change in control, termination, transaction bonus or other employee benefit arrangement, and each amendment to or acceleration, vesting, settlement or payment under any such arrangement, in each case that is entered into, adopted, approved, amended or modified by the Company at any time from the date of this Agreement through the Acceptance Time with or for the benefit of any holder of Shares or Company Equity Awards who is or may be a security holder of the Company for purposes of Rule 14d-10 under the Exchange Act, to be approved as an employment compensation, severance or other employee benefit arrangement in accordance with the requirements of Rule 14d-10(d)(2) under the Exchange Act and the instructions thereto, including by the Compensation Committee of the Company Board (or, if no such committee exists, by a committee of the Company Board) constituted solely of “independent directors” within the meaning of Rule 14d-10(d)(2), and shall take all actions reasonably necessary to satisfy the requirements of the non-exclusive safe harbor set forth in Rule 14d-10(d)(2). Promptly following the adoption of any such resolutions, the Company shall deliver to Parent evidence thereof reasonably satisfactory to Parent, and Parent shall be given a reasonable opportunity to review and comment on the form of such resolutions prior to their adoption.</w:t>
      </w:r>
    </w:p>
    <w:p>
      <w:pPr>
        <w:spacing w:after="0" w:line="19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Except in the case of any portion of any announcement to the extent relating to any Adverse Recommendation Change, Acquisition Proposal or Superior Proposal in accordance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which shall not be subject to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each, of Parent and Merger Sub, on the one hand, and the Company, on the other hand, shall consult with each other before issuing, and give each other a reasonable opportunity to review and comment upon, any press release or other public statements with respect to this Agreement, the Offer, the Merger and the other transactions contemplated hereby, and shall not issue any such press release or make any public announcement without the prior consent of the other party (which consent shall not be unreasonably withheld, conditioned or delayed), except as (a) may be required by applicable Law, court process or by obligations pursuant to any listing agreement with any national securities exchange or national securities quotation system on which securities of Parent or the Company are listed, in which case the party required to make the release or announcement shall use commercially reasonable efforts to allow the other party reasonable time to comment on such release or announcement in advance of such issuance (it being understood that the final form and content of any such release or announcement, as well as the timing of any such release or announcement, shall be at the final discretion of the disclosing party) or (b) for any public statement in response to questions from the press, analysts, investors or those attending industry conferences, internal announcements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7" w:name="page78"/>
    <w:bookmarkEnd w:id="7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employees, so long as such statements are consistent with previous press releases, public disclosures or public statements approved by the other party. Parent and the Company agree that the press release announcing the execution and delivery of this Agreement shall be a joint release of Parent (or an Affiliate of Parent) and the Company and the parties shall consult with and provide each other a reasonable opportunity to review and comment upon such initial press release prior to the issuance thereof.</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Obligations of Merger Sub and Surviving Corporation</w:t>
      </w:r>
      <w:r>
        <w:rPr>
          <w:rFonts w:ascii="Times New Roman" w:cs="Times New Roman" w:eastAsia="Times New Roman" w:hAnsi="Times New Roman"/>
          <w:sz w:val="18"/>
          <w:szCs w:val="18"/>
          <w:color w:val="auto"/>
        </w:rPr>
        <w:t>. Parent shall take all action necessary to cause Merger Sub, prior to the Effective Time, and the Surviving Corporation, at or following the Effective Time, to perform their respective obligations under this Agreement, on the terms and subject to the conditions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At the Closing, but contingent upon the occurrence of the Closing, Parent shall pay, or cause to be paid,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all amounts necessary to pay and fully discharge the then-outstanding obligations of the Company under the Company’s existing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as of October 31, 2024 (as amended, restated, supplemented or otherwise modified from time to time, together with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entered into in connection therewith,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No less than five Business Days prior to the Closing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obtain a customary payoff letter (or letters) from the applicable agent and/or lenders under the Existing Credit Agreement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which shall provide, without limitation: (a) the amount of the then-outstanding obligations of the Company under the Existing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including unpaid principal, all accrued but unpaid interest, any prepayment fees and penalties and all other fees, expenses and other amounts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paid under the Existing Credit Agreement in order to repay all amounts due and owing thereunder as of the Closing, (b)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thereunder will terminate upon such payoff, and (c) for the release of all Liens in connection therewith on the Closing Date,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authorized UCC-3 termination statements, applicable Personal Property Registry financing change statements and any other releases or notices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reasonably necessary to evidence such release.</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Prior to the Effective Time, the Company shall deliver to Parent (i) a certification from the Company pursuant to Treasury Regulations Section 1.1445-2(c)(3), and (ii) a notice of such certification to the IRS pursuant to Treasury Regulations Section 1.897-2(h)(2), in each case, in form and substance reasonably satisfactory to Parent and duly signed by a responsible corporate officer of the Company.</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During the Interim Period: (a) the Company shall promptly (and in any event within 48 hours) advise Parent in writing of any stockholder litigation against the Company or any of its directors or officers (in their capacities as such) relating to this Agreement or the transactions contemplated by this Agreement, including the Offer and the Merger, and shall keep Parent reasonably informed regarding any such stockholder litigation; and (b) the Company shall give Parent the right to review and comment on all material filings or responses to be made in connection with any such stockholder litigation, and the Company shall in good faith take such comments into consideration, and Parent shall have the right to participate (at Parent’s expense) in connection with any such stockholder litigation. No settlement of any such stockholder litigation shall be proposed or agreed to by the Company or its Representatives without Parent’s prior written consent, such consent not to be unreasonably withheld, conditioned or delayed. The parties agree and acknowledge that the Company’s compliance or failure of compliance with the foregoing clause (a) of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not constitute a failure of a condition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any of the Offer Conditions, or give rise to a right to terminate this Agreement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except to the extent that the underlying fact or circumstance not so notified would standing alone constitute such a failure or give rise to such termination right.</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Stock Exchange Delisting; Deregistration</w:t>
      </w:r>
      <w:r>
        <w:rPr>
          <w:rFonts w:ascii="Times New Roman" w:cs="Times New Roman" w:eastAsia="Times New Roman" w:hAnsi="Times New Roman"/>
          <w:sz w:val="18"/>
          <w:szCs w:val="18"/>
          <w:color w:val="auto"/>
        </w:rPr>
        <w:t>. During the Interim Period, each of Parent and the Company shall cooperate with one another and use its reasonable best efforts to take, or cause to be taken, all actions, and do or cause to be done all things, reasonably necessary, proper or advisable on its part under applicable Law and rules and policies of NASDAQ to enable the delisting by the Surviving Corporation of the Shares from NASDAQ and the deregistration of the Shares under the Exchange Act as promptly as practicable after the Effective Time, and in any event no more than 10 days after the Closing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8" w:name="page79"/>
    <w:bookmarkEnd w:id="78"/>
    <w:p>
      <w:pPr>
        <w:ind w:left="4" w:right="20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6.19 </w:t>
      </w:r>
      <w:r>
        <w:rPr>
          <w:rFonts w:ascii="Times New Roman" w:cs="Times New Roman" w:eastAsia="Times New Roman" w:hAnsi="Times New Roman"/>
          <w:sz w:val="17"/>
          <w:szCs w:val="17"/>
          <w:u w:val="single" w:color="auto"/>
          <w:color w:val="auto"/>
        </w:rPr>
        <w:t>Intellectual Property Matters</w:t>
      </w:r>
      <w:r>
        <w:rPr>
          <w:rFonts w:ascii="Times New Roman" w:cs="Times New Roman" w:eastAsia="Times New Roman" w:hAnsi="Times New Roman"/>
          <w:sz w:val="17"/>
          <w:szCs w:val="17"/>
          <w:color w:val="auto"/>
        </w:rPr>
        <w:t xml:space="preserve">. Prior to the Effective Time, the Company shall (a) provide to Parent evidence, in form and substance reasonably acceptable to Parent, of the recordation of assignment of the patents set forth on </w:t>
      </w:r>
      <w:r>
        <w:rPr>
          <w:rFonts w:ascii="Times New Roman" w:cs="Times New Roman" w:eastAsia="Times New Roman" w:hAnsi="Times New Roman"/>
          <w:sz w:val="17"/>
          <w:szCs w:val="17"/>
          <w:u w:val="single" w:color="auto"/>
          <w:color w:val="auto"/>
        </w:rPr>
        <w:t>Section 6.19(a)</w:t>
      </w:r>
      <w:r>
        <w:rPr>
          <w:rFonts w:ascii="Times New Roman" w:cs="Times New Roman" w:eastAsia="Times New Roman" w:hAnsi="Times New Roman"/>
          <w:sz w:val="17"/>
          <w:szCs w:val="17"/>
          <w:color w:val="auto"/>
        </w:rPr>
        <w:t xml:space="preserve"> of the Company Disclosure Letter, and</w:t>
      </w:r>
    </w:p>
    <w:p>
      <w:pPr>
        <w:spacing w:after="0" w:line="1" w:lineRule="exact"/>
        <w:rPr>
          <w:sz w:val="20"/>
          <w:szCs w:val="20"/>
          <w:color w:val="auto"/>
        </w:rPr>
      </w:pPr>
    </w:p>
    <w:p>
      <w:pPr>
        <w:ind w:left="4" w:right="60" w:hanging="4"/>
        <w:spacing w:after="0" w:line="255"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confirmatory assignment agreements, in form and substance reasonably acceptable to Parent, assigning to the Company all Intellectual Property and Intellectual Property Rights, including data, materials and proprietary information, created under the Contracts set forth on </w:t>
      </w:r>
      <w:r>
        <w:rPr>
          <w:rFonts w:ascii="Times New Roman" w:cs="Times New Roman" w:eastAsia="Times New Roman" w:hAnsi="Times New Roman"/>
          <w:sz w:val="18"/>
          <w:szCs w:val="18"/>
          <w:u w:val="single" w:color="auto"/>
          <w:color w:val="auto"/>
        </w:rPr>
        <w:t>Section 6.19(b)</w:t>
      </w:r>
      <w:r>
        <w:rPr>
          <w:rFonts w:ascii="Times New Roman" w:cs="Times New Roman" w:eastAsia="Times New Roman" w:hAnsi="Times New Roman"/>
          <w:sz w:val="18"/>
          <w:szCs w:val="18"/>
          <w:color w:val="auto"/>
        </w:rPr>
        <w:t xml:space="preserve"> of the Company Disclosure Letter.</w:t>
      </w:r>
    </w:p>
    <w:p>
      <w:pPr>
        <w:spacing w:after="0" w:line="186"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Real Property Matters</w:t>
      </w:r>
      <w:r>
        <w:rPr>
          <w:rFonts w:ascii="Times New Roman" w:cs="Times New Roman" w:eastAsia="Times New Roman" w:hAnsi="Times New Roman"/>
          <w:sz w:val="18"/>
          <w:szCs w:val="18"/>
          <w:color w:val="auto"/>
        </w:rPr>
        <w:t>. Prior to the Effective Time, the Company shall deliver any state and local forms required for the change in ownership of the Company or Subsidiary owning the Owned Real Property, if applicable.</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Indian Subsidiary Matters</w:t>
      </w:r>
      <w:r>
        <w:rPr>
          <w:rFonts w:ascii="Times New Roman" w:cs="Times New Roman" w:eastAsia="Times New Roman" w:hAnsi="Times New Roman"/>
          <w:sz w:val="18"/>
          <w:szCs w:val="18"/>
          <w:color w:val="auto"/>
        </w:rPr>
        <w:t>. Notwithstanding anything to the contrary in Section 6.1, during the Interim Period (and, in the case of any action expressed to be taken prior to a specified time, prior to such time):</w:t>
      </w:r>
    </w:p>
    <w:p>
      <w:pPr>
        <w:spacing w:after="0" w:line="54" w:lineRule="exact"/>
        <w:rPr>
          <w:sz w:val="20"/>
          <w:szCs w:val="20"/>
          <w:color w:val="auto"/>
        </w:rPr>
      </w:pPr>
    </w:p>
    <w:p>
      <w:pPr>
        <w:ind w:left="4" w:right="100" w:firstLine="987"/>
        <w:spacing w:after="0" w:line="270" w:lineRule="auto"/>
        <w:tabs>
          <w:tab w:leader="none" w:pos="124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JV Agreement</w:t>
      </w:r>
      <w:r>
        <w:rPr>
          <w:rFonts w:ascii="Times New Roman" w:cs="Times New Roman" w:eastAsia="Times New Roman" w:hAnsi="Times New Roman"/>
          <w:sz w:val="17"/>
          <w:szCs w:val="17"/>
          <w:color w:val="auto"/>
        </w:rPr>
        <w:t>. The Company shall, as promptly as practicable after the date of this Agreement, engage with the Indian Promoters and use its reasonable best efforts to obtain or effect, as Parent may elect by written notice to the Company within five Business Days after the date of this Agreement (which election Parent may change by written notice at any time prior to the Expiration Date), either: (i) a written waiver and consent, in form and substance reasonably satisfactory to Parent, executed by each of the Indian Promoters and the Indian JV, under which the Indian Promoters</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consent to the Offer, the Merger and the resulting indirect change in the ownership of the Company Indian JV Shares, and waive the application of Clauses 9.2 and 9.5 of the JV Agreement (and any other provision of the JV Agreement or the Organizational Documents of the Indian JV) solely in respect thereof, (B) confirm that no event of default has occurred under the JV Agreement and that they have no claim against the Company, the Indian JV or any of their Affiliates under the JV Agreement or the Share Purchase Agreement, and (C) acknowledge that such waiver is without prejudice to, and does not limit or waive, any right of the Company under the JV Agreement (including under Clause 9.5) following the Effective Time (the “</w:t>
      </w:r>
      <w:r>
        <w:rPr>
          <w:rFonts w:ascii="Times New Roman" w:cs="Times New Roman" w:eastAsia="Times New Roman" w:hAnsi="Times New Roman"/>
          <w:sz w:val="18"/>
          <w:szCs w:val="18"/>
          <w:u w:val="single" w:color="auto"/>
          <w:color w:val="auto"/>
        </w:rPr>
        <w:t>JV Waiver</w:t>
      </w:r>
      <w:r>
        <w:rPr>
          <w:rFonts w:ascii="Times New Roman" w:cs="Times New Roman" w:eastAsia="Times New Roman" w:hAnsi="Times New Roman"/>
          <w:sz w:val="18"/>
          <w:szCs w:val="18"/>
          <w:color w:val="auto"/>
        </w:rPr>
        <w:t>”); or (ii) the sale of all of the Company Indian JV Shares to the Indian Promoters (or their nominees resident in India) for cash, on terms reasonably satisfactory to Parent, which shall include (A) a price complying with the pricing guidelines under FEMA and supported by a valuation certificate from a chartered accountant, SEBI-registered merchant banker or practicing cost accountant, (B) deduction and deposit by the purchasers of any Taxes required to be withheld under Indian Law, (C) the filing of Form FC-TRS through the AD Bank, (D) the transfer being effected in dematerialized form, (E) the Indian JV ceasing to use the “Ultralife” name and marks (including by changing its corporate name) within 365 days after completion, and (F) a release by the Indian Promoters and the Indian JV of all claims against the Company and its Affiliates (the “</w:t>
      </w:r>
      <w:r>
        <w:rPr>
          <w:rFonts w:ascii="Times New Roman" w:cs="Times New Roman" w:eastAsia="Times New Roman" w:hAnsi="Times New Roman"/>
          <w:sz w:val="18"/>
          <w:szCs w:val="18"/>
          <w:u w:val="single" w:color="auto"/>
          <w:color w:val="auto"/>
        </w:rPr>
        <w:t>Indian JV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xml:space="preserve">”). The Indian JV Divestiture, if elected by Parent, shall be deemed permitted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Neither the Company nor the Indian JV shall issue any put notice under Clause 9.5 of the JV Agreement, or agree to make any payment or concession or any amendment to the JV Agreement in connection with the JV Waiver or the Indian JV Divestiture, without the prior written consent of Parent.</w:t>
      </w:r>
    </w:p>
    <w:p>
      <w:pPr>
        <w:spacing w:after="0" w:line="191"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 Duty and Dematerialization</w:t>
      </w:r>
      <w:r>
        <w:rPr>
          <w:rFonts w:ascii="Times New Roman" w:cs="Times New Roman" w:eastAsia="Times New Roman" w:hAnsi="Times New Roman"/>
          <w:sz w:val="18"/>
          <w:szCs w:val="18"/>
          <w:color w:val="auto"/>
        </w:rPr>
        <w:t>. The Company shall use reasonable best efforts to cause the Indian JV, prior to the Expiration Date (or, if Parent elects the Indian JV Divestiture, prior to its completion), to (i) have the share certificates in respect of the Company Indian JV Shares adjudicated by the competent authority under the Karnataka Stamp Act, 1957 and pay any deficient stamp duty and penalty determined to be payable, and (ii) obtain an ISIN for the Indian JV Shares and take all steps necessary to dematerialize the Company Indian JV Shares in compliance with Rule 9B of the Companies (Prospectus and Allotment of Securities) Rules, 2014.</w:t>
      </w:r>
    </w:p>
    <w:p>
      <w:pPr>
        <w:spacing w:after="0" w:line="183"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Indian JV Interim Restrictions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Company shall not, and shall exercise all of its rights as a shareholder of the Indian JV (including through its nominees on the board of directors of the Indian JV) to cause the Indian JV not to, without the prior written consent of Parent: (i) issue, allot, transfer or agree to issue any Indian JV Shares or other securities, or alter its share capital; (ii) amend its memorandum or articles of association, or amend, waive any right under or terminate the JV Agreement (other than pursuant to the JV Waiver); (iii) change its registered office; (iv) enter into, amend or make any payment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79" w:name="page80"/>
    <w:bookmarkEnd w:id="79"/>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any Indian Related Party Transaction; (v) declare or pay any dividend or buy back any securities; (vi) incur any indebtedness or create any Lien over any of its assets; or (vii) commence, settle or compromise any Action.</w:t>
      </w:r>
    </w:p>
    <w:p>
      <w:pPr>
        <w:spacing w:after="0" w:line="162" w:lineRule="exact"/>
        <w:rPr>
          <w:sz w:val="20"/>
          <w:szCs w:val="20"/>
          <w:color w:val="auto"/>
        </w:rPr>
      </w:pPr>
    </w:p>
    <w:p>
      <w:pPr>
        <w:ind w:firstLine="987"/>
        <w:spacing w:after="0" w:line="258"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and Access</w:t>
      </w:r>
      <w:r>
        <w:rPr>
          <w:rFonts w:ascii="Times New Roman" w:cs="Times New Roman" w:eastAsia="Times New Roman" w:hAnsi="Times New Roman"/>
          <w:sz w:val="18"/>
          <w:szCs w:val="18"/>
          <w:color w:val="auto"/>
        </w:rPr>
        <w:t>. The Company shall promptly (and in any event within two Business Days) notify Parent of, and provide copies of, any written communication received by the Company or the Indian JV from (i) any Indian Promoter relating to the JV Agreement, the Share Purchase Agreement, the Indian JV Shares or the transactions contemplated hereby, or (ii) the RBI, any AD Bank, the ROC, any stamp authority or any other Governmental Entity in India, and shall give Parent and its Representatives reasonable access to the books, records and senior management of the Indian JV.</w:t>
      </w:r>
    </w:p>
    <w:p>
      <w:pPr>
        <w:spacing w:after="0" w:line="183"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 and Post-Closing Readiness</w:t>
      </w:r>
      <w:r>
        <w:rPr>
          <w:rFonts w:ascii="Times New Roman" w:cs="Times New Roman" w:eastAsia="Times New Roman" w:hAnsi="Times New Roman"/>
          <w:sz w:val="18"/>
          <w:szCs w:val="18"/>
          <w:color w:val="auto"/>
        </w:rPr>
        <w:t>. Prior to the Closing, the Company shall use reasonable best efforts to (i) deliver to Parent the resignations, effective as of the Effective Time, of such of the Company’s nominees on the board of directors of the Indian JV as Parent may request, and (ii) cause the Indian JV to prepare, in consultation with Parent, all board resolutions, forms and filings reasonably requested by Parent to be passed or made at or promptly following the Effective Time, including in relation to changes to the directors and authorized signatories of the Indian JV, the updating of bank mandates and KYC records with the Indian JV’s bankers and the AD Bank, and any declarations and filings in respect of significant beneficial ownership under Section 90 of the Companies Act.</w:t>
      </w:r>
    </w:p>
    <w:p>
      <w:pPr>
        <w:spacing w:after="0" w:line="187" w:lineRule="exact"/>
        <w:rPr>
          <w:sz w:val="20"/>
          <w:szCs w:val="20"/>
          <w:color w:val="auto"/>
        </w:rPr>
      </w:pPr>
    </w:p>
    <w:p>
      <w:pPr>
        <w:jc w:val="both"/>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6.22 </w:t>
      </w:r>
      <w:r>
        <w:rPr>
          <w:rFonts w:ascii="Times New Roman" w:cs="Times New Roman" w:eastAsia="Times New Roman" w:hAnsi="Times New Roman"/>
          <w:sz w:val="18"/>
          <w:szCs w:val="18"/>
          <w:u w:val="single" w:color="auto"/>
          <w:color w:val="auto"/>
        </w:rPr>
        <w:t>Canadian Personal Data</w:t>
      </w:r>
      <w:r>
        <w:rPr>
          <w:rFonts w:ascii="Times New Roman" w:cs="Times New Roman" w:eastAsia="Times New Roman" w:hAnsi="Times New Roman"/>
          <w:sz w:val="18"/>
          <w:szCs w:val="18"/>
          <w:color w:val="auto"/>
        </w:rPr>
        <w:t>. To the extent that any Personal Data transferred, disclosed, communicated or conveyed by or on behalf of one party (a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to another party (a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as a result of or in connection with the transactions contemplated hereby (including all such Personal Data transferred, disclosed, communicated or conveyed prior to the execution of this Agreement) (“</w:t>
      </w:r>
      <w:r>
        <w:rPr>
          <w:rFonts w:ascii="Times New Roman" w:cs="Times New Roman" w:eastAsia="Times New Roman" w:hAnsi="Times New Roman"/>
          <w:sz w:val="18"/>
          <w:szCs w:val="18"/>
          <w:u w:val="single" w:color="auto"/>
          <w:color w:val="auto"/>
        </w:rPr>
        <w:t>Transaction Personal Data</w:t>
      </w:r>
      <w:r>
        <w:rPr>
          <w:rFonts w:ascii="Times New Roman" w:cs="Times New Roman" w:eastAsia="Times New Roman" w:hAnsi="Times New Roman"/>
          <w:sz w:val="18"/>
          <w:szCs w:val="18"/>
          <w:color w:val="auto"/>
        </w:rPr>
        <w:t xml:space="preserve">”) is subject to the </w:t>
      </w:r>
      <w:r>
        <w:rPr>
          <w:rFonts w:ascii="Times New Roman" w:cs="Times New Roman" w:eastAsia="Times New Roman" w:hAnsi="Times New Roman"/>
          <w:sz w:val="18"/>
          <w:szCs w:val="18"/>
          <w:i w:val="1"/>
          <w:iCs w:val="1"/>
          <w:color w:val="auto"/>
        </w:rPr>
        <w:t>Personal Information Protection and Electronic Documents Act</w:t>
      </w:r>
      <w:r>
        <w:rPr>
          <w:rFonts w:ascii="Times New Roman" w:cs="Times New Roman" w:eastAsia="Times New Roman" w:hAnsi="Times New Roman"/>
          <w:sz w:val="18"/>
          <w:szCs w:val="18"/>
          <w:color w:val="auto"/>
        </w:rPr>
        <w:t xml:space="preserve"> (Canada) or any substantially similar provincial privacy legislation in Canada, the following shall apply:</w:t>
      </w:r>
    </w:p>
    <w:p>
      <w:pPr>
        <w:spacing w:after="0" w:line="75" w:lineRule="exact"/>
        <w:rPr>
          <w:sz w:val="20"/>
          <w:szCs w:val="20"/>
          <w:color w:val="auto"/>
        </w:rPr>
      </w:pPr>
    </w:p>
    <w:p>
      <w:pPr>
        <w:ind w:firstLine="987"/>
        <w:spacing w:after="0" w:line="258"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Recipient covenants and agrees to, prior to the Closing, (i) collect, use and disclose the Transaction Personal Data solely for those purposes that relate to the transactions contemplated by this Agreement; (ii) protect the Transaction Personal Data using security safeguards appropriate to the sensitivity of the information and in accordance with applicable Privacy Laws of Canada; and (iii) if the transactions contemplated hereby do not proceed, return to the Transferor or destroy the Transaction Personal Data, at the option of the Recipient, within a reasonable time or as otherwise required by applicable Privacy Laws of Canada.</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to the extent a Recipient uses or discloses any Transaction Personal Data, the Recipient covenants and agrees to: (i) use and disclose the Transaction Personal Data under its control solely for the purposes for which that Personal Data was collected or permitted to be used or disclosed before the transactions contemplated by this Agreement were completed, unless the Recipient provides notice and/or obtains consent, in accordance with applicable Law, to use or disclose the Transaction Personal Data for other purposes, or the use or disclosure is otherwise required or permitted by applicable Law; (ii) protect the Transaction Personal Data by security safeguards commensurate with requirements under applicable Law; (iii) give effect to any withdrawal of consent to collect, use or disclose the Transaction Personal Data, subject to and in accordance with applicable Law; and (iv) provide notice of the transactions contemplated hereby to affected individuals as required by applicable Law.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obligation of each party to effect the Merger is subject to the satisfaction at or prior to the Effective Time of the following conditions:</w:t>
      </w:r>
    </w:p>
    <w:p>
      <w:pPr>
        <w:spacing w:after="0" w:line="54" w:lineRule="exact"/>
        <w:rPr>
          <w:sz w:val="20"/>
          <w:szCs w:val="20"/>
          <w:color w:val="auto"/>
        </w:rPr>
      </w:pPr>
    </w:p>
    <w:p>
      <w:pPr>
        <w:ind w:right="100" w:firstLine="987"/>
        <w:spacing w:after="0" w:line="266"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Legal Restraints; Illegality</w:t>
      </w:r>
      <w:r>
        <w:rPr>
          <w:rFonts w:ascii="Times New Roman" w:cs="Times New Roman" w:eastAsia="Times New Roman" w:hAnsi="Times New Roman"/>
          <w:sz w:val="18"/>
          <w:szCs w:val="18"/>
          <w:color w:val="auto"/>
        </w:rPr>
        <w:t>. No Law or Order (whether temporary, preliminary or permanent) enacted, promulgated, issued or entered by any Governmental Entity of competent jurisdiction (each,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 shall be in effect enjoining, restraining, preventing or prohibiting the consummation of the Merger or making consummation of the Merger illegal.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80" w:name="page81"/>
    <w:bookmarkEnd w:id="80"/>
    <w:p>
      <w:pPr>
        <w:ind w:right="360" w:firstLine="987"/>
        <w:spacing w:after="0" w:line="282"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of Shares in the Offer</w:t>
      </w:r>
      <w:r>
        <w:rPr>
          <w:rFonts w:ascii="Times New Roman" w:cs="Times New Roman" w:eastAsia="Times New Roman" w:hAnsi="Times New Roman"/>
          <w:sz w:val="18"/>
          <w:szCs w:val="18"/>
          <w:color w:val="auto"/>
        </w:rPr>
        <w:t>. Merger Sub (or Parent on Merger Sub’s behalf) shall have accepted for payment all Shares validly tendered (and not validly withdrawn) pursuant to the Offer.</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Frustration of Closing Conditions</w:t>
      </w:r>
      <w:r>
        <w:rPr>
          <w:rFonts w:ascii="Times New Roman" w:cs="Times New Roman" w:eastAsia="Times New Roman" w:hAnsi="Times New Roman"/>
          <w:sz w:val="17"/>
          <w:szCs w:val="17"/>
          <w:color w:val="auto"/>
        </w:rPr>
        <w:t xml:space="preserve">. None of Parent, Merger Sub or the Company may rely on the failure of any condition set forth in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to be satisfied if such failure was caused by the failure of such party to perform any of its covenants or obligations under this Agreement.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Offer and the Merger may be abandoned (with any termination by Parent also being an effective termination by Merger Sub) by written notice of the terminating party to the other party (other than in the case of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240" w:hanging="253"/>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at any time prior to the Acceptance Time;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117" w:lineRule="exact"/>
        <w:rPr>
          <w:rFonts w:ascii="Times New Roman" w:cs="Times New Roman" w:eastAsia="Times New Roman" w:hAnsi="Times New Roman"/>
          <w:sz w:val="18"/>
          <w:szCs w:val="18"/>
          <w:color w:val="auto"/>
        </w:rPr>
      </w:pPr>
    </w:p>
    <w:p>
      <w:pPr>
        <w:ind w:right="40" w:firstLine="1428"/>
        <w:spacing w:after="0" w:line="253" w:lineRule="auto"/>
        <w:tabs>
          <w:tab w:leader="none" w:pos="164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Time shall not have occurred on or before April 27, 2027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if on the Outside Date all of the Offer Conditions (other than the Offer Conditions referred to in clause (b), clause (c) or clause (e)(i)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(solely to the extent related to the HSR Act, NSIA, or any other Antitrust Law)) shall have been satisfied (other than those Offer Conditions that by their nature are to be satisfied at the Acceptance Time, but subject to such Offer Conditions being capable of being satisfied at the Acceptance Time) or waived (to the extent waivable under applicable Law), then the Outside Date may be extended by Parent or the Company for one additional period of 60 days and, if the only remaining unsatisfied conditions at the end of that period relate solely to HSR Act, NSIA, or other Antitrust Law approvals or clearances, for one further period of 60 days, in each case upon written notice delivered by either Parent or the Company before the then-current Outside Date (and all references to the Outside Date herein shall be as so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if any failure of such party to perform any of its covenants or obligations under this Agreement has been a principal cause of, or resulted in, such failure of the Acceptance Time to occur prior to the Outside Date;</w:t>
      </w:r>
    </w:p>
    <w:p>
      <w:pPr>
        <w:spacing w:after="0" w:line="194" w:lineRule="exact"/>
        <w:rPr>
          <w:rFonts w:ascii="Times New Roman" w:cs="Times New Roman" w:eastAsia="Times New Roman" w:hAnsi="Times New Roman"/>
          <w:sz w:val="18"/>
          <w:szCs w:val="18"/>
          <w:color w:val="auto"/>
        </w:rPr>
      </w:pPr>
    </w:p>
    <w:p>
      <w:pPr>
        <w:ind w:right="180" w:firstLine="1428"/>
        <w:spacing w:after="0" w:line="261" w:lineRule="auto"/>
        <w:tabs>
          <w:tab w:leader="none" w:pos="169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shall have expired or been terminated, in accordance with its terms and this Agreement, without the acceptance for payment of Shares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if any failure of such party to perform any of its covenants or obligations under this Agreement has been a principal cause of, or resulted in, the Offer having so expired or been terminated without the acceptance for payment of Shares pursuant thereto; or</w:t>
      </w:r>
    </w:p>
    <w:p>
      <w:pPr>
        <w:spacing w:after="0" w:line="179" w:lineRule="exact"/>
        <w:rPr>
          <w:rFonts w:ascii="Times New Roman" w:cs="Times New Roman" w:eastAsia="Times New Roman" w:hAnsi="Times New Roman"/>
          <w:sz w:val="18"/>
          <w:szCs w:val="18"/>
          <w:color w:val="auto"/>
        </w:rPr>
      </w:pPr>
    </w:p>
    <w:p>
      <w:pPr>
        <w:ind w:right="40" w:firstLine="1428"/>
        <w:spacing w:after="0" w:line="258" w:lineRule="auto"/>
        <w:tabs>
          <w:tab w:leader="none" w:pos="174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Acceptance Time, if any Governmental Entity of competent jurisdiction shall have issued a Restraint having the effect of permanently restraining, enjoining or otherwise prohibiting or making illegal the acceptance for payment of or the payment for the Shares pursuant to the Offer or the consummation of the Merger, and such Restraint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shall not be available to any party whose material breach of this Agreement has been a principal cause of, or resulted in, the issuance of such final and non-appealable Restraint;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Acceptance Time:</w:t>
      </w:r>
    </w:p>
    <w:p>
      <w:pPr>
        <w:spacing w:after="0" w:line="117" w:lineRule="exact"/>
        <w:rPr>
          <w:rFonts w:ascii="Times New Roman" w:cs="Times New Roman" w:eastAsia="Times New Roman" w:hAnsi="Times New Roman"/>
          <w:sz w:val="18"/>
          <w:szCs w:val="18"/>
          <w:color w:val="auto"/>
        </w:rPr>
      </w:pPr>
    </w:p>
    <w:p>
      <w:pPr>
        <w:ind w:firstLine="1428"/>
        <w:spacing w:after="0" w:line="266" w:lineRule="auto"/>
        <w:tabs>
          <w:tab w:leader="none" w:pos="164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81" w:name="page82"/>
    <w:bookmarkEnd w:id="8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occurring or continuing at the scheduled Expiration Date (i) would result in the failure of an Offer Condition to be satisfied and (ii) cannot be or has not been cured by the earlier of (A) the Outside Date and (B) the date that is 10 Business Days after the date on which Parent has delivered written notice to the Company of such breach or failure to perform or to be 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if Merger Sub or Parent is then in material breach of any of its representations, warranties, covenants or agreements hereunder such that the Company has the right (after giving notice and the lapse of any cure period) to terminate this Agreement pursuant to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(disregarding the notice and cure rights set forth therein);</w:t>
      </w:r>
    </w:p>
    <w:p>
      <w:pPr>
        <w:spacing w:after="0" w:line="187" w:lineRule="exact"/>
        <w:rPr>
          <w:sz w:val="20"/>
          <w:szCs w:val="20"/>
          <w:color w:val="auto"/>
        </w:rPr>
      </w:pPr>
    </w:p>
    <w:p>
      <w:pPr>
        <w:ind w:left="4" w:right="60" w:firstLine="1428"/>
        <w:spacing w:after="0" w:line="261" w:lineRule="auto"/>
        <w:tabs>
          <w:tab w:leader="none" w:pos="170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Triggering Event shall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terminates this Agreement pursuant to this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within 10 Business Days of such Triggering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Triggering Event of the type set forth in clauses (a) and (b) of the definition of Triggering Event, such 10 Business Day period shall not expire until the 10th Business Day after the Company provides Parent with written notice of the occurrence of such Triggering Event;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Acceptance Time:</w:t>
      </w:r>
    </w:p>
    <w:p>
      <w:pPr>
        <w:spacing w:after="0" w:line="117" w:lineRule="exact"/>
        <w:rPr>
          <w:rFonts w:ascii="Times New Roman" w:cs="Times New Roman" w:eastAsia="Times New Roman" w:hAnsi="Times New Roman"/>
          <w:sz w:val="18"/>
          <w:szCs w:val="18"/>
          <w:color w:val="auto"/>
        </w:rPr>
      </w:pPr>
    </w:p>
    <w:p>
      <w:pPr>
        <w:ind w:left="4" w:firstLine="1428"/>
        <w:spacing w:after="0" w:line="253" w:lineRule="auto"/>
        <w:tabs>
          <w:tab w:leader="none" w:pos="165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scheduled Expiration Date (A) would have a Parent Material Adverse Effect or would constitute a failure by Parent or Merger Sub to accept for payment or pay for the Shares, to consummate the Offer, or to cause the Merger to become effective, when all conditions to such action have been satisfied or waived (other than conditions that by their nature are to be satisfied at the time of such action in accordance with the terms of this Agreement) and (B) cannot be or has not been cured by the earlier of (1) the Outside Date and (2) the date that is 10 Business Days after the date on which the Company has delivered written notice to Parent of such breach or failure to perform or to be 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if the Company is then in material breach of any of its representations, warranties, covenants or agreements hereunder such that Parent has the right (after giving notice and the lapse of any cure period) to terminate this Agreement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(disregarding the notice and cure rights set forth therein);</w:t>
      </w:r>
    </w:p>
    <w:p>
      <w:pPr>
        <w:spacing w:after="0" w:line="192" w:lineRule="exact"/>
        <w:rPr>
          <w:sz w:val="20"/>
          <w:szCs w:val="20"/>
          <w:color w:val="auto"/>
        </w:rPr>
      </w:pPr>
    </w:p>
    <w:p>
      <w:pPr>
        <w:ind w:left="4" w:right="60" w:firstLine="1428"/>
        <w:spacing w:after="0" w:line="258" w:lineRule="auto"/>
        <w:tabs>
          <w:tab w:leader="none" w:pos="170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the Company Board authorizes the Company, to the extent permitted by and subject to complying with the terms of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to enter into an Alternative Acquisition Agreement with respect to a Superior Proposal, (B) concurrently with the termination of this Agreement, the Company enters into an Alternative Acquisition Agreement providing for such Superior Proposal, and (C) prior to or concurrently with, and as a condition to, such termination, the Company pays to Parent in immediately available funds the Company Termination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firstLine="1428"/>
        <w:spacing w:after="0" w:line="258" w:lineRule="auto"/>
        <w:tabs>
          <w:tab w:leader="none" w:pos="17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the Offer Conditions (other than those Offer Conditions that by their nature are to be satisfied at the Acceptance Time, but subject to such Offer Conditions being capable of being satisfied at the Acceptance Time) have been satisfied or waived (to the extent permitted hereunder) on the Expiration Date and (B) Merger Sub shall have failed to consummate (as defined in Section 251(h) of the DGCL) the Offer within two Business Days following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to the contrary, no party shall be permitted to terminate this Agreement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during any such two Business Day period;</w:t>
      </w:r>
    </w:p>
    <w:p>
      <w:pPr>
        <w:spacing w:after="0" w:line="183" w:lineRule="exact"/>
        <w:rPr>
          <w:rFonts w:ascii="Times New Roman" w:cs="Times New Roman" w:eastAsia="Times New Roman" w:hAnsi="Times New Roman"/>
          <w:sz w:val="18"/>
          <w:szCs w:val="18"/>
          <w:color w:val="auto"/>
        </w:rPr>
      </w:pPr>
    </w:p>
    <w:p>
      <w:pPr>
        <w:ind w:left="4" w:right="60" w:firstLine="1428"/>
        <w:spacing w:after="0" w:line="261" w:lineRule="auto"/>
        <w:tabs>
          <w:tab w:leader="none" w:pos="174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Merger Sub fails to commence the Offer in breach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 Merger Sub shall have terminated the Offer prior to the Expiration Date (as may be extended and re-extended in accordance with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other than in accordance with this Agreement, or</w:t>
      </w:r>
    </w:p>
    <w:p>
      <w:pPr>
        <w:ind w:left="4" w:right="260" w:hanging="4"/>
        <w:spacing w:after="0" w:line="255" w:lineRule="auto"/>
        <w:tabs>
          <w:tab w:leader="none" w:pos="28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Merger Sub shall have made any material change to the Offer in breach of this Agreement and Parent and Merger Sub fail to amend the Offer to cure such breach by the date that is five Business Days after the date on which the Company has delivered written notice to Parent of such breach.</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2" w:name="page83"/>
    <w:bookmarkEnd w:id="8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this Agreement shall immediately become void and have no effect, without any liability or obligation on the part of Parent, Merger Sub or the Company,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Confidentiality Agreement and the provisions of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(Access to Information; Confidentiality),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(Public Announcements),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(Fees and Expenses),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(Notices),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(Certain Definitions),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(Interpretation),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(Entire Agreement),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(Parties in Interest),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(Submission to Jurisdiction),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(Assignment and Successors),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(Specific Performance),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(Waiver of Jury Trial) and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(No Presumption Against Drafting Party) of this Agreement shall survive the termination hereof and remain in full force and effect in accordance with their respective terms. Notwithstanding the foregoing, none of Parent, Merger Sub or the Company shall be released from any liabilities or damages arising out of any Willful Breach by such party or any Fraud, and the parties acknowledge and agree that, to the fullest extent permitted under Section 261(a)(1) of the DGCL, such liabilities or damages will not be limited to reimbursement of expenses or out of pocket costs and may include the benefit of the bargain lost (and which may, in the case of liabilities or damages payable by Parent or Merger Sub, include the benefit of the bargain lost (including any lost premium) by the Company and its stockholders), taking into consideration all relevant matters, including other opportunities and the time value of money (and which amounts shall, in the case of liabilities or damages payable by Parent or Merger Sub, be recovered and retained by the Company). For purposes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that is a consequence of an act or failure to act by the breaching party which the breaching party knew, or reasonably should have known, would or would reasonably be expected to, cause or constitute a material breach of this Agreement. For the avoidance of doubt, any failure by Parent or Merger Sub to accept for payment or pay for the Shares, to consummate the Offer, or to cause the Merger to become effective when all conditions to such action have been satisfied or waived (other than conditions that by their nature are to be satisfied at the time of such action in accordance with the terms of this Agreement) shall constitute a Willful Breach by Parent and Merger Sub.</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this Agreement, including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all fees and expenses incurred in connection with this Agreement, the Offer, the Merger and the other transactions contemplated hereby shall be paid by the party incurring such fees or expenses, whether or not the Offer or the Merger is consummated. Notwithstanding anything to the contrary contained herein, Parent shall pay, or cause to be paid, all documentary, sales, use, registration, value added, transfer, stamp, recording and similar Taxes incurred in connection with this Agreement and the transactions contemplated hereby, other than any Taxes described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and other than any stamp duty (including any deficient stamp duty, penalty or interest) payable in respect of any instrument relating to the Indian JV or the Indian JV Shares, including the share certificates of the Indian JV and the Lease Agreement, which shall be borne by the Company or the Indian JV prior to the Effective Time, and shall file all Tax Returns related thereto, regardless of who may be liable therefor under applicable Law.</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17" w:lineRule="exact"/>
        <w:rPr>
          <w:rFonts w:ascii="Times New Roman" w:cs="Times New Roman" w:eastAsia="Times New Roman" w:hAnsi="Times New Roman"/>
          <w:sz w:val="18"/>
          <w:szCs w:val="18"/>
          <w:color w:val="auto"/>
        </w:rPr>
      </w:pPr>
    </w:p>
    <w:p>
      <w:pPr>
        <w:ind w:right="80" w:firstLine="1428"/>
        <w:spacing w:after="0" w:line="255" w:lineRule="auto"/>
        <w:tabs>
          <w:tab w:leader="none" w:pos="164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 Acquisition Proposal (whether or not conditional) or an intention to make an Acquisition Proposal (whether or not conditional) shall have been made to the Company Board or is made directly to the Company’s stockholders or is otherwise publicly disclosed (or shall have otherwise become publicly known) after the date of this Agreement and not withdrawn (and if such Acquisition Proposal was publicly disclosed or has otherwise become publicly known, such withdrawal is publicly disclosed or has otherwise become publicly known) prior to the termination of this Agreement, and (B) thereafter this Agreement is terminated (x) by the Company or Parent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or (y) by Parent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on account of a breach occurring after the making or disclosure of such Acquisition Proposal, and (C) within 12 months after the date of such termination, the Company enters into an agreement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83" w:name="page84"/>
    <w:bookmarkEnd w:id="83"/>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of any Acquisition Transaction that is later consummated (whether during or after such 12 month period), or recommends or submits any Acquisition Transaction to its stockholders for adoption that is later consummated (whether during or after such 12 month period), or any Acquisition Transaction is consummated (which, for the avoidance of doubt, in each case in this clause (C), need not be with respect to the same Acquisition Proposal that was made, disclosed or communicated prior to any such termination of this Agreement);</w:t>
      </w:r>
    </w:p>
    <w:p>
      <w:pPr>
        <w:spacing w:after="0" w:line="180" w:lineRule="exact"/>
        <w:rPr>
          <w:sz w:val="20"/>
          <w:szCs w:val="20"/>
          <w:color w:val="auto"/>
        </w:rPr>
      </w:pPr>
    </w:p>
    <w:p>
      <w:pPr>
        <w:ind w:left="1700" w:hanging="272"/>
        <w:spacing w:after="0"/>
        <w:tabs>
          <w:tab w:leader="none" w:pos="1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then, in any such event, the Company shall pay to Parent a fee of $10,300,000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xml:space="preserve">”), it being understood that in no event shall the Company be required to pay the Company Termination Fee on more than one occasion. Any Company Termination Fee due and payable pursuant to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paid as follows: (A) if due and payable pursuant to </w:t>
      </w:r>
      <w:r>
        <w:rPr>
          <w:rFonts w:ascii="Times New Roman" w:cs="Times New Roman" w:eastAsia="Times New Roman" w:hAnsi="Times New Roman"/>
          <w:sz w:val="18"/>
          <w:szCs w:val="18"/>
          <w:u w:val="single" w:color="auto"/>
          <w:color w:val="auto"/>
        </w:rPr>
        <w:t>Section 8.3(b)(i)</w:t>
      </w:r>
      <w:r>
        <w:rPr>
          <w:rFonts w:ascii="Times New Roman" w:cs="Times New Roman" w:eastAsia="Times New Roman" w:hAnsi="Times New Roman"/>
          <w:sz w:val="18"/>
          <w:szCs w:val="18"/>
          <w:color w:val="auto"/>
        </w:rPr>
        <w:t xml:space="preserve">, on the date such Acquisition Transaction is consummated; (B) if due and payable pursuant to </w:t>
      </w:r>
      <w:r>
        <w:rPr>
          <w:rFonts w:ascii="Times New Roman" w:cs="Times New Roman" w:eastAsia="Times New Roman" w:hAnsi="Times New Roman"/>
          <w:sz w:val="18"/>
          <w:szCs w:val="18"/>
          <w:u w:val="single" w:color="auto"/>
          <w:color w:val="auto"/>
        </w:rPr>
        <w:t>Section 8.3(b)(ii)</w:t>
      </w:r>
      <w:r>
        <w:rPr>
          <w:rFonts w:ascii="Times New Roman" w:cs="Times New Roman" w:eastAsia="Times New Roman" w:hAnsi="Times New Roman"/>
          <w:sz w:val="18"/>
          <w:szCs w:val="18"/>
          <w:color w:val="auto"/>
        </w:rPr>
        <w:t xml:space="preserve">, no later than the second Business Day following such termination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and (C) if due and payable pursuant to </w:t>
      </w:r>
      <w:r>
        <w:rPr>
          <w:rFonts w:ascii="Times New Roman" w:cs="Times New Roman" w:eastAsia="Times New Roman" w:hAnsi="Times New Roman"/>
          <w:sz w:val="18"/>
          <w:szCs w:val="18"/>
          <w:u w:val="single" w:color="auto"/>
          <w:color w:val="auto"/>
        </w:rPr>
        <w:t>Section 8.3(b)(iii)</w:t>
      </w:r>
      <w:r>
        <w:rPr>
          <w:rFonts w:ascii="Times New Roman" w:cs="Times New Roman" w:eastAsia="Times New Roman" w:hAnsi="Times New Roman"/>
          <w:sz w:val="18"/>
          <w:szCs w:val="18"/>
          <w:color w:val="auto"/>
        </w:rPr>
        <w:t xml:space="preserve">, prior to or concurrently with, and as a condition to, such termination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All payments pursuant to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made by wire transfer of immediately available funds to an account designated in writing to the Company by Parent.</w:t>
      </w:r>
    </w:p>
    <w:p>
      <w:pPr>
        <w:spacing w:after="0" w:line="189" w:lineRule="exact"/>
        <w:rPr>
          <w:sz w:val="20"/>
          <w:szCs w:val="20"/>
          <w:color w:val="auto"/>
        </w:rPr>
      </w:pPr>
    </w:p>
    <w:p>
      <w:pPr>
        <w:ind w:right="20" w:firstLine="987"/>
        <w:spacing w:after="0" w:line="254"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or its designee shall receive full payment of the Company Termination Fee when due and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the receipt of the Company Termination Fee shall be deemed to be liquidated damages and the sole and exclusive remedy of Parent, Merger Sub, any of their respective Affiliates or any other Person for any and all losses or damages suffered or incurred in connection with this Agreement (and the termination hereof), the transactions herein (and the abandonment thereof) or any matter forming the basis for such termination, except in the case of Fraud or Willful Breach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limit any claim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for Fraud or Willful Breach by the Company, and Parent may not elect to decline payment of the Company Termination Fee and instead bring or maintain any claim, action or proceeding for monetary damages, except for Fraud or Willful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party shall be entitled to recover duplicatively for the same loss.</w:t>
      </w:r>
    </w:p>
    <w:p>
      <w:pPr>
        <w:spacing w:after="0" w:line="191" w:lineRule="exact"/>
        <w:rPr>
          <w:rFonts w:ascii="Times New Roman" w:cs="Times New Roman" w:eastAsia="Times New Roman" w:hAnsi="Times New Roman"/>
          <w:sz w:val="18"/>
          <w:szCs w:val="18"/>
          <w:color w:val="auto"/>
        </w:rPr>
      </w:pPr>
    </w:p>
    <w:p>
      <w:pPr>
        <w:ind w:firstLine="987"/>
        <w:spacing w:after="0" w:line="272" w:lineRule="auto"/>
        <w:tabs>
          <w:tab w:leader="none" w:pos="124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acknowledge that the agreements contained in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are an integral part of the transactions contemplated by this Agreement and constitute liquidated damages and not a penalty, and that, without these agreements, the parties would not have entered into this Agreement. If the Company fails to pay the Company Termination Fee, or Parent fails to pay the Reverse Termination Fee, when due and payable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and, in order to obtain such payment, the party entitled to such payment commences any Action that results in an award against the party owing such payment, the party owing such award shall pay the other party’s costs and expenses (including reasonable and documented out-of-pocket attorneys’ fees and expenses) in connection with such Action, together with interest on the amount of the Company Termination Fee or Reverse Termination Fee, as applicable, from the date such payment was required to be made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until the date such payment is paid in full, at the prime lending rate as published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(as in effect on the date such payment was required to be paid hereunder).</w:t>
      </w:r>
    </w:p>
    <w:p>
      <w:pPr>
        <w:spacing w:after="0" w:line="171" w:lineRule="exact"/>
        <w:rPr>
          <w:rFonts w:ascii="Times New Roman" w:cs="Times New Roman" w:eastAsia="Times New Roman" w:hAnsi="Times New Roman"/>
          <w:sz w:val="17"/>
          <w:szCs w:val="17"/>
          <w:color w:val="auto"/>
        </w:rPr>
      </w:pPr>
    </w:p>
    <w:p>
      <w:pPr>
        <w:ind w:right="180" w:firstLine="987"/>
        <w:spacing w:after="0" w:line="255"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if (A) this Agreement is terminated by either Parent or the Company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because the Outside Date has occurred and the only conditions to the consummation of the Offer or the Merger that have not been satisfied or waived are conditions relating to the HSR Act, NSIA or other Antitrust Law approvals or clearances, (B) this Agreement is terminated by the Company pursuant to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8.1(d)(iii)</w:t>
      </w:r>
      <w:r>
        <w:rPr>
          <w:rFonts w:ascii="Times New Roman" w:cs="Times New Roman" w:eastAsia="Times New Roman" w:hAnsi="Times New Roman"/>
          <w:sz w:val="18"/>
          <w:szCs w:val="18"/>
          <w:color w:val="auto"/>
        </w:rPr>
        <w:t xml:space="preserve"> because Parent or Merger Sub fails to consummate the Offer or the Merger when all conditions to such consummation have been satisfied or waived (other than conditions that by their nature are to be satisfied at such time in accordance with the terms of this Agreement), or (C) this Agreement is terminated by Parent pursuant to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and the Restraint giving rise to such termination was issued under or in connection with the HSR Act, NSIA, or any other Antitrust</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40"/>
          </w:cols>
          <w:pgMar w:left="440" w:top="270" w:right="519" w:bottom="1440" w:gutter="0" w:footer="0" w:header="0"/>
        </w:sectPr>
      </w:pPr>
    </w:p>
    <w:bookmarkStart w:id="84" w:name="page85"/>
    <w:bookmarkEnd w:id="84"/>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then Parent shall pay to the Company a fee of $10,300,000 (the “</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equal to the Company Termination Fee, by wire transfer of immediately available funds within two Business Days after such termination or failure, as applicable. The Company’s receipt of the Reverse Termination Fee shall be the sole and exclusive remedy of the Company and its Affiliates against Parent, Merger Sub and their respective Affiliates for any loss, liability or damage arising out of or relating to any termination or failure described in this paragraph, except in the case of Fraud or Willful Breach by Parent or Merger Sub;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party shall be entitled to recover duplicatively for the same loss and Parent shall not be required to pay the Reverse Termination Fee on more than one occasion.</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Non-Survival of Representation and Warranties</w:t>
      </w:r>
      <w:r>
        <w:rPr>
          <w:rFonts w:ascii="Times New Roman" w:cs="Times New Roman" w:eastAsia="Times New Roman" w:hAnsi="Times New Roman"/>
          <w:sz w:val="18"/>
          <w:szCs w:val="18"/>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 For the avoidance of doubt, no representation or warranty, and no covenant or agreement required to be performed at or before the Effective Time, shall survive the Effective Time, and no party shall have any indemnification obligation for any breach or inaccuracy thereof, except to the extent expressly provided in this Agreement for Fraud or Willful Breach or for obligations that by their terms are to be performed after the Effective Time.</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xml:space="preserve">. This Agreement may be amended, modified or supplemented by the parties, prior to the Effective Time, by action taken or authorized by their respective Boards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Merger Sub has accepted for payment and paid for Shares pursuant to the Offer, no amendment may be made which decreases the Merger Consideration.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83"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Extension of Time; Waiver</w:t>
      </w:r>
      <w:r>
        <w:rPr>
          <w:rFonts w:ascii="Times New Roman" w:cs="Times New Roman" w:eastAsia="Times New Roman" w:hAnsi="Times New Roman"/>
          <w:sz w:val="18"/>
          <w:szCs w:val="18"/>
          <w:color w:val="auto"/>
        </w:rPr>
        <w:t>. At any time prior to the Effective Time, the parties may, by action taken or authorized by their respective Boards of Directors, to the extent permitted by applicable Law, (a) extend the time for the performance of any of the obligations or acts of the other party,</w:t>
      </w:r>
    </w:p>
    <w:p>
      <w:pPr>
        <w:spacing w:after="0" w:line="68" w:lineRule="exact"/>
        <w:rPr>
          <w:sz w:val="20"/>
          <w:szCs w:val="20"/>
          <w:color w:val="auto"/>
        </w:rPr>
      </w:pPr>
    </w:p>
    <w:p>
      <w:pPr>
        <w:ind w:left="4" w:right="60" w:firstLine="436"/>
        <w:spacing w:after="0" w:line="256" w:lineRule="auto"/>
        <w:tabs>
          <w:tab w:leader="none" w:pos="69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parties set forth in this Agreement or any document delivered pursuant hereto or (c) subject to applicable Law, waive compliance with any of the agreements or conditions of the other parties contained herein.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w:t>
      </w:r>
    </w:p>
    <w:p>
      <w:pPr>
        <w:spacing w:after="0" w:line="187"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duly given (a) if sent by email prior to 6:00 p.m. recipient’s local time, upon transmission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sender of such email does not receive written notification of delivery failure); or</w:t>
      </w:r>
    </w:p>
    <w:p>
      <w:pPr>
        <w:spacing w:after="0" w:line="1" w:lineRule="exact"/>
        <w:rPr>
          <w:sz w:val="20"/>
          <w:szCs w:val="20"/>
          <w:color w:val="auto"/>
        </w:rPr>
      </w:pPr>
    </w:p>
    <w:p>
      <w:pPr>
        <w:jc w:val="both"/>
        <w:ind w:left="4" w:right="60" w:hanging="4"/>
        <w:spacing w:after="0" w:line="253"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after 6:00 p.m. recipient’s local time, the Business Day following the date of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sender of such email does not receive written notification of delivery failure), (b) on the first Business Day following the date of dispatch if delivered utilizing a next-day service by a recognized next-day courier or (c) on the earlier of confirmed receipt or the fifth Business Day following the date of mailing if delivered by registered or certified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5" w:name="page86"/>
    <w:bookmarkEnd w:id="85"/>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mail, return receipt requested, postage prepaid. All notices hereunder shall be delivered to the addresses set forth below, or pursuant to such other instructions as may be designated in writing by the party to receive such notice:</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if to Parent, Merger Sub or, at or following the Effective Time, the Surviving Corporation,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EnerSys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2366 Bernville Road Reading, PA 19605</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legal@enersys.com</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a copy (which copy shall not constitute notice)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2850 N. Harwood St., Ste 1500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Leigh T. Hansson; Jocelyne E. Kelly; Ballard J. Yelton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lhansson@ReedSmith.com; jocelyne.kelly@reedsmith.com;</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byelton@reedsmith.com</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(ii) if to Company,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2000 Technology Parkway Newark, NY 14513</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Phil Fain, Chief Financial Officer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pfain@ulbi.com</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Lippes Mathias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50 Fountain Plaza, Suite 1700 Buffalo, NY 14202</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Brian Bocketti; Thomas Hughes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Email: bbocketti@lippes.com; thughes@lippes.com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w:t>
      </w:r>
    </w:p>
    <w:p>
      <w:pPr>
        <w:spacing w:after="0" w:line="117" w:lineRule="exact"/>
        <w:rPr>
          <w:sz w:val="20"/>
          <w:szCs w:val="20"/>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2014 Long-Term Incentive Plan</w:t>
      </w:r>
      <w:r>
        <w:rPr>
          <w:rFonts w:ascii="Times New Roman" w:cs="Times New Roman" w:eastAsia="Times New Roman" w:hAnsi="Times New Roman"/>
          <w:sz w:val="18"/>
          <w:szCs w:val="18"/>
          <w:color w:val="auto"/>
        </w:rPr>
        <w:t>” means the Ultralife Corporation 2014 Long-Term Incentive Plan, as amended from time to time;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Long-Term Incentive Plan</w:t>
      </w:r>
      <w:r>
        <w:rPr>
          <w:rFonts w:ascii="Times New Roman" w:cs="Times New Roman" w:eastAsia="Times New Roman" w:hAnsi="Times New Roman"/>
          <w:sz w:val="18"/>
          <w:szCs w:val="18"/>
          <w:color w:val="auto"/>
        </w:rPr>
        <w:t>” means the Ultralife Corporation 2024 Long-Term Incentive Plan, as amended from time to time;</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other Person that directly or indirectly, through one or more intermediaries, controls, is controlled by, or is under common control with, such first Person;</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day on which banks in New York, New York are authorized or required by applicable Law to be closed;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any current employee or officer of the Company or any of its Subsidiaries;</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Agreement</w:t>
      </w:r>
      <w:r>
        <w:rPr>
          <w:rFonts w:ascii="Times New Roman" w:cs="Times New Roman" w:eastAsia="Times New Roman" w:hAnsi="Times New Roman"/>
          <w:sz w:val="18"/>
          <w:szCs w:val="18"/>
          <w:color w:val="auto"/>
        </w:rPr>
        <w:t>” means any written employment, severance, retention, transaction bonus, change in control or other similar material Contract between: (a) the Company or any of its Subsidiaries and (b) any Company Employee, other than any such Contract that is terminable “at will” (or following a notice period imposed by applicable Law) without any obligation on the part of the Company or any of its Subsidiaries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20"/>
          </w:cols>
          <w:pgMar w:left="440" w:top="270" w:right="539" w:bottom="1440" w:gutter="0" w:footer="0" w:header="0"/>
        </w:sectPr>
      </w:pPr>
    </w:p>
    <w:bookmarkStart w:id="86" w:name="page87"/>
    <w:bookmarkEnd w:id="86"/>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make any severance, termination, change in control or similar payment or to provide any benefit, other than severance payments required to be made by the Company or any of its Subsidiaries under applicable foreign Law;</w:t>
      </w:r>
    </w:p>
    <w:p>
      <w:pPr>
        <w:spacing w:after="0" w:line="162" w:lineRule="exact"/>
        <w:rPr>
          <w:sz w:val="20"/>
          <w:szCs w:val="20"/>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its Subsidiaries;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Stock Options and the Company Restricted Stock;</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Ultralife Corporation Employee Stock Purchase Plan, as amended from time to time;</w:t>
      </w:r>
    </w:p>
    <w:p>
      <w:pPr>
        <w:spacing w:after="0" w:line="225" w:lineRule="exact"/>
        <w:rPr>
          <w:rFonts w:ascii="Times New Roman" w:cs="Times New Roman" w:eastAsia="Times New Roman" w:hAnsi="Times New Roman"/>
          <w:sz w:val="18"/>
          <w:szCs w:val="18"/>
          <w:color w:val="auto"/>
        </w:rPr>
      </w:pPr>
    </w:p>
    <w:p>
      <w:pPr>
        <w:ind w:right="320" w:firstLine="987"/>
        <w:spacing w:after="0" w:line="261"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(Organization, Standing and Power),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(Capital Stock),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(No Conflict; Consents and Approvals),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(State Takeover Statutes; Anti-Takeover Provisions),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(Section 251(h); Support Agreement),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(Opinion of Financial Advisor);</w:t>
      </w:r>
    </w:p>
    <w:p>
      <w:pPr>
        <w:spacing w:after="0" w:line="179" w:lineRule="exact"/>
        <w:rPr>
          <w:rFonts w:ascii="Times New Roman" w:cs="Times New Roman" w:eastAsia="Times New Roman" w:hAnsi="Times New Roman"/>
          <w:sz w:val="18"/>
          <w:szCs w:val="18"/>
          <w:color w:val="auto"/>
        </w:rPr>
      </w:pPr>
    </w:p>
    <w:p>
      <w:pPr>
        <w:ind w:right="500" w:firstLine="987"/>
        <w:spacing w:after="0" w:line="282" w:lineRule="auto"/>
        <w:tabs>
          <w:tab w:leader="none" w:pos="12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all of the Intellectual Property and Intellectual Property Rights owned or purported to be owned by the Company or any of its Subsidiaries;</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9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collectively, the Company Employee Agreements, each “employee benefit plan” (within the meaning of section 3(3) of ERISA) and each other stock purchase, stock option, phantom equity, restricted stock, equity or equity-based compensation, severance, change-in-control, retention, pension, retirement, profit-sharing, fringe benefit, vacation, sick pay, supplemental unemployment, hospitalization or other medical, life, or other insurance, long or short term disability, bonus, incentive compensation, deferred compensation or any other employee benefit plan, agreement, program, policy, practice or other arrangement, in each case, whether or not subject to ERISA, and whether or not subject to the laws of the United States, whether formal or informal, written or unwritten or legally binding or not, (a) that is established, sponsored, maintained or contributed to (or required to be contributed to) by the Company for the benefit of any current or former employee, officer, director or other individual service provider (or any beneficiary or dependent thereof) of the Company or its Subsidiaries, (b) under which any current or former employee, officer, director or other individual service provider (or any beneficiary or dependent thereof) of the Company or its Subsidiaries has any present or future right to benefits or (c) with respect to which the Company or its Subsidiaries is a party or has had or has any present or future liability;</w:t>
      </w:r>
    </w:p>
    <w:p>
      <w:pPr>
        <w:spacing w:after="0" w:line="194"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any and all products, battery systems, power solutions, communications systems and services that currently are under development or have been under development at any time since January 1, 2023, that are used or held for use by the Company or any of its Subsidiaries, or that otherwise are owned by or purported to be owned by or exclusively licensed by the Company or any of its Subsidiaries;</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share of Common Stock that has been issued by the Company pursuant to a Company Stock Plan that is subject to vesting restrictions and remains unvested or is otherwise subject to a risk of forfeiture or repurchase by the Company as of immediately prior to the Effective Time;</w:t>
      </w:r>
    </w:p>
    <w:p>
      <w:pPr>
        <w:spacing w:after="0" w:line="175" w:lineRule="exact"/>
        <w:rPr>
          <w:rFonts w:ascii="Times New Roman" w:cs="Times New Roman" w:eastAsia="Times New Roman" w:hAnsi="Times New Roman"/>
          <w:sz w:val="18"/>
          <w:szCs w:val="18"/>
          <w:color w:val="auto"/>
        </w:rPr>
      </w:pPr>
    </w:p>
    <w:p>
      <w:pPr>
        <w:jc w:val="both"/>
        <w:ind w:right="300" w:firstLine="987"/>
        <w:spacing w:after="0" w:line="261"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owned or purported to be owned by the Company or any of its Subsidiaries, including all Software that is incorporated into, embedded in, or used in the operation or delivery of any Company Product, all Software used in the development, testing, or manufacturing of any Company Product, and all internal tools, utilities, and applications developed by or for the Company or any of its Subsidiaries for use in its or their business operations;</w:t>
      </w:r>
    </w:p>
    <w:p>
      <w:pPr>
        <w:spacing w:after="0" w:line="179"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Options</w:t>
      </w:r>
      <w:r>
        <w:rPr>
          <w:rFonts w:ascii="Times New Roman" w:cs="Times New Roman" w:eastAsia="Times New Roman" w:hAnsi="Times New Roman"/>
          <w:sz w:val="18"/>
          <w:szCs w:val="18"/>
          <w:color w:val="auto"/>
        </w:rPr>
        <w:t>” means any stock option which immediately before the Effective Time, has not been exercised, has not expired or has not terminated, to purchase Shares pursuant to a Company Stock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7" w:name="page88"/>
    <w:bookmarkEnd w:id="87"/>
    <w:p>
      <w:pPr>
        <w:ind w:right="160" w:firstLine="987"/>
        <w:spacing w:after="0" w:line="266" w:lineRule="auto"/>
        <w:tabs>
          <w:tab w:leader="none" w:pos="121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the Company ESPP, the 2014 Long-Term Incentive Plan and the 2024 Long-Term Incentive Plan, and any other stock option, restricted stock, stock bonus, stock award, or stock purchase plan, program or arrangement of the Company or any of its Subsidiaries or any predecessor thereof or any other Contract entered into by the Company or any of its Subsidiaries;</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2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rFonts w:ascii="Times New Roman" w:cs="Times New Roman" w:eastAsia="Times New Roman" w:hAnsi="Times New Roman"/>
          <w:sz w:val="18"/>
          <w:szCs w:val="18"/>
          <w:color w:val="auto"/>
        </w:rPr>
      </w:pPr>
    </w:p>
    <w:p>
      <w:pPr>
        <w:ind w:right="220" w:firstLine="987"/>
        <w:spacing w:after="0" w:line="312" w:lineRule="auto"/>
        <w:tabs>
          <w:tab w:leader="none" w:pos="124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Affiliate</w:t>
      </w:r>
      <w:r>
        <w:rPr>
          <w:rFonts w:ascii="Times New Roman" w:cs="Times New Roman" w:eastAsia="Times New Roman" w:hAnsi="Times New Roman"/>
          <w:sz w:val="17"/>
          <w:szCs w:val="17"/>
          <w:color w:val="auto"/>
        </w:rPr>
        <w:t>” means each corporation or entity conducting a trade or business (whether or not incorporated) which would be treated as a single employer with the Company under Section 414(b), 414(c), 414(m) or 414(o) of the Code or pursuant to Section 4001(b) of ERISA;</w:t>
      </w:r>
    </w:p>
    <w:p>
      <w:pPr>
        <w:spacing w:after="0" w:line="139" w:lineRule="exact"/>
        <w:rPr>
          <w:rFonts w:ascii="Times New Roman" w:cs="Times New Roman" w:eastAsia="Times New Roman" w:hAnsi="Times New Roman"/>
          <w:sz w:val="17"/>
          <w:szCs w:val="17"/>
          <w:color w:val="auto"/>
        </w:rPr>
      </w:pPr>
    </w:p>
    <w:p>
      <w:pPr>
        <w:ind w:firstLine="987"/>
        <w:spacing w:after="0" w:line="266"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by a party hereto, which involves a knowing and intentional or willful misrepresentation or omission of a material fact with the specific intention that the other party hereto rely thereon to such Person’s detriment, and does not include any fraud claim based on negligent misrepresentation, recklessness or any equitable fraud or promissory fraud;</w:t>
      </w:r>
    </w:p>
    <w:p>
      <w:pPr>
        <w:spacing w:after="0" w:line="17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 the Money Option</w:t>
      </w:r>
      <w:r>
        <w:rPr>
          <w:rFonts w:ascii="Times New Roman" w:cs="Times New Roman" w:eastAsia="Times New Roman" w:hAnsi="Times New Roman"/>
          <w:sz w:val="18"/>
          <w:szCs w:val="18"/>
          <w:color w:val="auto"/>
        </w:rPr>
        <w:t>” means each Company Stock Option which has a per Share exercise price that is less than the Offer Price;</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JV</w:t>
      </w:r>
      <w:r>
        <w:rPr>
          <w:rFonts w:ascii="Times New Roman" w:cs="Times New Roman" w:eastAsia="Times New Roman" w:hAnsi="Times New Roman"/>
          <w:sz w:val="18"/>
          <w:szCs w:val="18"/>
          <w:color w:val="auto"/>
        </w:rPr>
        <w:t>” means Ultralife Batteries (India) Private Limited, a company incorporated under the Companies Act, 1956 with corporate identity number U31402KA2007PTC042083;</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JV Divestiture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JV Waiver</w:t>
      </w:r>
      <w:r>
        <w:rPr>
          <w:rFonts w:ascii="Times New Roman" w:cs="Times New Roman" w:eastAsia="Times New Roman" w:hAnsi="Times New Roman"/>
          <w:sz w:val="18"/>
          <w:szCs w:val="18"/>
          <w:color w:val="auto"/>
        </w:rPr>
        <w:t xml:space="preserve">” have the meanings set forth in </w:t>
      </w:r>
      <w:r>
        <w:rPr>
          <w:rFonts w:ascii="Times New Roman" w:cs="Times New Roman" w:eastAsia="Times New Roman" w:hAnsi="Times New Roman"/>
          <w:sz w:val="18"/>
          <w:szCs w:val="18"/>
          <w:u w:val="single" w:color="auto"/>
          <w:color w:val="auto"/>
        </w:rPr>
        <w:t>Section 6.21(a)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Promoters</w:t>
      </w:r>
      <w:r>
        <w:rPr>
          <w:rFonts w:ascii="Times New Roman" w:cs="Times New Roman" w:eastAsia="Times New Roman" w:hAnsi="Times New Roman"/>
          <w:sz w:val="18"/>
          <w:szCs w:val="18"/>
          <w:color w:val="auto"/>
        </w:rPr>
        <w:t>” means Mr. B.R. Ganesh and Mrs. Nalina Ganesh, and “Indian Promoter” means either of them;</w:t>
      </w:r>
    </w:p>
    <w:p>
      <w:pPr>
        <w:spacing w:after="0" w:line="225" w:lineRule="exact"/>
        <w:rPr>
          <w:sz w:val="20"/>
          <w:szCs w:val="20"/>
          <w:color w:val="auto"/>
        </w:rPr>
      </w:pPr>
    </w:p>
    <w:p>
      <w:pPr>
        <w:ind w:right="40" w:firstLine="987"/>
        <w:spacing w:after="0" w:line="256" w:lineRule="auto"/>
        <w:tabs>
          <w:tab w:leader="none" w:pos="131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formulae, inventions (whether or not patentable), know-how, methods, processes, technology, specifications, Software, techniques, URLs, web sites, domain names, works of authorship (including content, data, databases, and technical data collections), confidential information, concepts, procedures, formulas, discoveries, compositions, technical data, designs, algorithms, battery cell designs, battery chemistry formulations, battery management system designs, power electronics designs, charging system designs, RF amplifier designs, communications system designs, firmware, source code, object code, APIs, user interfaces, graphical user interfaces, manufacturing processes, quality control methodologies, and other proprietary information and proprietary materials;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3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statutory or common law intellectual property rights throughout the world, including any of the following: (i) all inventions (whether patentable or unpatentable and whether or not reduced to practice), United States and foreign patents and utility models and applications therefor (including provisional and unpublished applications) and all reissues, divisionals, renewals, extensions, provisionals, reexaminations, continuations and continuations in part thereof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all trade secrets and similar rights in confidential information, know-how, and materials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(iii) all registered and unregistered copyrights and all other rights corresponding thereto in any works of authorship, including Software and moral rights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(iv) all registered and unregistered trademark rights and similar rights in trade names, logos, trade dress, trademarks and service marks, or combinations thereof used to identify, distinguish and indicate the source or origin of goods or services, together with all goodwill relating thereto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(v) all rights in databases and technical data collections; (vi) all rights to Uniform Resource Locators, Web site addresses and domain names, together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8" w:name="page89"/>
    <w:bookmarkEnd w:id="88"/>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all goodwill relating thereto; (vii) any similar, corresponding or equivalent rights to any of the foregoing; (viii) any registrations and renewals of or applications to register any of the foregoing; and (ix) all rights to sue for and collect damages for past, present and future infringement, misappropriation or other violation of the foregoing and all copies and tangible embodiments of any of the foregoing (in whatever form or medium);</w:t>
      </w:r>
    </w:p>
    <w:p>
      <w:pPr>
        <w:spacing w:after="0" w:line="176" w:lineRule="exact"/>
        <w:rPr>
          <w:sz w:val="20"/>
          <w:szCs w:val="20"/>
          <w:color w:val="auto"/>
        </w:rPr>
      </w:pPr>
    </w:p>
    <w:p>
      <w:pPr>
        <w:ind w:left="4" w:right="80" w:firstLine="987"/>
        <w:spacing w:after="0" w:line="269" w:lineRule="auto"/>
        <w:tabs>
          <w:tab w:leader="none" w:pos="1320"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Intervening Event</w:t>
      </w:r>
      <w:r>
        <w:rPr>
          <w:rFonts w:ascii="Times New Roman" w:cs="Times New Roman" w:eastAsia="Times New Roman" w:hAnsi="Times New Roman"/>
          <w:sz w:val="17"/>
          <w:szCs w:val="17"/>
          <w:color w:val="auto"/>
        </w:rPr>
        <w:t xml:space="preserve">” means an event, change, effect, development, condition or occurrence material to the Company that was not known by the Company Board as of the date of this Agreement (or if known by the Company Board as of the date of this Agreement, the consequences of which were not known);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of the following constitute an Intervening Event: (i) changes in the financial or securities markets or general economic or political conditions in the United States; (ii) changes (including changes in applicable Law) or conditions generally affecting the industry in which the Company operates; (iii) the announcement or pendency of this Agreement or the transactions contemplated hereby;</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30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or trading volume of the Shares (it being understood that the underlying facts giving rise to or contributing to such change may be taken into account in determining whether there has been an Intervening Event); (v) the Company’s meeting or exceeding any internal or published budgets, projections, forecasts or predictions of financial performance for any period (it being understood that the underlying facts giving rise to or contributing to such change may be taken into account in determining whether there has been an Intervening Event); (vi) any facts relating to Parent or its Affiliates; (vii) the receipt, existence or terms of any Acquisition Proposal (or any inquiry, proposal or offer with respect to any transaction that does not constitute an Acquisition Transaction by virtue of the references to “20%” therein) or any inquiry, offer, request or proposal that would reasonably be expected to lead to an Acquisition Proposal; or (viii) the consequences of any of the foregoing;</w:t>
      </w:r>
    </w:p>
    <w:p>
      <w:pPr>
        <w:spacing w:after="0" w:line="188"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3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JV Agreement</w:t>
      </w:r>
      <w:r>
        <w:rPr>
          <w:rFonts w:ascii="Times New Roman" w:cs="Times New Roman" w:eastAsia="Times New Roman" w:hAnsi="Times New Roman"/>
          <w:sz w:val="18"/>
          <w:szCs w:val="18"/>
          <w:color w:val="auto"/>
        </w:rPr>
        <w:t>” means the shareholders’ agreement dated February 5, 2008 among the Company, the Indian JV and the Indian Promoters, as amended;</w:t>
      </w:r>
    </w:p>
    <w:p>
      <w:pPr>
        <w:spacing w:after="0" w:line="161"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32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of the Company means the actual knowledge of the individuals listed on </w:t>
      </w:r>
      <w:r>
        <w:rPr>
          <w:rFonts w:ascii="Times New Roman" w:cs="Times New Roman" w:eastAsia="Times New Roman" w:hAnsi="Times New Roman"/>
          <w:sz w:val="18"/>
          <w:szCs w:val="18"/>
          <w:u w:val="single" w:color="auto"/>
          <w:color w:val="auto"/>
        </w:rPr>
        <w:t>Section 9.5(ee)</w:t>
      </w:r>
      <w:r>
        <w:rPr>
          <w:rFonts w:ascii="Times New Roman" w:cs="Times New Roman" w:eastAsia="Times New Roman" w:hAnsi="Times New Roman"/>
          <w:sz w:val="18"/>
          <w:szCs w:val="18"/>
          <w:color w:val="auto"/>
        </w:rPr>
        <w:t xml:space="preserve"> of the Company Disclosure Letter after reasonable inquiry of such individuals’ direct reports;</w:t>
      </w:r>
    </w:p>
    <w:p>
      <w:pPr>
        <w:spacing w:after="0" w:line="161"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77"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Agreement</w:t>
      </w:r>
      <w:r>
        <w:rPr>
          <w:rFonts w:ascii="Times New Roman" w:cs="Times New Roman" w:eastAsia="Times New Roman" w:hAnsi="Times New Roman"/>
          <w:sz w:val="18"/>
          <w:szCs w:val="18"/>
          <w:color w:val="auto"/>
        </w:rPr>
        <w:t>” means the undated lease agreement between N. Balakrishna, as lessor, and the Indian JV, as lessee, in respect of the Factory Premises for a term of 12 months commencing on October 30, 2024;</w:t>
      </w:r>
    </w:p>
    <w:p>
      <w:pPr>
        <w:spacing w:after="0" w:line="161" w:lineRule="exact"/>
        <w:rPr>
          <w:rFonts w:ascii="Times New Roman" w:cs="Times New Roman" w:eastAsia="Times New Roman" w:hAnsi="Times New Roman"/>
          <w:sz w:val="18"/>
          <w:szCs w:val="18"/>
          <w:color w:val="auto"/>
        </w:rPr>
      </w:pPr>
    </w:p>
    <w:p>
      <w:pPr>
        <w:ind w:left="4" w:right="260" w:firstLine="987"/>
        <w:spacing w:after="0" w:line="255" w:lineRule="auto"/>
        <w:tabs>
          <w:tab w:leader="none" w:pos="13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any statement in this Agreement to the effect that any information, document or other material has been “made available” (and any phrase of similar import when used herein) such that, with respect to such information, document or other material made available by the Company, (a) such information, document or material was made available prior to the execution of the Agreement in the virtual data room maintained by the Company in connection with the transactions contemplated by this Agreement or (b) such information, document or material was publicly filed by the Company on the SEC EDGAR database in unredacted form as an exhibit to its most recent Annual Report on Form 10-K, a Quarterly Report on Form 10-Q filed after such Annual Report, or in a Current Report on Form 8-K, in each case of clause (a) and (b), at least one Business Day prior to the date of this Agreement;</w:t>
      </w:r>
    </w:p>
    <w:p>
      <w:pPr>
        <w:spacing w:after="0" w:line="188" w:lineRule="exact"/>
        <w:rPr>
          <w:rFonts w:ascii="Times New Roman" w:cs="Times New Roman" w:eastAsia="Times New Roman" w:hAnsi="Times New Roman"/>
          <w:sz w:val="18"/>
          <w:szCs w:val="18"/>
          <w:color w:val="auto"/>
        </w:rPr>
      </w:pPr>
    </w:p>
    <w:p>
      <w:pPr>
        <w:ind w:left="4" w:firstLine="987"/>
        <w:spacing w:after="0" w:line="254" w:lineRule="auto"/>
        <w:tabs>
          <w:tab w:leader="none" w:pos="13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event, change, occurrence or effect that, individually or in the aggregate, (a) has had or would reasonably be expected to have, as applicable, a material adverse effect on the business, assets, liabilities, financial or other condition or results of operations of the Company Group, taken as a whole, or (b) would prevent, materially delay or materially impair the performance by the Company of its obligations under this Agreement or the consummation of the Merger or any of the other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clause (a) above, no event, change, occurrence or effect directly or indirectly arising out of, attributable to or resulting from any of the following, alone or in combination, shall be deemed to constitute, or be taken into account in determining whether there has been or would or could be, a Material Adverse Effect: (1) any changes in general economic or business conditions or in the financial, debt, banking, capital, credit or securities markets, or in interest or exchange rates, in each case, in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9" w:name="page90"/>
    <w:bookmarkEnd w:id="8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United States or elsewhere in the world, (2) any changes in tariffs, in each case, in the United States or elsewhere in the world, (3) any changes or developments generally affecting the industries in which any member of the Company Group operates, (4) any actions expressly required under this Agreement to obtain any approval or authorization under applicable Antitrust Laws or Applicable Regulatory Laws for the consummation of the Merger or any of the other transactions contemplated hereby, (5) any adoption, implementation, modification, repeal, official interpretation of, or other changes in any applicable Laws, decrees, orders or other directives of any Governmental Entity (including any actions taken by any Governmental Entities in connection with any of the events set forth in clauses (9), (10) or (11) of this definition) or any changes in applicable accounting regulations or principles (including GAAP), or in official interpretations of any of the foregoing or any action required to be taken in order to comply with any change in, any Law or applicable accounting regulations or principles (including GAAP), or in any official interpretations of any of the foregoing, (6) any change in the market price or trading volume of the Shares, in and of itself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facts or occurrences giving rise to or contributing to such change that are not otherwise expressly excluded from the definition of “Material Adverse Effect” may be taken into account in determining whether there has been a Material Adverse Effect), (7) any failure by the Company to meet internal or published projections, forecasts or revenue or earnings predictions, in and of itself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facts or occurrences giving rise to or contributing to such failure that are not otherwise expressly excluded from the definition of “Material Adverse Effect” may be taken into account in determining whether there has been a Material Adverse Effect), (8) political, geopolitical, social or regulatory conditions, including any outbreak, continuation or escalation of any military conflict, declared or undeclared war, armed hostilities, civil unrest, public demonstrations, acts of sabotage, acts of foreign or domestic terrorism, malicious cyber-enabled activities, or governmental shutdown or slowdown, or any escalation or worsening of any such conditions existing as of the date of this Agreement, (9) national or international disaster or calamity, or governmental shutdown or slowdown, or any escalation or worsening of any such conditions existing as of the date of this Agreement, (10) any epidemic, pandemic or outbreak of disease, or any escalation or worsening of such conditions existing as of the date of this Agreement, (11) the announcement of this Agreement and the transactions contemplated hereby (other than for purposes of any representation or warranty contained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but subject to any disclosures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Company Disclosure Letter), and including any termination of, reduction in or similar negative impact on relationships, contractual or otherwise, with any customers, partners, service providers or any other party having business dealings with any member of the Company Group due to the announcement of this Agreement or the identity of Parent, (12) any action taken by any member of the Company Group, or which is expressly required by this Agreement (other than the obligation of the Company to operate in the ordinary course of business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or any comparable obligation hereunder), (13) any actions taken (or omitted to be taken) by any member of the Company Group at Parent’s written request or with the express written consent of Parent, (14) the availability or cost of equity, debt or other financing to Parent, Merger Sub or any of their respective Affiliates, or (15) any stockholder litigation (including any class action or derivative litigation) arising from or relating to this Agreement or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in the case of clauses (1), (2), (3), (5), (8), (9) and (10), such event, change, effect, development, condition or occurrence referred to therein shall be taken into account to the extent that the Company Group is disproportionately adversely affected as compared to other similarly situated participants in the industries in which the Company Group operates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such event, only the incremental disproportionate adverse impact shall be taken into account when determining whether there has been a “Material Adverse Effect”);</w:t>
      </w:r>
    </w:p>
    <w:p>
      <w:pPr>
        <w:spacing w:after="0" w:line="201" w:lineRule="exact"/>
        <w:rPr>
          <w:sz w:val="20"/>
          <w:szCs w:val="20"/>
          <w:color w:val="auto"/>
        </w:rPr>
      </w:pPr>
    </w:p>
    <w:p>
      <w:pPr>
        <w:ind w:right="560" w:firstLine="987"/>
        <w:spacing w:after="0" w:line="282" w:lineRule="auto"/>
        <w:tabs>
          <w:tab w:leader="none" w:pos="125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 Code</w:t>
      </w:r>
      <w:r>
        <w:rPr>
          <w:rFonts w:ascii="Times New Roman" w:cs="Times New Roman" w:eastAsia="Times New Roman" w:hAnsi="Times New Roman"/>
          <w:sz w:val="18"/>
          <w:szCs w:val="18"/>
          <w:color w:val="auto"/>
        </w:rPr>
        <w:t>” means computer programs in binary form that are intended to be directly executable by a computer after suitable processing and linking but without the intervening steps of compilation or assembly;</w:t>
      </w:r>
    </w:p>
    <w:p>
      <w:pPr>
        <w:spacing w:after="0" w:line="161" w:lineRule="exact"/>
        <w:rPr>
          <w:rFonts w:ascii="Times New Roman" w:cs="Times New Roman" w:eastAsia="Times New Roman" w:hAnsi="Times New Roman"/>
          <w:sz w:val="18"/>
          <w:szCs w:val="18"/>
          <w:color w:val="auto"/>
        </w:rPr>
      </w:pPr>
    </w:p>
    <w:p>
      <w:pPr>
        <w:ind w:right="300" w:firstLine="987"/>
        <w:spacing w:after="0" w:line="258" w:lineRule="auto"/>
        <w:tabs>
          <w:tab w:leader="none" w:pos="125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means a license that is considered an “Open Source License” by the Open Source Initiative (www.opensource.org) or is substantially similar to any such license, including, for example, the GNU General Public License (GPL), GNU Lesser General Public License (LGPL), Mozilla Public License (MPL),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90" w:name="page91"/>
    <w:bookmarkEnd w:id="90"/>
    <w:p>
      <w:pPr>
        <w:ind w:firstLine="987"/>
        <w:spacing w:after="0" w:line="282" w:lineRule="auto"/>
        <w:tabs>
          <w:tab w:leader="none" w:pos="13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Ordinary Course License</w:t>
      </w:r>
      <w:r>
        <w:rPr>
          <w:rFonts w:ascii="Times New Roman" w:cs="Times New Roman" w:eastAsia="Times New Roman" w:hAnsi="Times New Roman"/>
          <w:sz w:val="18"/>
          <w:szCs w:val="18"/>
          <w:color w:val="auto"/>
        </w:rPr>
        <w:t>” means a non-exclusive license of Intellectual Property Rights entered into between the Company or any of its Subsidiaries and a third party in the ordinary course of the Company’s business consistent with past practice;</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5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entity, the certificate of formation, limited liability company agreement or operating agreement, certificate of incorporation, bylaws, certificate of limited partnership, limited partnership agreement and any governing instrument equivalent to any of the foregoing, as applicable;</w:t>
      </w:r>
    </w:p>
    <w:p>
      <w:pPr>
        <w:spacing w:after="0" w:line="175"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 of the Money Option</w:t>
      </w:r>
      <w:r>
        <w:rPr>
          <w:rFonts w:ascii="Times New Roman" w:cs="Times New Roman" w:eastAsia="Times New Roman" w:hAnsi="Times New Roman"/>
          <w:sz w:val="18"/>
          <w:szCs w:val="18"/>
          <w:color w:val="auto"/>
        </w:rPr>
        <w:t>” means each Company Stock Option which has a per Share exercise price that is equal to or greater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w:t>
      </w:r>
    </w:p>
    <w:p>
      <w:pPr>
        <w:spacing w:after="0" w:line="206" w:lineRule="exact"/>
        <w:rPr>
          <w:rFonts w:ascii="Times New Roman" w:cs="Times New Roman" w:eastAsia="Times New Roman" w:hAnsi="Times New Roman"/>
          <w:sz w:val="18"/>
          <w:szCs w:val="18"/>
          <w:color w:val="auto"/>
        </w:rPr>
      </w:pPr>
    </w:p>
    <w:p>
      <w:pPr>
        <w:ind w:right="280" w:firstLine="987"/>
        <w:spacing w:after="0" w:line="266" w:lineRule="auto"/>
        <w:tabs>
          <w:tab w:leader="none" w:pos="13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event, change, occurrence or effect that would prevent, materially delay or materially impair the performance by Parent or Merger Sub of its obligations under this Agreement or the consummation of the Merger or any of the other transactions contemplated hereby;</w:t>
      </w:r>
    </w:p>
    <w:p>
      <w:pPr>
        <w:spacing w:after="0" w:line="175" w:lineRule="exact"/>
        <w:rPr>
          <w:rFonts w:ascii="Times New Roman" w:cs="Times New Roman" w:eastAsia="Times New Roman" w:hAnsi="Times New Roman"/>
          <w:sz w:val="18"/>
          <w:szCs w:val="18"/>
          <w:color w:val="auto"/>
        </w:rPr>
      </w:pPr>
    </w:p>
    <w:p>
      <w:pPr>
        <w:ind w:right="40" w:firstLine="987"/>
        <w:spacing w:after="0" w:line="256" w:lineRule="auto"/>
        <w:tabs>
          <w:tab w:leader="none" w:pos="13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 means (a) statutory Liens securing payments not yet due or the amount or validity of which is being contested in good faith by appropriate proceedings and for which an adequate reserve has been provided on the appropriate financial statements in accordance with GAAP, (b) Liens arising under worker’s compensation, unemployment insurance, social security, retirement and similar legislation, (c) Liens that would be disclosed by a search of Uniform Commercial Code filings in Delaware and (d) such imperfections or irregularities in title, easements, rights of way and other Liens, whether or not of record, that do not and would not, individually or in the aggregate, reasonably be expected to materially impair the value of or continued use and operation of the properties or assets subject thereto for the purposes for which they are currently being used;</w:t>
      </w:r>
    </w:p>
    <w:p>
      <w:pPr>
        <w:spacing w:after="0" w:line="187" w:lineRule="exact"/>
        <w:rPr>
          <w:rFonts w:ascii="Times New Roman" w:cs="Times New Roman" w:eastAsia="Times New Roman" w:hAnsi="Times New Roman"/>
          <w:sz w:val="18"/>
          <w:szCs w:val="18"/>
          <w:color w:val="auto"/>
        </w:rPr>
      </w:pPr>
    </w:p>
    <w:p>
      <w:pPr>
        <w:ind w:right="260" w:firstLine="987"/>
        <w:spacing w:after="0" w:line="282" w:lineRule="auto"/>
        <w:tabs>
          <w:tab w:leader="none" w:pos="13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any Governmental Entity;</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3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relating to an identified or identifiable natural person, and any information that is defined as “personal information,” “personal data,” “personally identifiable information” or any analogous term under any applicable Privacy Law, including a person’s name, street address, telephone number, e-mail address, date of birth, gender, photograph, Social Security Number or tax identification number, driver’s license number, passport number, credit card number, bank account information and other financial information, account numbers, account access codes and passwords, biometric data, unique device identifiers, IP addresses, geolocation data, browsing history, cookie identifiers, advertising identifiers, any household or device information that can be linked to an individual, or any other piece of information that enables access to such person’s financial information or that otherwise enables the identification of a natural person, to the extent that such data constitutes Personal Data under applicable Law, or as that term is otherwise defined by applicable Law;</w:t>
      </w:r>
    </w:p>
    <w:p>
      <w:pPr>
        <w:spacing w:after="0" w:line="191" w:lineRule="exact"/>
        <w:rPr>
          <w:rFonts w:ascii="Times New Roman" w:cs="Times New Roman" w:eastAsia="Times New Roman" w:hAnsi="Times New Roman"/>
          <w:sz w:val="18"/>
          <w:szCs w:val="18"/>
          <w:color w:val="auto"/>
        </w:rPr>
      </w:pPr>
    </w:p>
    <w:p>
      <w:pPr>
        <w:ind w:right="40" w:firstLine="987"/>
        <w:spacing w:after="0" w:line="282" w:lineRule="auto"/>
        <w:tabs>
          <w:tab w:leader="none" w:pos="127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w:t>
      </w:r>
      <w:r>
        <w:rPr>
          <w:rFonts w:ascii="Times New Roman" w:cs="Times New Roman" w:eastAsia="Times New Roman" w:hAnsi="Times New Roman"/>
          <w:sz w:val="18"/>
          <w:szCs w:val="18"/>
          <w:color w:val="auto"/>
        </w:rPr>
        <w:t>” means any applicable Laws governing the Company’s or any of its Subsidiaries’ collection, generation, receipt, access, use, retention, transfer, sharing, entrusted processing, deletion, disclosure, protection, storage or security of Personal Data;</w:t>
      </w:r>
    </w:p>
    <w:p>
      <w:pPr>
        <w:spacing w:after="0" w:line="161" w:lineRule="exact"/>
        <w:rPr>
          <w:rFonts w:ascii="Times New Roman" w:cs="Times New Roman" w:eastAsia="Times New Roman" w:hAnsi="Times New Roman"/>
          <w:sz w:val="18"/>
          <w:szCs w:val="18"/>
          <w:color w:val="auto"/>
        </w:rPr>
      </w:pPr>
    </w:p>
    <w:p>
      <w:pPr>
        <w:jc w:val="both"/>
        <w:ind w:right="280" w:firstLine="987"/>
        <w:spacing w:after="0" w:line="266" w:lineRule="auto"/>
        <w:tabs>
          <w:tab w:leader="none" w:pos="12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all United States, international and foreign: (i) Patents; (ii) Trademarks; (iii) Copyrights; and (iv) any other Intellectual Property Rights, in each case, that are the subject of an application, certificate, filing, registration or other document issued, filed with, or recorded by any state, government or other public legal authority;</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5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Breach</w:t>
      </w:r>
      <w:r>
        <w:rPr>
          <w:rFonts w:ascii="Times New Roman" w:cs="Times New Roman" w:eastAsia="Times New Roman" w:hAnsi="Times New Roman"/>
          <w:sz w:val="18"/>
          <w:szCs w:val="18"/>
          <w:color w:val="auto"/>
        </w:rPr>
        <w:t>” means the accidental, unauthorized or unlawful destruction, loss, alteration, use, disclosure of, or access to, Personal Data transmitted, stored or otherwise processed by or on behalf of the Company or any of its Subsidiaries, or any unlawful access to the IT Systems of the Company or any of its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91" w:name="page92"/>
    <w:bookmarkEnd w:id="91"/>
    <w:p>
      <w:pPr>
        <w:ind w:left="1340" w:hanging="353"/>
        <w:spacing w:after="0"/>
        <w:tabs>
          <w:tab w:leader="none" w:pos="1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means the share purchase agreement dated February 5, 2008 among the Company, the Indian Promoters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Indian JV;</w:t>
      </w:r>
    </w:p>
    <w:p>
      <w:pPr>
        <w:spacing w:after="0" w:line="206" w:lineRule="exact"/>
        <w:rPr>
          <w:rFonts w:ascii="Times New Roman" w:cs="Times New Roman" w:eastAsia="Times New Roman" w:hAnsi="Times New Roman"/>
          <w:sz w:val="18"/>
          <w:szCs w:val="18"/>
          <w:color w:val="auto"/>
        </w:rPr>
      </w:pPr>
    </w:p>
    <w:p>
      <w:pPr>
        <w:ind w:right="220" w:firstLine="987"/>
        <w:spacing w:after="0" w:line="256" w:lineRule="auto"/>
        <w:tabs>
          <w:tab w:leader="none" w:pos="13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(a) computer programs, including any and all software implementations of algorithms, models and methodologies, firmware, compilers, higher level or “proprietary” languages, data files, application programming interfaces (APIs), tool sets and user interfaces, in each case whether in Source Code or Object Code, (b) databases and compilations, including any and all data and collections of data, whether machine readable or otherwise, (c) descriptions, flow-charts and other work product used to design, plan, organize and develop any of the foregoing, (d) user documentation, including user manuals and training materials, relating to any of the foregoing, and (e) artificial intelligence and machine learning models;</w:t>
      </w:r>
    </w:p>
    <w:p>
      <w:pPr>
        <w:spacing w:after="0" w:line="187" w:lineRule="exact"/>
        <w:rPr>
          <w:rFonts w:ascii="Times New Roman" w:cs="Times New Roman" w:eastAsia="Times New Roman" w:hAnsi="Times New Roman"/>
          <w:sz w:val="18"/>
          <w:szCs w:val="18"/>
          <w:color w:val="auto"/>
        </w:rPr>
      </w:pPr>
    </w:p>
    <w:p>
      <w:pPr>
        <w:ind w:right="220" w:firstLine="987"/>
        <w:spacing w:after="0" w:line="266" w:lineRule="auto"/>
        <w:tabs>
          <w:tab w:leader="none" w:pos="141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Source Code</w:t>
      </w:r>
      <w:r>
        <w:rPr>
          <w:rFonts w:ascii="Times New Roman" w:cs="Times New Roman" w:eastAsia="Times New Roman" w:hAnsi="Times New Roman"/>
          <w:sz w:val="18"/>
          <w:szCs w:val="18"/>
          <w:color w:val="auto"/>
        </w:rPr>
        <w:t>” means computer programs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75"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3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(a) stock or other equity interests having ordinary voting power to elect more than 50% of the board of directors or other governing body are owned, directly or indirectly, by such first Person, or (b) more than 50% of the outstanding equity or financial interests of which are owned, directly or indirectly, by such first Person;</w:t>
      </w:r>
    </w:p>
    <w:p>
      <w:pPr>
        <w:spacing w:after="0" w:line="175" w:lineRule="exact"/>
        <w:rPr>
          <w:rFonts w:ascii="Times New Roman" w:cs="Times New Roman" w:eastAsia="Times New Roman" w:hAnsi="Times New Roman"/>
          <w:sz w:val="18"/>
          <w:szCs w:val="18"/>
          <w:color w:val="auto"/>
        </w:rPr>
      </w:pPr>
    </w:p>
    <w:p>
      <w:pPr>
        <w:ind w:right="220" w:firstLine="987"/>
        <w:spacing w:after="0" w:line="266" w:lineRule="auto"/>
        <w:tabs>
          <w:tab w:leader="none" w:pos="13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provincial, local or foreign tax or other assessment of any kind in the nature of a tax imposed by a Governmental Entity, and all interest, penalties and additions imposed with respect to such amounts (including on account of any failure to file, or the improper filing of, any Tax Return);</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31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domestic or foreign (whether national, federal, state, provincial, local or otherwise) returns, declarations, statements, reports, schedules, forms and information returns filed with or submitted to, any Governmental Entity in connection with the determination, assessment, collection or payment of any Taxes or in connection with the administration, implementation or enforcement of or compliance with any Law relating to any Tax, including any amendments thereof and attachments thereto;</w:t>
      </w:r>
    </w:p>
    <w:p>
      <w:pPr>
        <w:spacing w:after="0" w:line="180" w:lineRule="exact"/>
        <w:rPr>
          <w:sz w:val="20"/>
          <w:szCs w:val="20"/>
          <w:color w:val="auto"/>
        </w:rPr>
      </w:pPr>
    </w:p>
    <w:p>
      <w:pPr>
        <w:jc w:val="both"/>
        <w:ind w:right="20" w:firstLine="987"/>
        <w:spacing w:after="0" w:line="266" w:lineRule="auto"/>
        <w:tabs>
          <w:tab w:leader="none" w:pos="13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successor or final Treasury Regulations; and</w:t>
      </w:r>
    </w:p>
    <w:p>
      <w:pPr>
        <w:spacing w:after="0" w:line="175" w:lineRule="exact"/>
        <w:rPr>
          <w:rFonts w:ascii="Times New Roman" w:cs="Times New Roman" w:eastAsia="Times New Roman" w:hAnsi="Times New Roman"/>
          <w:sz w:val="18"/>
          <w:szCs w:val="18"/>
          <w:color w:val="auto"/>
        </w:rPr>
      </w:pPr>
    </w:p>
    <w:p>
      <w:pPr>
        <w:ind w:right="60" w:firstLine="987"/>
        <w:spacing w:after="0" w:line="255" w:lineRule="auto"/>
        <w:tabs>
          <w:tab w:leader="none" w:pos="142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xml:space="preserve">” means: (a) a Willful Breach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shall have occurred; (b) the Company Board shall have effected an Adverse Recommendation Change; (c) the Company shall have failed to include in the Schedule 14D-9 the Company Recommendation; (d) a tender or exchange offer relating to the Shares (other than the Offer) shall have been commenced and the Company shall not have sent to its stockholders, within 10 Business Days after the commencement of such tender or exchange offer, a statement disclosing that the Company recommends rejection of such tender or exchange offer and reaffirming the Company Recommendation; or (e) following the date any Acquisition Proposal or any material modification thereto is first publicly announced, the Company Board fails to publicly reaffirm the Company Recommendation within seven Business Days after receipt of a written request from Parent to do so.</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2" w:name="page93"/>
    <w:bookmarkEnd w:id="92"/>
    <w:p>
      <w:pPr>
        <w:ind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The phrase “in the ordinary course” or “in the ordinary course of business” with respect to a Person shall mean in the ordinary and usual course of business of such Person consistent with the past practice (to the extent past practice exists with respect to the applicable matter) of such Person. Unless the context requires otherwise, references to any specific legislation or to any provision of any legislation shall include any amendment to, and any modification or re-enactment thereof, any legislative provision substituted therefor and all regulations and statutory instruments issued or promulgated thereunder or pursuant thereto.</w:t>
      </w:r>
    </w:p>
    <w:p>
      <w:pPr>
        <w:spacing w:after="0" w:line="17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and Annexes hereto, the Company Disclosure Letter, the documents and instruments relating to the Offer and the Merger referred to in this Agreement), the Confidentiality Agreement and the Support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w:t>
      </w:r>
    </w:p>
    <w:p>
      <w:pPr>
        <w:spacing w:after="0" w:line="180"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This Agreement is not intended to, and shall not, create any agreement of employment with any person or confer upon any other Person other than the parties and their respective successors and permitted assigns any legal or equitable right, benefit or remedy of any nature whatsoever under or by reason of this Agreement, except (a) from and after the Effective Time, with respect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which shall inure to the benefit of the Persons benefiting therefrom who are intended to be third party beneficiaries thereof, (b) prior to the Effective Time, for the right of the Company, on its own behalf and on behalf of and as agent for its stockholders, to pursue specific performance as set forth in and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(c) if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for the right of the Company, on its own behalf and on behalf of and as agent for its stockholders, to pursue damages as a result of Fraud or a Willful Breach by Parent or Merger Sub (it being agreed that in no event shall any such stockholder be entitled to enforce any of their rights, or any of Parent’s or Merger Sub’s obligations, under this Agreement in the event of any such breach, but rather the Company shall have the sole and exclusive right, to the fullest extent permitted by applicable Law, to do so as agent for such stockholders (it being understood and agreed that any and all interests in the recovery of such losses or any such claim shall attach to the Shares and subsequently be transferred therewith)), and (d) if the Effective Time occurs, (i) the right of the Company stockholders to receive the Merger Consideration, and (ii) the rights of holders of Company Equity Awards to receive the payments contemplated by the applicable provisions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 each case, on the terms and subject to the conditions of this Agreement. The representations and warranties in this Agreement are the product of negotiations among the parties hereto.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or the characterization of actual facts or circumstances as of the date of this Agreement or as of any other date.</w:t>
      </w:r>
    </w:p>
    <w:p>
      <w:pPr>
        <w:spacing w:after="0" w:line="19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causes of action arising out of or relating to this Agreement, the negotiation, execution or performance of this Agreement or the transactions contemplated hereby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93" w:name="page94"/>
    <w:bookmarkEnd w:id="9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9.10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Each of the parties hereby irrevocably submits to the jurisdiction of the Court of Chancery of the State of Delaware (and, in the case of appeals, the appropriate appellate court therefrom) for itself and with respect to its property, generally and unconditionally, with regard to any such action or proceeding arising out of or relating to this Agreement and the transactions contemplated hereby. Each of the parties agrees not to commence any action or proceeding relating thereto except in the Court of Chancery of the State of Delaware (and, in the case of appeals, the appropriate appellate court therefrom), other than actions, suits or proceedings in any court of competent jurisdiction to enforce any judgment, decree or award rendered by any such court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 of Chancery of the State of Delaware (and, in the case of appeals, the appropriate appellate court therefrom)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such action or proceeding in any such court is brought in an inconvenient forum, (ii) the venue of such action or proceeding is improper or (iii) this Agreement, or the subject matter hereof, may not be enforced in or by such courts.</w:t>
      </w:r>
    </w:p>
    <w:p>
      <w:pPr>
        <w:spacing w:after="0" w:line="19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except that Merger Sub may assign, in its sole discretion and without the consent of the Company, any or all of its rights, interests and obligations under this Agreement to any one or more direct or indirect wholly owned Subsidiaries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assignment shall relieve Merger Sub of any of its obligations under this Agreement. Subject to the preceding sentence, this Agreement will be binding upon, inure to the benefit of, and be enforceable by, the parties and their respective successors and assigns, and Parent shall provide prompt written notice of any such assignment to the Company.</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would occur in the event that any of the provisions of this Agreement were not performed in accordance with their specific terms or were otherwise breached and that money damages or other legal remedies would not be an adequate remedy. Accordingly, each of the Company (on behalf of itself and on behalf of the holders of Shares as third party beneficiaries under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Parent and Merger Sub shall be entitled to specific performance of the terms hereof, including an injunction or injunctions to prevent breaches of this Agreement and to enforce specifically the terms and provisions of this Agreement in the Court of Chancery of the State of Delaware (and, in the case of appeals, the appropriate appellate court therefrom). Each of the parties hereby further waives (a) any defense in any action for specific performance that a remedy at law would be adequate and (b) any requirement under any Law to post security as a prerequisite to obtaining equitable relief.</w:t>
      </w:r>
    </w:p>
    <w:p>
      <w:pPr>
        <w:spacing w:after="0" w:line="19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references to “dollars” or “$” or “US$” in this Agreement refer to United States dollars, which is the currency used for all purposes in this Agreement.</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4" w:name="page95"/>
    <w:bookmarkEnd w:id="94"/>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76" w:lineRule="exact"/>
        <w:rPr>
          <w:sz w:val="20"/>
          <w:szCs w:val="20"/>
          <w:color w:val="auto"/>
        </w:rPr>
      </w:pPr>
    </w:p>
    <w:p>
      <w:pPr>
        <w:ind w:right="4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4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This Agreement may be executed electronically (including by means of .pdf or similar graphic reproduction format or by means of digital signature software, e.g. DocuSign or Adobe Sign) and delivered by e-mail or other similar means of electronic transmission, and any electronic signature shall constitute an original for all purposes.</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Parent, Merger Sub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and any controversy over interpretations of this Agreement shall be decided without regard to events of drafting or preparation.</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60"/>
          </w:cols>
          <w:pgMar w:left="440" w:top="270" w:right="499" w:bottom="1440" w:gutter="0" w:footer="0" w:header="0"/>
        </w:sectPr>
      </w:pPr>
    </w:p>
    <w:bookmarkStart w:id="95" w:name="page96"/>
    <w:bookmarkEnd w:id="9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96" w:name="page97"/>
    <w:bookmarkEnd w:id="9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CONDITIONS TO THE OFFER</w:t>
      </w:r>
    </w:p>
    <w:p>
      <w:pPr>
        <w:spacing w:after="0" w:line="20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not otherwise defined shall have the respective meanings assigned thereto in the Agreement and Plan of Merger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term of the Offer or the Merger Agreement, Merger Sub shall not be required to accept for payment (and Parent shall not be required to cause Merger Sub to accept for payment) or, subject to any applicable rules and regulations of the SEC, including Rule 14e-1(c) under the Exchange Act (relating to Merger Sub’s obligation to pay for or return tendered Shares promptly after the termination or withdrawal of the Offer), to pay for any Shares validly tendered and not validly withdrawn prior to the then-scheduled Expiration Date in connection with the Offer if, as of immediately prior to the expiration of the Offer:</w:t>
      </w:r>
    </w:p>
    <w:p>
      <w:pPr>
        <w:spacing w:after="0" w:line="75" w:lineRule="exact"/>
        <w:rPr>
          <w:sz w:val="20"/>
          <w:szCs w:val="20"/>
          <w:color w:val="auto"/>
        </w:rPr>
      </w:pPr>
    </w:p>
    <w:p>
      <w:pPr>
        <w:ind w:left="4" w:right="20" w:firstLine="987"/>
        <w:spacing w:after="0" w:line="261" w:lineRule="auto"/>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validly tendered and “received” (as such term is defined in Section 251(h) of the DGCL) and not validly withdrawn in accordance with the terms of the Offer a number of Shares that, together with the Shares, if any, then beneficially owned by Merger Sub or its “affiliates” (as such term is defined in Section 251(h) of the DGCL), would represent at least one Share more than 50% of the number of Shares that are issued and outstanding at the Acceptance Time (such condition in this clause (a) being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 w:right="80" w:firstLine="987"/>
        <w:spacing w:after="0" w:line="281" w:lineRule="auto"/>
        <w:tabs>
          <w:tab w:leader="none" w:pos="125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following notification of the Offer and Merger in accordance with the NSIA and the Merger Agreement, the Secretary of State notifies EnerSys Advanced Systems Inc. pursuant to section 14(8)(b)(ii) of the NSIA that no further action will be taken; or (ii) if the transaction is called in under the NSIA, either: (A) the Secretary of State gives a final notification confirming that no further action will be taken; or (B) the Secretary of State makes a final order permitting the Offer and Merger to proceed subject to certain remedies or requirements which are acceptable to the Parent;</w:t>
      </w:r>
    </w:p>
    <w:p>
      <w:pPr>
        <w:spacing w:after="0" w:line="164" w:lineRule="exact"/>
        <w:rPr>
          <w:rFonts w:ascii="Times New Roman" w:cs="Times New Roman" w:eastAsia="Times New Roman" w:hAnsi="Times New Roman"/>
          <w:sz w:val="17"/>
          <w:szCs w:val="17"/>
          <w:color w:val="auto"/>
        </w:rPr>
      </w:pPr>
    </w:p>
    <w:p>
      <w:pPr>
        <w:ind w:left="4" w:right="260" w:firstLine="987"/>
        <w:spacing w:after="0" w:line="282" w:lineRule="auto"/>
        <w:tabs>
          <w:tab w:leader="none" w:pos="12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waiting period under the HSR Act (and any extensions thereof) applicable to the acquisition by Merger Sub of Shares pursuant to the Offer and the consummation of the Merger shall not have expired or been terminated;</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clearance, approval, consent, decision or expiration or termination of a waiting period under any applicable Law of any jurisdiction other than the United States shall not have been obtained, expired or terminated, as applicable, and remain in full force and effect; or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conditions shall exist or shall have occurred and be continuing:</w:t>
      </w:r>
    </w:p>
    <w:p>
      <w:pPr>
        <w:spacing w:after="0" w:line="117" w:lineRule="exact"/>
        <w:rPr>
          <w:rFonts w:ascii="Times New Roman" w:cs="Times New Roman" w:eastAsia="Times New Roman" w:hAnsi="Times New Roman"/>
          <w:sz w:val="18"/>
          <w:szCs w:val="18"/>
          <w:color w:val="auto"/>
        </w:rPr>
      </w:pPr>
    </w:p>
    <w:p>
      <w:pPr>
        <w:ind w:left="4" w:firstLine="1428"/>
        <w:spacing w:after="0" w:line="261" w:lineRule="auto"/>
        <w:tabs>
          <w:tab w:leader="none" w:pos="1651"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Restraint in effect enjoining, restraining, preventing or prohibiting the making of the Offer or the consummation of the Merger or the Offer, or any Governmental Entity of competent jurisdiction shall have instituted (or has notified Parent, Merger Sub or the Company in writing that it intends to institute) any Action that would be (or would reasonably be expected to impose) a Restraint on the making of the Offer or the consummation of the Offer or the Merger;</w:t>
      </w:r>
    </w:p>
    <w:p>
      <w:pPr>
        <w:spacing w:after="0" w:line="179" w:lineRule="exact"/>
        <w:rPr>
          <w:rFonts w:ascii="Times New Roman" w:cs="Times New Roman" w:eastAsia="Times New Roman" w:hAnsi="Times New Roman"/>
          <w:sz w:val="18"/>
          <w:szCs w:val="18"/>
          <w:color w:val="auto"/>
        </w:rPr>
      </w:pPr>
    </w:p>
    <w:p>
      <w:pPr>
        <w:ind w:left="4" w:right="80" w:firstLine="1428"/>
        <w:spacing w:after="0" w:line="270" w:lineRule="auto"/>
        <w:tabs>
          <w:tab w:leader="none" w:pos="1701"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Company shall have breached or failed to comply with any of its obligations, covenants or agreements under the Merger Agreement, or (B) (1) the representations and warranties of the Company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(Capital Stock) of the Merger Agreement are not true and correct in all respects as of the date of this Agreement and as of the Expiration Date as though made as of the Expiration Date (except to the extent such representations and warranties expressly relate to an earlier date, in which case as of such earlier date), except for only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inaccuracies,</w:t>
      </w:r>
    </w:p>
    <w:p>
      <w:pPr>
        <w:spacing w:after="0" w:line="2" w:lineRule="exact"/>
        <w:rPr>
          <w:rFonts w:ascii="Times New Roman" w:cs="Times New Roman" w:eastAsia="Times New Roman" w:hAnsi="Times New Roman"/>
          <w:sz w:val="17"/>
          <w:szCs w:val="17"/>
          <w:color w:val="auto"/>
        </w:rPr>
      </w:pPr>
    </w:p>
    <w:p>
      <w:pPr>
        <w:ind w:left="4" w:right="500" w:hanging="4"/>
        <w:spacing w:after="0" w:line="260" w:lineRule="auto"/>
        <w:tabs>
          <w:tab w:leader="none" w:pos="2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Company Fundamental Representations are not true and correct in all material respects as of the date of this Agreement and as of the Expiration Date as though made as of the Expiration Date (except to the extent such representations and warranties expressly relate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66" w:right="459" w:bottom="1440" w:gutter="0" w:footer="0" w:header="0"/>
        </w:sectPr>
      </w:pPr>
    </w:p>
    <w:bookmarkStart w:id="97" w:name="page98"/>
    <w:bookmarkEnd w:id="9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an earlier date, in which case as of such earlier date), (3) the representations and warranties of the Company set forth in clause (ii)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(Absence of Certain Changes or Events) of the Merger Agreement are not true and correct as of the date of this Agreement and as of the Expiration Date as though made as of the Expiration Date (without disregarding the “Material Adverse Effect” qualification set forth therein), or (4) the representations and warranties of the Company set forth in the Merger Agreement (other than the representations and warranties of the Company set forth in the foregoing clauses (1), (2) and (3)) are not true and correct as of the date of this Agreement and as of the Expiration Date as though made as of the Expiration Date (except to the extent such representations and warranties expressly relate to an earlier date, in which case as of such earlier date), except for the failure of such representations or warranties to be so true and correct as would not, individually or in the aggregate, have a Material Adverse Effect (it being understood that, for purposes of determining the accuracy of such representations and warranties in this clause (4), all materiality, “Material Adverse Effect” and similar qualifiers set forth in such representations and warranties shall be disregarded);</w:t>
      </w:r>
    </w:p>
    <w:p>
      <w:pPr>
        <w:spacing w:after="0" w:line="188" w:lineRule="exact"/>
        <w:rPr>
          <w:sz w:val="20"/>
          <w:szCs w:val="20"/>
          <w:color w:val="auto"/>
        </w:rPr>
      </w:pPr>
    </w:p>
    <w:p>
      <w:pPr>
        <w:ind w:left="1740" w:hanging="312"/>
        <w:spacing w:after="0"/>
        <w:tabs>
          <w:tab w:leader="none" w:pos="17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been a Material Adverse Effect that is continuing;</w:t>
      </w:r>
    </w:p>
    <w:p>
      <w:pPr>
        <w:spacing w:after="0" w:line="225" w:lineRule="exact"/>
        <w:rPr>
          <w:rFonts w:ascii="Times New Roman" w:cs="Times New Roman" w:eastAsia="Times New Roman" w:hAnsi="Times New Roman"/>
          <w:sz w:val="18"/>
          <w:szCs w:val="18"/>
          <w:color w:val="auto"/>
        </w:rPr>
      </w:pPr>
    </w:p>
    <w:p>
      <w:pPr>
        <w:ind w:right="320" w:firstLine="1428"/>
        <w:spacing w:after="0" w:line="266" w:lineRule="auto"/>
        <w:tabs>
          <w:tab w:leader="none" w:pos="173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not have received a certificate of an executive officer of the Company, dated as of the then-scheduled Expiration Date, to the effect that the conditions set forth in the foregoing clauses (e)(ii) and (e)(iii) have been satisfied as of immediately prior to the expiration of the Offer; or</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shall have been validly terminated in accordance with its terms.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conditions set forth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for the sole benefit of Parent and Merger Sub and (except for the Minimum Condition and the condition in clause (e)(v)) may be waived by Parent or Merger Sub (in their sole discretion) in whole or in part at any time or from time to time on the terms and subject to the conditions of the Merger Agreement and the applicable rules and regulations of the SEC. The failure by Merger Sub or Parent at any time to exercise any of the foregoing rights shall not be deemed a waiver of any such right and each such right shall be deemed an ongoing right which may be asserted at any time and from time to time, subject to the applicable rules and regulations of the SEC.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TENDER AND SUPPORT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9019"/>
          </w:cols>
          <w:pgMar w:left="1440" w:top="266"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AND SUPPORT AGREEMENT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TENDER AND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27, 2026, is made by and among EnerSys,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EnerSys Mergersub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undersigned stockholders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 Ultralife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Stockholder is the beneficial owner (as defined in Rule 13d-3 under the Exchange Act) of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par value $0.10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of the Company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together with any shares of Common Stock of the Company that are hereafter issued to, or otherwise acquired or beneficially owned (as defined in Rule 13d-3 under the Exchange Act) by, Stockholder prior to the termination of this Agreement, are referred to herein as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hereof, Parent, Merger Sub and the Company are entering into an Agreement and Plan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dated as of the date hereof,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it may be amended from time to time in accordance with its terms,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provides, among other things, for Merger Sub to commence a cash tender offer to acquire all the outstanding shares of Common Stock of the Company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and, following the completion of the Offer,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the Merger Agreement;</w:t>
      </w:r>
    </w:p>
    <w:p>
      <w:pPr>
        <w:spacing w:after="0" w:line="179"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but not otherwise defined herein shall have the respective meanings ascribed to such terms in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to their willingness to enter into the Merger Agreement, Parent and Merger Sub have required that Stockholder,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inducement and in consideration therefor, Stockholder (solely in Stockholder’s capacity as a holder of the Subject Shares) has agreed to, enter into this Agreement.</w:t>
      </w:r>
    </w:p>
    <w:p>
      <w:pPr>
        <w:spacing w:after="0" w:line="171"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other good and valuable consideration, the receipt and sufficiency of which are hereby acknowledged, the parties hereto, intending to be legally bound, do hereby agree as follows: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TO TENDER AND VOTE</w:t>
      </w:r>
    </w:p>
    <w:p>
      <w:pPr>
        <w:spacing w:after="0" w:line="20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Agreement to Tender</w:t>
      </w:r>
      <w:r>
        <w:rPr>
          <w:rFonts w:ascii="Times New Roman" w:cs="Times New Roman" w:eastAsia="Times New Roman" w:hAnsi="Times New Roman"/>
          <w:sz w:val="18"/>
          <w:szCs w:val="18"/>
          <w:color w:val="auto"/>
        </w:rPr>
        <w:t>. Subject to the terms of this Agreement, Stockholder agrees to validly tender or cause to be tendered in the Offer all of Stockholder’s Subject Shares pursuant to and in accordance with the terms of the Offer, free and clear of all Encumbrances (other than Permitted Encumbrances). Without limiting the generality of the foregoing, as promptly as practicable after, but in no event later than 10 Business Days after, the commencement (within the meaning of Rule 14d-2 promulgated under the Exchange Act) of the Offer (or, if later, the date of delivery of the letter of transmittal with respect to the Offer), Stockholder shall (a) deliver pursuant to the terms of the Offer (i) a letter of transmittal with respect to Stockholder’s Subject Shares complying with the terms of the Offer, (ii) a Share Certificate (or affidavits of loss in lieu thereof) representing such Subject Shares, if applicable, or an “agent’s message” (or such other evidence, if any, of transfer as the Paying Agent may reasonably request) in the case of a book-entry share, and (iii) all other documents or instruments reasonably required to be delivered by stockholders of the Company pursuant to the terms of the Offer or (b) instruct Stockholder’s broker or such</w:t>
      </w:r>
    </w:p>
    <w:p>
      <w:pPr>
        <w:sectPr>
          <w:pgSz w:w="11900" w:h="16838" w:orient="portrait"/>
          <w:cols w:equalWidth="0" w:num="1">
            <w:col w:w="11020"/>
          </w:cols>
          <w:pgMar w:left="440" w:top="266" w:right="439" w:bottom="1440" w:gutter="0" w:footer="0" w:header="0"/>
        </w:sectPr>
      </w:pPr>
    </w:p>
    <w:bookmarkStart w:id="100" w:name="page101"/>
    <w:bookmarkEnd w:id="100"/>
    <w:p>
      <w:pPr>
        <w:ind w:left="4"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Person that is the holder of record of any Subject Shares beneficially owned (as defined in Rule 13d-3 under the Exchange Act) by Stockholder to tender such Subject Shares pursuant to and in accordance with clause (a) of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and the terms of the Offer. Stockholder agrees that, once any of Stockholder’s Subject Shares are tendered in accordance with the terms hereof, Stockholder will not withdraw any of such Subject Shares from the Offer, unless and until this Agreement shall have been validly terminated in accordance with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If (x) the Offer is terminated or withdrawn by Parent or Merger Sub, or (y) this Agreement is terminated in accordance with its terms, Parent and Merger Sub shall promptly return, or cause any depositary acting on behalf of Parent and Merger Sub to return, all Subject Shares tendered by Stockholder in the Offer to Stockholder. Notwithstanding the foregoing, for the avoidance of doubt, during any period in which the provisions of this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 xml:space="preserve"> do not apply pursuant to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Stockholder shall not be required to tender, or to refrain from withdrawing, any Subject Shares, and no such failure to tender or withdrawal shall constitute a breach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Stockholder shall tender (or re-tender) its Subject Shares to the extent required by, and in accordance with,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Agreement to Vote</w:t>
      </w:r>
      <w:r>
        <w:rPr>
          <w:rFonts w:ascii="Times New Roman" w:cs="Times New Roman" w:eastAsia="Times New Roman" w:hAnsi="Times New Roman"/>
          <w:sz w:val="18"/>
          <w:szCs w:val="18"/>
          <w:color w:val="auto"/>
        </w:rPr>
        <w:t xml:space="preserve">. Subject to the terms of this Agreement, Stockholder hereby irrevocably and unconditionally agrees that, from the period beginning on the date hereof and ending on the date that this Agreement is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Support Period</w:t>
      </w:r>
      <w:r>
        <w:rPr>
          <w:rFonts w:ascii="Times New Roman" w:cs="Times New Roman" w:eastAsia="Times New Roman" w:hAnsi="Times New Roman"/>
          <w:sz w:val="18"/>
          <w:szCs w:val="18"/>
          <w:color w:val="auto"/>
        </w:rPr>
        <w:t>”), at any annual or special meeting of the stockholders of the Company, however called, including any adjournment or postponement thereof, and in connection with any action proposed to be taken by written consent of the stockholders of the Company, in which the vote, consent or other approval of the stockholders of the Company is sought with respect to the Offer, the Merger, the Merger Agreement or any Acquisition Proposal, Stockholder shall, in each case to the fullest extent that Stockholder’s Subject Shares are entitled to vote thereon: (a) cause all such Subject Shares to be counted as present thereat for purposes of determining a quorum; and (b) be present (in person or by proxy) and vote (or cause to be voted) all of its Subject Shares</w:t>
      </w:r>
    </w:p>
    <w:p>
      <w:pPr>
        <w:spacing w:after="0" w:line="1" w:lineRule="exact"/>
        <w:rPr>
          <w:sz w:val="20"/>
          <w:szCs w:val="20"/>
          <w:color w:val="auto"/>
        </w:rPr>
      </w:pPr>
    </w:p>
    <w:p>
      <w:pPr>
        <w:ind w:left="224" w:hanging="224"/>
        <w:spacing w:after="0"/>
        <w:tabs>
          <w:tab w:leader="none" w:pos="2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change in the Company Board that is not recommended or approved by the Company Board, (ii) against any Acquisition Transaction and</w:t>
      </w:r>
    </w:p>
    <w:p>
      <w:pPr>
        <w:spacing w:after="0" w:line="9" w:lineRule="exact"/>
        <w:rPr>
          <w:rFonts w:ascii="Times New Roman" w:cs="Times New Roman" w:eastAsia="Times New Roman" w:hAnsi="Times New Roman"/>
          <w:sz w:val="18"/>
          <w:szCs w:val="18"/>
          <w:color w:val="auto"/>
        </w:rPr>
      </w:pPr>
    </w:p>
    <w:p>
      <w:pPr>
        <w:jc w:val="both"/>
        <w:ind w:left="4" w:right="120" w:hanging="4"/>
        <w:spacing w:after="0" w:line="253" w:lineRule="auto"/>
        <w:tabs>
          <w:tab w:leader="none" w:pos="31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other action that is intended (to the actual knowledge of Stockholder) or would reasonably be expected to impede or interfere with the Offer, the Merger or other transactions contemplated by the Merger Agreement. Until such Subject Shares are accepted in the Offer, Stockholder shall retain at all times the right to vote the Subject Shares in Stockholder’s sole discretion, and without any other limitation, on any matters other than those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that are at any time or from time to time presented for consideration to the Company’s stockholders generally.</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 OF STOCKHOLDER</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Stockholder represents and warrants to Parent and Merger Sub as follows:</w:t>
      </w:r>
    </w:p>
    <w:p>
      <w:pPr>
        <w:spacing w:after="0" w:line="113"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b w:val="1"/>
          <w:bCs w:val="1"/>
          <w:u w:val="single" w:color="auto"/>
          <w:color w:val="auto"/>
        </w:rPr>
        <w:t>Organization; Authorization; Binding Agreement</w:t>
      </w:r>
      <w:r>
        <w:rPr>
          <w:rFonts w:ascii="Times New Roman" w:cs="Times New Roman" w:eastAsia="Times New Roman" w:hAnsi="Times New Roman"/>
          <w:sz w:val="17"/>
          <w:szCs w:val="17"/>
          <w:color w:val="auto"/>
        </w:rPr>
        <w:t>. If an entity, Stockholder is duly organized, validly existing and in good standing under the Laws of the jurisdiction in which it is incorporated or constituted (to the extent such concepts are recognized in such jurisdiction) and the consummation of the transactions contemplated hereby are within Stockholder’s corporate or organizational powers and have been duly authorized by all necessary corporate or organizational actions on the part of Stockholder. Stockholder has full power and authority and, if an individual, full capacity to execute, deliver and perform this Agreement. This Agreement has been duly and validly executed and delivered by Stockholder, and constitutes a legal, valid and binding obligation of Stockholder enforceable against Stockholder in accordance with its terms (except as enforcement thereof may be limited against Stockholder by (a) bankruptcy, insolvency, reorganization, moratorium and similar Laws affecting the enforcement of creditors’ rights or remedies in general as from time to time in effect or (b) the exercise by courts of equity powers (the “</w:t>
      </w:r>
      <w:r>
        <w:rPr>
          <w:rFonts w:ascii="Times New Roman" w:cs="Times New Roman" w:eastAsia="Times New Roman" w:hAnsi="Times New Roman"/>
          <w:sz w:val="17"/>
          <w:szCs w:val="17"/>
          <w:u w:val="single" w:color="auto"/>
          <w:color w:val="auto"/>
        </w:rPr>
        <w:t>Bankruptcy and Equity Exception</w:t>
      </w:r>
      <w:r>
        <w:rPr>
          <w:rFonts w:ascii="Times New Roman" w:cs="Times New Roman" w:eastAsia="Times New Roman" w:hAnsi="Times New Roman"/>
          <w:sz w:val="17"/>
          <w:szCs w:val="17"/>
          <w:color w:val="auto"/>
        </w:rPr>
        <w:t>”).</w:t>
      </w:r>
    </w:p>
    <w:p>
      <w:pPr>
        <w:sectPr>
          <w:pgSz w:w="11900" w:h="16838" w:orient="portrait"/>
          <w:cols w:equalWidth="0" w:num="1">
            <w:col w:w="11004"/>
          </w:cols>
          <w:pgMar w:left="436" w:top="270" w:right="459" w:bottom="1440" w:gutter="0" w:footer="0" w:header="0"/>
        </w:sectPr>
      </w:pPr>
    </w:p>
    <w:bookmarkStart w:id="101" w:name="page102"/>
    <w:bookmarkEnd w:id="101"/>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b w:val="1"/>
          <w:bCs w:val="1"/>
          <w:u w:val="single" w:color="auto"/>
          <w:color w:val="auto"/>
        </w:rPr>
        <w:t>Non-Contravention</w:t>
      </w:r>
      <w:r>
        <w:rPr>
          <w:rFonts w:ascii="Times New Roman" w:cs="Times New Roman" w:eastAsia="Times New Roman" w:hAnsi="Times New Roman"/>
          <w:sz w:val="18"/>
          <w:szCs w:val="18"/>
          <w:color w:val="auto"/>
        </w:rPr>
        <w:t>. The execution and delivery of this Agreement by Stockholder does not, and the performance by Stockholder of Stockholder’s obligations hereunder and the consummation by Stockholder of the transactions contemplated hereby will not (a) violate any Law applicable to Stockholder or Stockholder’s Subject Shares, (b) except as may be required by applicable securities Laws, require any consent, approval, order, authorization or other action by, or filing with or notice to, any Person (including any Governmental Entity) under, constitute a default (with or without the giving of notice or the lapse of time or both) under, or give rise to any right of termination, cancellation or acceleration under, or result in the creation of any Encumbrances (other than Permitted Encumbrances) on any of the Subject Shares pursuant to, any Contract, agreement, trust, commitment, order, judgment, writ, stipulation, settlement, award, decree or other instrument binding on Stockholder or any applicable Law, or</w:t>
      </w:r>
    </w:p>
    <w:p>
      <w:pPr>
        <w:spacing w:after="0" w:line="1" w:lineRule="exact"/>
        <w:rPr>
          <w:sz w:val="20"/>
          <w:szCs w:val="20"/>
          <w:color w:val="auto"/>
        </w:rPr>
      </w:pPr>
    </w:p>
    <w:p>
      <w:pPr>
        <w:ind w:left="4" w:right="240" w:hanging="4"/>
        <w:spacing w:after="0" w:line="255" w:lineRule="auto"/>
        <w:tabs>
          <w:tab w:leader="none" w:pos="24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provision of Stockholder’s Organizational Documents, in case of each of clauses (a), (b) and (c), except as would not reasonably be expected to prevent or materially delay or materially impair the consummation by Stockholder of the transactions contemplated by this Agreement or otherwise adversely impact Stockholder’s ability to perform its obligations hereunder in any material respect.</w:t>
      </w:r>
    </w:p>
    <w:p>
      <w:pPr>
        <w:spacing w:after="0" w:line="182"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Ownership of Subject Shares; Total Shares</w:t>
      </w:r>
      <w:r>
        <w:rPr>
          <w:rFonts w:ascii="Times New Roman" w:cs="Times New Roman" w:eastAsia="Times New Roman" w:hAnsi="Times New Roman"/>
          <w:sz w:val="18"/>
          <w:szCs w:val="18"/>
          <w:color w:val="auto"/>
        </w:rPr>
        <w:t>. Stockholder is the beneficial owner (as defined in Rule 13d-3 under the Exchange Act) of Stockholder’s Subject Shares and has good and marketable title to such Subject Shares free and clear of any liens, claims, proxies, voting trusts or agreements, options, rights, understandings or arrangements or any other encumbrances or restrictions whatsoever on title, transfer or exercise of any rights of a stockholder in respect of such Subject Shares (collectively,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except as provided hereunder or pursuant to any applicable restrictions on transfer under applicable securities Laws (collectively,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b w:val="1"/>
          <w:bCs w:val="1"/>
          <w:u w:val="single" w:color="auto"/>
          <w:color w:val="auto"/>
        </w:rPr>
        <w:t>Voting Power</w:t>
      </w:r>
      <w:r>
        <w:rPr>
          <w:rFonts w:ascii="Times New Roman" w:cs="Times New Roman" w:eastAsia="Times New Roman" w:hAnsi="Times New Roman"/>
          <w:sz w:val="18"/>
          <w:szCs w:val="18"/>
          <w:color w:val="auto"/>
        </w:rPr>
        <w:t>. Other than as provided in this Agreement, Stockholder has full voting power with respect to all Stockholder’s Subject Shares, full power of disposition, full power to issue instructions with respect to the matters set forth herein and full power to agree to all of the matters set forth in this Agreement, in each case with respect to all of Stockholder’s Subject Shares. None of Stockholder’s Subject Shares are subject to any stockholders’ agreement, proxy, voting trust or other agreement or arrangement with respect to the voting of such Subject Shares, except as provided hereunder.</w:t>
      </w:r>
    </w:p>
    <w:p>
      <w:pPr>
        <w:spacing w:after="0" w:line="179"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b w:val="1"/>
          <w:bCs w:val="1"/>
          <w:u w:val="single" w:color="auto"/>
          <w:color w:val="auto"/>
        </w:rPr>
        <w:t>Reliance</w:t>
      </w:r>
      <w:r>
        <w:rPr>
          <w:rFonts w:ascii="Times New Roman" w:cs="Times New Roman" w:eastAsia="Times New Roman" w:hAnsi="Times New Roman"/>
          <w:sz w:val="18"/>
          <w:szCs w:val="18"/>
          <w:color w:val="auto"/>
        </w:rPr>
        <w:t>. Stockholder understands and acknowledges that Parent and Merger Sub are entering into the Merger Agreement in reliance upon Stockholder’s execution, delivery and performance of this Agreement.</w:t>
      </w:r>
    </w:p>
    <w:p>
      <w:pPr>
        <w:spacing w:after="0" w:line="155"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b w:val="1"/>
          <w:bCs w:val="1"/>
          <w:u w:val="single" w:color="auto"/>
          <w:color w:val="auto"/>
        </w:rPr>
        <w:t>Absence of Litigation</w:t>
      </w:r>
      <w:r>
        <w:rPr>
          <w:rFonts w:ascii="Times New Roman" w:cs="Times New Roman" w:eastAsia="Times New Roman" w:hAnsi="Times New Roman"/>
          <w:sz w:val="18"/>
          <w:szCs w:val="18"/>
          <w:color w:val="auto"/>
        </w:rPr>
        <w:t>. With respect to Stockholder, as of the date hereof, there is no Action pending against, or, to the knowledge of Stockholder, threatened against Stockholder in writing or any of Stockholder’s properties or assets (including the Subject Shares) that would reasonably be expected to prevent or materially delay or materially impair the consummation by Stockholder of the transactions contemplated by this Agreement or otherwise adversely impact Stockholder’s ability to perform its obligations hereunder in any material respect.</w:t>
      </w:r>
    </w:p>
    <w:p>
      <w:pPr>
        <w:spacing w:after="0" w:line="176" w:lineRule="exact"/>
        <w:rPr>
          <w:sz w:val="20"/>
          <w:szCs w:val="20"/>
          <w:color w:val="auto"/>
        </w:rPr>
      </w:pPr>
    </w:p>
    <w:p>
      <w:pPr>
        <w:jc w:val="both"/>
        <w:ind w:left="4" w:right="4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No broker, finder, financial advisor, investment banker or other Person is entitled to any brokerage, finder’s, financial advisor’s or other similar fee or commission in connection with the transactions contemplated hereby based upon arrangements made by or, to the knowledge of Stockholder, on behalf of Stockholder.</w:t>
      </w:r>
    </w:p>
    <w:p>
      <w:pPr>
        <w:sectPr>
          <w:pgSz w:w="11900" w:h="16838" w:orient="portrait"/>
          <w:cols w:equalWidth="0" w:num="1">
            <w:col w:w="10984"/>
          </w:cols>
          <w:pgMar w:left="436" w:top="266" w:right="479" w:bottom="1440" w:gutter="0" w:footer="0" w:header="0"/>
        </w:sectPr>
      </w:pPr>
    </w:p>
    <w:bookmarkStart w:id="102" w:name="page103"/>
    <w:bookmarkEnd w:id="10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of Parent and Merger Sub represents and warrants to Stockholder, jointly and severally, as follows:</w:t>
      </w:r>
    </w:p>
    <w:p>
      <w:pPr>
        <w:spacing w:after="0" w:line="113"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u w:val="single" w:color="auto"/>
          <w:color w:val="auto"/>
        </w:rPr>
        <w:t>Organization; Authorization</w:t>
      </w:r>
      <w:r>
        <w:rPr>
          <w:rFonts w:ascii="Times New Roman" w:cs="Times New Roman" w:eastAsia="Times New Roman" w:hAnsi="Times New Roman"/>
          <w:sz w:val="18"/>
          <w:szCs w:val="18"/>
          <w:color w:val="auto"/>
        </w:rPr>
        <w:t>. Each of Parent and Merger Sub is duly organized, validly existing and in good standing under the laws of the jurisdiction in which it is organized (in the case of good standing, to the extent the concept is recognized by such jurisdiction). The consummation of the transactions contemplated hereby are within each of Parent’s and Merger Sub’s corporate powers and have been duly authorized by all necessary corporate actions on the part of Parent and Merger Sub. Each of Parent and Merger Sub has all requisite corporate power and authority to execute and deliver this Agreement and to consummate the transactions contemplated hereby.</w:t>
      </w:r>
    </w:p>
    <w:p>
      <w:pPr>
        <w:spacing w:after="0" w:line="179"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u w:val="single" w:color="auto"/>
          <w:color w:val="auto"/>
        </w:rPr>
        <w:t>Binding Agreement</w:t>
      </w:r>
      <w:r>
        <w:rPr>
          <w:rFonts w:ascii="Times New Roman" w:cs="Times New Roman" w:eastAsia="Times New Roman" w:hAnsi="Times New Roman"/>
          <w:sz w:val="18"/>
          <w:szCs w:val="18"/>
          <w:color w:val="auto"/>
        </w:rPr>
        <w:t>. Each of Parent and Merger Sub has duly executed and delivered this Agreement, and this Agreement constitutes a legal, valid and binding obligation of each of Parent and Merger Sub, enforceable against Parent and Merger Sub in accordance with its terms (subject to the Bankruptcy and Equity Exception).</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COVENANTS OF STOCKHOLDER</w:t>
      </w:r>
    </w:p>
    <w:p>
      <w:pPr>
        <w:spacing w:after="0" w:line="203"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u w:val="single" w:color="auto"/>
          <w:color w:val="auto"/>
        </w:rPr>
        <w:t>No Transfer; No Inconsistent Arrangements</w:t>
      </w:r>
      <w:r>
        <w:rPr>
          <w:rFonts w:ascii="Times New Roman" w:cs="Times New Roman" w:eastAsia="Times New Roman" w:hAnsi="Times New Roman"/>
          <w:sz w:val="18"/>
          <w:szCs w:val="18"/>
          <w:color w:val="auto"/>
        </w:rPr>
        <w:t>. Except as provided hereunder or under the Merger Agreement, during the Support Period, Stockholder shall not, directly or indirectly, (a) create or permit to exist any Encumbrance (other than Permitted Encumbrances) on any or all of Stockholder’s Subject Shares, (b) other than to a Permitted Transferee (as defined below) or by operation of law, transfer, sell, assign, gift, hedge, pledge or otherwise dispose (whether by sale, liquidation, dissolution, dividend or distribution) of, or enter into any derivative arrangement with respect to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any of Stockholder’s Subject Shares, or any right or interest therein (or consent to any of the foregoing), (c) enter into any Contract with respect to any such Transfer (other than to a Permitted Transferee) of Stockholder’s Subject Shares or any interest therein, (d) grant or permit the grant of any proxy or power-of-attorney with respect to any of Stockholder’s Subject Shares, (e) deposit or permit the deposit of any of Stockholder’s Subject Shares into a voting trust or enter into a voting agreement or arrangement with respect to any of Stockholder’s Subject Shares, or</w:t>
      </w:r>
    </w:p>
    <w:p>
      <w:pPr>
        <w:spacing w:after="0" w:line="5" w:lineRule="exact"/>
        <w:rPr>
          <w:sz w:val="20"/>
          <w:szCs w:val="20"/>
          <w:color w:val="auto"/>
        </w:rPr>
      </w:pPr>
    </w:p>
    <w:p>
      <w:pPr>
        <w:ind w:left="4" w:right="20" w:hanging="4"/>
        <w:spacing w:after="0" w:line="251" w:lineRule="auto"/>
        <w:tabs>
          <w:tab w:leader="none" w:pos="22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take or permit any other action that would reasonably be expected to in any way restrict, limit or interfere with the performance of Stockholder’s obligations hereunder or the transactions contemplated hereby or otherwise make any representation or warranty of Stockholder herein untrue or incorrect in any material respect. Any action taken in violation of the foregoing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Stockholder agrees that any such prohibited action may be enjoined by Parent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Notwithstanding the foregoing, Stockholder may make Transfers of all or any of the Subject Shares (i) to any “Permitted Transferee”, in which case the Subject Shares shall continue to be bound by this Agreement and provided that any such Permitted Transferee agrees in writing to be bound by the terms and conditions of this Agreement prior to the consummation of any such Transfer or (ii) as Parent may otherwise agree in writing in its sole discretion. A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means, with respect to Stockholder, (i) any Affiliate of Stockholder, partner, member or equityholder of Stockholder, or any other investment fund controlled by the same management company, (ii) a spouse, lineal descendant or antecedent, brother or sister, child or grandchild, adopted child or grandchild, or the spouse of any child, adopted child, grandchild, or adopted grandchild of Stockholder, (iii) any charitable organization described in Section 170(c) of the Code, (iv) any trust, the beneficiaries of which include only Stockholder or the Persons named in clause (ii) or (iii) of this definition, or (v) any corporation, limited liability company, or partnership, the equity holders of which include only Stockholder or the Persons named in clause (ii) or (iii) of this definition;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a condition to such Transfer, any such Permitted Transferee shall have executed and delivered to Parent and Merger Sub, prior to the consummation of such Transfer, an agreement in writing, reasonably satisfactory in form and substance to Parent, pursuant to which such Person shall be bound by all of the terms and provisions of this Agreement applicable to a Stockholder with respect to the Subject Shares so Transferred.</w:t>
      </w:r>
    </w:p>
    <w:p>
      <w:pPr>
        <w:sectPr>
          <w:pgSz w:w="11900" w:h="16838" w:orient="portrait"/>
          <w:cols w:equalWidth="0" w:num="1">
            <w:col w:w="11004"/>
          </w:cols>
          <w:pgMar w:left="436" w:top="266" w:right="459" w:bottom="1440" w:gutter="0" w:footer="0" w:header="0"/>
        </w:sectPr>
      </w:pPr>
    </w:p>
    <w:bookmarkStart w:id="103" w:name="page104"/>
    <w:bookmarkEnd w:id="103"/>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b w:val="1"/>
          <w:bCs w:val="1"/>
          <w:u w:val="single" w:color="auto"/>
          <w:color w:val="auto"/>
        </w:rPr>
        <w:t>No Exercise of Appraisal Rights; Actions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Stockholder (a) waives and agrees not to exercise any appraisal rights in respect of Stockholder’s Subject Shares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(other than, if the Acceptance Time occurs, an Action with respect to Stockholder’s right under the Merger Agreement to receive the Offer Price and the Merger Consideration for the Subject Shares),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that the foregoing shall not restrict a Stockholder from enforcing any of its rights under this Agreement.</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b w:val="1"/>
          <w:bCs w:val="1"/>
          <w:u w:val="single" w:color="auto"/>
          <w:color w:val="auto"/>
        </w:rPr>
        <w:t>Documentation and 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and except as required by applicable Law (including without limitation the filing of a Schedule 13D with the SEC which may include this Agreement as an exhibit thereto), Stockholder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Stockholder consents to and hereby authorizes Parent and Merger Sub to publish and disclose in all documents and schedules filed with the SEC, and any press release or other disclosure document that Parent or Merger Sub reasonably determines to be necessary in connection with the Offer, the Merger and any transactions contemplated by the Merger Agreement, Stockholder’s identity and ownership of the Subject Shares, the existence of this Agreement and the nature of Stockholder’s commitments and obligations under this Agreement, and Stockholder acknowledges that Parent and Merger Sub may, in Parent’s sole discretion, file this Agreement or a form hereof with the SEC or any other Governmental Entity. Stockholder agrees to promptly give Parent any information it may reasonably require for the preparation of any such disclosure documents, and Stockholder agrees to promptly notify Parent of any required corrections with respect to any written information supplied by it specifically for use in any such disclosure document, if and to the extent that Stockholder shall become aware that any such information shall have become false or misleading in any material respect.</w:t>
      </w:r>
    </w:p>
    <w:p>
      <w:pPr>
        <w:spacing w:after="0" w:line="18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b w:val="1"/>
          <w:bCs w:val="1"/>
          <w:u w:val="single" w:color="auto"/>
          <w:color w:val="auto"/>
        </w:rPr>
        <w:t>No Solicitation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until the earlier of the Acceptance Time and the termination of this Agreement, Stockholder shall not, and shall cause its Subsidiaries not to, and shall instruct its and their respective Representatives not to, directly or indirectly including through another Person: (i) solicit, initiate or knowingly facilitate or encourage any proposal or inquiry that constitutes, or would reasonably be expected to lead to, an Acquisition Proposal; (ii) enter into, continue or participate in any discussions or any negotiations regarding any Acquisition Proposal or any proposal or inquiry that would reasonably be expected to lead to an Acquisition Proposal; (iii) approve, endorse or recommend an Acquisition Proposal or any letter of intent (whether binding or non-binding), memorandum of understanding or other Contract contemplating an Acquisition Proposal or that would reasonably be expected to lead the Company to abandon or terminate its obligations under the Merger Agreement; (iv) knowingly encourage or recommend any other holder of Common Stock to vote against the Merger or to not tender shares of Common Stock into the Offer; or (v) resolve, propose or agree to do any of the foregoing. Stockholder shall be responsible for any action taken by its Representatives acting in their authorized capacities on behalf of the Stockholder that would violate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if taken by Stockholder, it being agreed and understood that Representatives of the Company acting in their capacity</w:t>
      </w:r>
    </w:p>
    <w:p>
      <w:pPr>
        <w:sectPr>
          <w:pgSz w:w="11900" w:h="16838" w:orient="portrait"/>
          <w:cols w:equalWidth="0" w:num="1">
            <w:col w:w="11000"/>
          </w:cols>
          <w:pgMar w:left="440" w:top="266" w:right="459" w:bottom="1440" w:gutter="0" w:footer="0" w:header="0"/>
        </w:sectPr>
      </w:pPr>
    </w:p>
    <w:bookmarkStart w:id="104" w:name="page105"/>
    <w:bookmarkEnd w:id="10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such are not Representatives of Stockholder. Notwithstanding anything to the contrary provided in this Agreement, Stockholder and its Affiliates and Representatives shall not be prohibited from participating in any discussions or negotiations with respect to a possible tender and support, voting or similar agreement in connection with an Acquisition Proposal if, and only for so long as, the Company is permitted to take the actions set forth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of the Merger Agreement with respect to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Stockholder shall not enter into any such agreement unless and until this Agreement has been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In the event of any stock split, stock dividend, merger, reorganization, recapitalization, reclassification, combination, exchange of shares or similar transaction with respect to the capital stock of the Company that affects the Subject Shares, the terms of this Agreement shall apply to the resulting securities.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shall be in writing and shall be given (and shall be deemed to have been duly given upon receipt) by delivery by hand, by registered or certified mail (postage prepaid, return receipt requested), or by email to the respective parties at the following addresses (or at such other address for a party as shall be specified by like notice): (a) if to Parent or Merger Sub, in accordance with the provisions of the Merger Agreement and (b) if to Stockholder, to Stockholder’s address</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or e-mail address set forth on a signature page hereto, or to such other address or e-mail address as such party may hereafter specify in writing for the purpose by notice to each other party hereto.</w:t>
      </w:r>
    </w:p>
    <w:p>
      <w:pPr>
        <w:spacing w:after="0" w:line="17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xml:space="preserve">. This Agreement shall terminate automatically as to Stockholder and Parent and Merger Sub, without any notice or other action by any Person, upon the first to occur of (a) the termination of the Merger Agreement in accordance with Article VIII of the Merger Agreement, (b) the Effective Time, (c) the date of any modification, waiver or amendment to any provision of the Merger Agreement, without the prior written consent of Stockholder, that either (A) reduces the amount, or changes the form, of the Offer Price or Merger Consideration payable to, or imposes any additional material conditions on the payment of the Offer Price or Merger Consideration payable to, Stockholder pursuant to the Merger Agreement as in effect on the date hereof or (B) extends the Outside Date beyond the date contemplated by the Merger Agreement as in effect on the date hereof (for the avoidance of doubt, after giving effect to any extensions of the Outside Date in accordance with Section 8.1(b)(i) of the Merger Agreement as in effect on the date hereof), (d) the expiration of the Offer without Merger Sub having accepted for payment the Shares tendered in the Offer, and (e) the mutual written consent of Stockholder and Parent. In addition, upon an Adverse Recommendation Change made under and in compliance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Merger Agreement, the provisions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this Agreement shall not apply for so long as such Adverse Recommendation Change shall remain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Board withdraws such Adverse Recommendation Change and reaffirms the Company Recommendation (a “</w:t>
      </w:r>
      <w:r>
        <w:rPr>
          <w:rFonts w:ascii="Times New Roman" w:cs="Times New Roman" w:eastAsia="Times New Roman" w:hAnsi="Times New Roman"/>
          <w:sz w:val="18"/>
          <w:szCs w:val="18"/>
          <w:u w:val="single" w:color="auto"/>
          <w:color w:val="auto"/>
        </w:rPr>
        <w:t>Renewed Recommendation</w:t>
      </w:r>
      <w:r>
        <w:rPr>
          <w:rFonts w:ascii="Times New Roman" w:cs="Times New Roman" w:eastAsia="Times New Roman" w:hAnsi="Times New Roman"/>
          <w:sz w:val="18"/>
          <w:szCs w:val="18"/>
          <w:color w:val="auto"/>
        </w:rPr>
        <w:t xml:space="preserve">”), the provisions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this Agreement shall thereafter remain in full force and effect and Stockholder shall (to the extent its Subject Shares have been not yet tendered or been withdrawn), as promptly as practicable (and in any event within five Business Days, or such shorter period of time prior to the Expiration Date) thereafter, tender (or re-tender) its Subject Shares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there is an ongoing dispute between the Company and Parent regarding whether an Adverse Recommendation Change has been made in compliance with Section 6.4 of the Merger Agreement, then the provisions set forth in Article I of this Agreement shall not apply for so long (and only so long) as such dispute is ongoing, and once any such dispute is resolved that such Adverse Recommendation Change was not made in compliance with the Merger Agreement, the provisions set forth in Article I of this Agreement shall thereafter remain in full force and effect and</w:t>
      </w:r>
    </w:p>
    <w:p>
      <w:pPr>
        <w:sectPr>
          <w:pgSz w:w="11900" w:h="16838" w:orient="portrait"/>
          <w:cols w:equalWidth="0" w:num="1">
            <w:col w:w="11000"/>
          </w:cols>
          <w:pgMar w:left="440" w:top="270" w:right="459" w:bottom="1440" w:gutter="0" w:footer="0" w:header="0"/>
        </w:sectPr>
      </w:pPr>
    </w:p>
    <w:bookmarkStart w:id="105" w:name="page106"/>
    <w:bookmarkEnd w:id="105"/>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Stockholder shall (to the extent its Subject Shares have not yet been tendered or have been withdrawn), as promptly as practicable (and in any event within five Business Days, or such shorter period of time prior to the Expiration Date) after such resolution, tender (or re-tender) its Subject Shares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Upon termination of this Agreement as to any party, such party shall not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nothing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relieve any party from liability for any Willful Breach of this Agreement prior to termination hereof and (ii)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any termination of this Agreement.</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xml:space="preserve">. Any provision of this Agreement may be amended or waived if such amendment or waiver is in writing and is signed, in the case of an amendment, by each party to this Agreement or, in the case of a waiver, by each party against whom the waiver is to be effective; provided that the Company’s signature shall be required only for an amendment or waiver affecting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fees and expenses incurred in connection herewith and the transactions contemplated hereby shall be paid by (a) in the case of a Stockholder incurring such expenses, by the Company and (b) in the case of Parent or Merger Sub incurring such expenses, by such party, in each case, whether or not the Offer or the Merger is consummated.</w:t>
      </w:r>
    </w:p>
    <w:p>
      <w:pPr>
        <w:spacing w:after="0" w:line="17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b w:val="1"/>
          <w:bCs w:val="1"/>
          <w:u w:val="single" w:color="auto"/>
          <w:color w:val="auto"/>
        </w:rPr>
        <w:t>Binding Effect; Benefit; Assignment</w:t>
      </w:r>
      <w:r>
        <w:rPr>
          <w:rFonts w:ascii="Times New Roman" w:cs="Times New Roman" w:eastAsia="Times New Roman" w:hAnsi="Times New Roman"/>
          <w:sz w:val="18"/>
          <w:szCs w:val="18"/>
          <w:color w:val="auto"/>
        </w:rPr>
        <w:t xml:space="preserve">. The parties hereby agree that their respective representations, warranties and covenants set forth herein are solely for the benefit of the other parties,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Neither this Agreement nor any of the rights, interests or obligations hereunder shall be assigned by any of the parties (whether by operation of Law or otherwise) without the prior written consent of the other parties, except to the extent that such rights, interests or obligations are assigned pursuant to a Transfer expressly permitted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No assignment by any party shall relieve such party of any of its obligations hereunder. Subject to the foregoing, this Agreement will be binding upon, inure to the benefit of and be enforceable by the parties and their respective successors and permitted assigns.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82"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regardless of the laws that might otherwise govern under applicable principles of conflicts of laws thereof.</w:t>
      </w:r>
    </w:p>
    <w:p>
      <w:pPr>
        <w:spacing w:after="0" w:line="161" w:lineRule="exact"/>
        <w:rPr>
          <w:rFonts w:ascii="Times New Roman" w:cs="Times New Roman" w:eastAsia="Times New Roman" w:hAnsi="Times New Roman"/>
          <w:sz w:val="18"/>
          <w:szCs w:val="18"/>
          <w:color w:val="auto"/>
        </w:rPr>
      </w:pPr>
    </w:p>
    <w:p>
      <w:pPr>
        <w:ind w:right="120" w:firstLine="987"/>
        <w:spacing w:after="0" w:line="272" w:lineRule="auto"/>
        <w:tabs>
          <w:tab w:leader="none" w:pos="1246"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legal action or proceeding arising out of or relating to this Agreement, or any of the transactions contemplated by this Agreement: (i) each of the parties hereto irrevocably and unconditionally consents and submits to the exclusive jurisdiction and venue of the Chancery Court of the State of Delaware and any state appellate court therefrom (it being agreed that the consents to jurisdiction and venue set forth in</w:t>
      </w:r>
    </w:p>
    <w:p>
      <w:pPr>
        <w:spacing w:after="0" w:line="1" w:lineRule="exact"/>
        <w:rPr>
          <w:rFonts w:ascii="Times New Roman" w:cs="Times New Roman" w:eastAsia="Times New Roman" w:hAnsi="Times New Roman"/>
          <w:sz w:val="17"/>
          <w:szCs w:val="17"/>
          <w:color w:val="auto"/>
        </w:rPr>
      </w:pPr>
    </w:p>
    <w:p>
      <w:pPr>
        <w:ind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and (ii) each of the parties hereto irrevocably consents to service of process by first class certified mail, return receipt requested, postage prepaid, to such party’s respective address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parties hereto agree that a final judgment in any such action or proceeding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w:t>
      </w:r>
    </w:p>
    <w:p>
      <w:pPr>
        <w:sectPr>
          <w:pgSz w:w="11900" w:h="16838" w:orient="portrait"/>
          <w:cols w:equalWidth="0" w:num="1">
            <w:col w:w="10960"/>
          </w:cols>
          <w:pgMar w:left="440" w:top="270" w:right="499" w:bottom="1440" w:gutter="0" w:footer="0" w:header="0"/>
        </w:sectPr>
      </w:pPr>
    </w:p>
    <w:bookmarkStart w:id="106" w:name="page107"/>
    <w:bookmarkEnd w:id="106"/>
    <w:p>
      <w:pPr>
        <w:ind w:left="4" w:firstLine="987"/>
        <w:spacing w:after="0" w:line="268" w:lineRule="auto"/>
        <w:tabs>
          <w:tab w:leader="none" w:pos="124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ACKNOWLEDGES AND AGREES THAT ANY CONTROVERSY WHICH MAY ARISE UNDER THIS AGREEMENT IS LIKELY TO INVOLVE COMPLICATED AND DIFFICULT ISSUES, AND THEREFORE EACH SUCH PARTY HEREBY IRREVOCABLY AND UNCONDITIONALLY WAIVES ANY RIGHT SUCH PARTY MAY HAVE TO A TRIAL BY JURY IN ANY LITIGATION ARISING OUT OF, RELATING TO OR IN CONNECTION WITH THIS AGREEMENT OR ANY TRANSACTION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w:t>
      </w:r>
    </w:p>
    <w:p>
      <w:pPr>
        <w:spacing w:after="0" w:line="2" w:lineRule="exact"/>
        <w:rPr>
          <w:rFonts w:ascii="Times New Roman" w:cs="Times New Roman" w:eastAsia="Times New Roman" w:hAnsi="Times New Roman"/>
          <w:sz w:val="17"/>
          <w:szCs w:val="17"/>
          <w:color w:val="auto"/>
        </w:rPr>
      </w:pPr>
    </w:p>
    <w:p>
      <w:pPr>
        <w:ind w:left="4" w:right="820" w:hanging="4"/>
        <w:spacing w:after="0" w:line="260" w:lineRule="auto"/>
        <w:tabs>
          <w:tab w:leader="none" w:pos="34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b w:val="1"/>
          <w:bCs w:val="1"/>
          <w:u w:val="single" w:color="auto"/>
          <w:color w:val="auto"/>
        </w:rPr>
        <w:t>Counterparts; Delivery by Email</w:t>
      </w:r>
      <w:r>
        <w:rPr>
          <w:rFonts w:ascii="Times New Roman" w:cs="Times New Roman" w:eastAsia="Times New Roman" w:hAnsi="Times New Roman"/>
          <w:sz w:val="17"/>
          <w:szCs w:val="17"/>
          <w:color w:val="auto"/>
        </w:rPr>
        <w:t>. This Agreement may be executed by email and in one or more counterparts, and by the different parties in separate counterparts, each of which when executed shall be deemed to be an original but all of which taken together shall constitute one and the same agreement. This Agreement, and any amendments hereto, waivers hereof or consents or notifications hereunder, to the extent signed and delivered by email, electronic signature (e.g., DocuSign or otherwise) or scan attachment (any such delivery, an “</w:t>
      </w:r>
      <w:r>
        <w:rPr>
          <w:rFonts w:ascii="Times New Roman" w:cs="Times New Roman" w:eastAsia="Times New Roman" w:hAnsi="Times New Roman"/>
          <w:sz w:val="17"/>
          <w:szCs w:val="17"/>
          <w:u w:val="single" w:color="auto"/>
          <w:color w:val="auto"/>
        </w:rPr>
        <w:t>Electronic Delivery</w:t>
      </w:r>
      <w:r>
        <w:rPr>
          <w:rFonts w:ascii="Times New Roman" w:cs="Times New Roman" w:eastAsia="Times New Roman" w:hAnsi="Times New Roman"/>
          <w:sz w:val="17"/>
          <w:szCs w:val="17"/>
          <w:color w:val="auto"/>
        </w:rPr>
        <w:t>”), shall be treated in all manner and respects as an original contract and shall be considered to have the same binding legal effects as if it were the original signed version thereof delivered in person. At the request of any party, each other party shall re-execute original forms thereof and deliver them to all other parties. No party shall raise the use of an Electronic Delivery to deliver a signature or the fact that any signature or Contract was transmitted or communicated through the use of an Electronic Delivery as a defense to the formation of a contract, and each such party forever waives any such defense.</w:t>
      </w:r>
    </w:p>
    <w:p>
      <w:pPr>
        <w:spacing w:after="0" w:line="172"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other agreements, exhibits and schedules referred to herein constitute the entire agreement, and supersede all prior agreements and understandings, both written and oral, among the parties and their Affiliates, or any of them, with respect to the subject matter hereof and thereof.</w:t>
      </w:r>
    </w:p>
    <w:p>
      <w:pPr>
        <w:spacing w:after="0" w:line="17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79"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xml:space="preserve">. The parties hereto agree that irreparable damage for which monetary damages, even if available, would not be an adequate remedy, may occur in the event that the parties hereto do not perform their obligations under the provisions of this Agreement in accordance with its specified terms or otherwise breach such provisions. Subject to the following sentence, the parties hereto acknowledge and agree that (a) the parties hereto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w:t>
      </w:r>
    </w:p>
    <w:p>
      <w:pPr>
        <w:sectPr>
          <w:pgSz w:w="11900" w:h="16838" w:orient="portrait"/>
          <w:cols w:equalWidth="0" w:num="1">
            <w:col w:w="10984"/>
          </w:cols>
          <w:pgMar w:left="436" w:top="270" w:right="479" w:bottom="1440" w:gutter="0" w:footer="0" w:header="0"/>
        </w:sectPr>
      </w:pPr>
    </w:p>
    <w:bookmarkStart w:id="107" w:name="page108"/>
    <w:bookmarkEnd w:id="107"/>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specific performance is an integral part of the transactions contemplated by this Agreement and without that right, neither Parent nor Merger Sub would have entered into this Agreement or the Merger Agreement. Each of the parties hereto agrees that it will not oppose the granting of an injunction, specific performance and other equitable relief on the basis that the other parties hereto have an adequate remedy at law or an award of specific performance is not an appropriate remedy for any reason at law or equity.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83"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 meaning or interpretation of this Agreement.</w:t>
      </w:r>
    </w:p>
    <w:p>
      <w:pPr>
        <w:spacing w:after="0" w:line="15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Parent, Merger Sub and Stockholder will execute and deliver, or cause to be executed and delivered, all further documents and instruments and use their respective reasonable best efforts to take, or cause to be taken, all actions and to do, or cause to be done, all things necessary, proper or advisable under applicable Laws and regulations, to perform their respective obligations under this Agreement.</w:t>
      </w:r>
    </w:p>
    <w:p>
      <w:pPr>
        <w:spacing w:after="0" w:line="171" w:lineRule="exact"/>
        <w:rPr>
          <w:sz w:val="20"/>
          <w:szCs w:val="20"/>
          <w:color w:val="auto"/>
        </w:rPr>
      </w:pPr>
    </w:p>
    <w:p>
      <w:pPr>
        <w:jc w:val="both"/>
        <w:ind w:left="4" w:right="2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Section 5.13. </w:t>
      </w: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color w:val="auto"/>
        </w:rPr>
        <w:t>. Unless the context otherwise requires, as used in this Agreement: (a) “or” is not exclusive; (b) “including” and its variants mean “including, without limitation” and its variants; (c) words defined in the singular have the parallel meaning in the plural and vice versa;</w:t>
      </w:r>
    </w:p>
    <w:p>
      <w:pPr>
        <w:spacing w:after="0" w:line="1" w:lineRule="exact"/>
        <w:rPr>
          <w:sz w:val="20"/>
          <w:szCs w:val="20"/>
          <w:color w:val="auto"/>
        </w:rPr>
      </w:pPr>
    </w:p>
    <w:p>
      <w:pPr>
        <w:ind w:left="4" w:right="620" w:hanging="4"/>
        <w:spacing w:after="0" w:line="260" w:lineRule="auto"/>
        <w:tabs>
          <w:tab w:leader="none" w:pos="25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of one gender shall be construed to apply to each gender; and (e) the terms “Article,” “Exhibit,” “Section” and “Schedule” refer to the specified Article, Exhibit, Section or Schedule of or to this Agreement.</w:t>
      </w:r>
    </w:p>
    <w:p>
      <w:pPr>
        <w:spacing w:after="0" w:line="17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b w:val="1"/>
          <w:bCs w:val="1"/>
          <w:u w:val="single" w:color="auto"/>
          <w:color w:val="auto"/>
        </w:rPr>
        <w:t>Capacity as Stockholder</w:t>
      </w:r>
      <w:r>
        <w:rPr>
          <w:rFonts w:ascii="Times New Roman" w:cs="Times New Roman" w:eastAsia="Times New Roman" w:hAnsi="Times New Roman"/>
          <w:sz w:val="18"/>
          <w:szCs w:val="18"/>
          <w:color w:val="auto"/>
        </w:rPr>
        <w:t xml:space="preserve">. Notwithstanding anything herein to the contrary, (a) Stockholder signs this Agreement solely in Stockholder’s capacity as a Stockholder of the Company, and not in any other capacity and this Agreement shall not limit or otherwise affect the actions of any Affiliate, employee or designee of Stockholder in its capacity, if applicable, as an officer or director of the Company, and (b) nothing herein shall in any way restrict a director or officer of the Company in the taking of any actions (or failure to act) in his or her capacity as a director or officer of the Company, or in the exercise of his or her fiduciary duties as a director or officer of the Company, or prevent or be construed to create any obligation on the part of any director or officer of the Company from taking any action in his or her capacity as such director or officer, and no action taken in any such capacity as an officer or director of the Company shall be deemed to constitute a breach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nothing herein shall be understood to relieve any party to the Merger Agreement of any obligation under, or any liability for breach of any provision of, the Merger Agreement. Notwithstanding anything to the contrary in this Agreement (including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nothing in this Agreement shall release, waive or otherwise affect any rights that Stockholder may have, solely in Stockholder’s capacity as a current or former director or officer of the Company, to indemnification, advancement of expenses or exculpation under applicable Law, the Organizational Documents of the Company or any of its Subsidiaries, any indemnification agreement between Stockholder and the Company or any of its Subsidiaries, Section 6.11 of the Merger Agreement or any directors’ and officers’ liability insurance policy, and, further, neither Parent nor Merger Sub shall assert any claim against Stockholder that any action taken by Stockholder, solely in Stockholder’s capacity as a current or former director or officer of the Company, constitutes a violation of any provision of this Agreement.</w:t>
      </w:r>
    </w:p>
    <w:p>
      <w:pPr>
        <w:sectPr>
          <w:pgSz w:w="11900" w:h="16838" w:orient="portrait"/>
          <w:cols w:equalWidth="0" w:num="1">
            <w:col w:w="11004"/>
          </w:cols>
          <w:pgMar w:left="436" w:top="270" w:right="459" w:bottom="1440" w:gutter="0" w:footer="0" w:header="0"/>
        </w:sectPr>
      </w:pPr>
    </w:p>
    <w:bookmarkStart w:id="108" w:name="page109"/>
    <w:bookmarkEnd w:id="108"/>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5.15.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Takeover Laws and regulations, and any applicable provision of the Organizational Documents of the Company, the transactions contemplated by this Agreement and the Merger Agreement, (b) the Merger Agreement is executed by all parties thereto, and (c) this Agreement is executed by all parties hereto.</w:t>
      </w:r>
    </w:p>
    <w:p>
      <w:pPr>
        <w:spacing w:after="0" w:line="179"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Except as otherwise provided herein, nothing contained in this Agreement shall be deemed to vest in Parent or Merger Sub any direct or indirect ownership or incidence of ownership of or with respect to the Subject Shares. All rights, ownership and economic benefits of and relating to the Subject Shares shall remain vested in and belong to Stockholder, and neither Parent nor Merger Sub shall have any authority to manage, direct, restrict, regulate, govern, or administer any of the policies or operations of the Company or exercise any power or authority to direct Stockholder in the voting of any of the Subject Shares, except as otherwise provided herein.</w:t>
      </w:r>
    </w:p>
    <w:p>
      <w:pPr>
        <w:spacing w:after="0" w:line="179"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xml:space="preserve">. Each of Parent and Merger Sub, Stockholder and (with respect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Company agrees that (a) his, her or its respective representations, warranties, covenants and agreements set forth herein are solely for the benefit of the other parties hereto in accordance with and subject to the terms of this Agreement and (b) this Agreement is not intended to, and shall not, confer upon any other person any rights or remedies hereunder.</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2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18415</wp:posOffset>
            </wp:positionV>
            <wp:extent cx="24599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2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18415</wp:posOffset>
            </wp:positionV>
            <wp:extent cx="2459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294005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SUNRAY I,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Zistar Management LLC, its Manager</w:t>
      </w:r>
    </w:p>
    <w:p>
      <w:pPr>
        <w:spacing w:after="0" w:line="23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18415</wp:posOffset>
            </wp:positionV>
            <wp:extent cx="24599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Bradford T. Whitmore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WHITMORE HOLDINGS, LLC</w:t>
      </w:r>
    </w:p>
    <w:p>
      <w:pPr>
        <w:spacing w:after="0" w:line="2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18415</wp:posOffset>
            </wp:positionV>
            <wp:extent cx="24599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Bradford T. Whitmore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Tender and Support Agreement]</w:t>
      </w:r>
    </w:p>
    <w:p>
      <w:pPr>
        <w:sectPr>
          <w:pgSz w:w="11900" w:h="16838" w:orient="portrait"/>
          <w:cols w:equalWidth="0" w:num="1">
            <w:col w:w="9579"/>
          </w:cols>
          <w:pgMar w:left="880" w:top="270" w:right="1440" w:bottom="1440" w:gutter="0" w:footer="0" w:header="0"/>
        </w:sectPr>
      </w:pPr>
    </w:p>
    <w:bookmarkStart w:id="110" w:name="page111"/>
    <w:bookmarkEnd w:id="11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BRADFORD WHITMORE TRUST</w:t>
      </w:r>
    </w:p>
    <w:p>
      <w:pPr>
        <w:spacing w:after="0" w:line="2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18415</wp:posOffset>
            </wp:positionV>
            <wp:extent cx="24599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Bradford T. Whitmore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Solely for purposes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18415</wp:posOffset>
            </wp:positionV>
            <wp:extent cx="24599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Tender and Support Agreement]</w:t>
      </w:r>
    </w:p>
    <w:p>
      <w:pPr>
        <w:sectPr>
          <w:pgSz w:w="11900" w:h="16838" w:orient="portrait"/>
          <w:cols w:equalWidth="0" w:num="1">
            <w:col w:w="9019"/>
          </w:cols>
          <w:pgMar w:left="1440" w:top="266"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760" w:type="dxa"/>
            <w:vAlign w:val="bottom"/>
            <w:gridSpan w:val="3"/>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r>
      <w:tr>
        <w:trPr>
          <w:trHeight w:val="324"/>
        </w:trPr>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760" w:type="dxa"/>
            <w:vAlign w:val="bottom"/>
            <w:gridSpan w:val="3"/>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SUBJECT SHARES</w:t>
            </w:r>
          </w:p>
        </w:tc>
      </w:tr>
      <w:tr>
        <w:trPr>
          <w:trHeight w:val="391"/>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2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Subject Shares</w:t>
            </w:r>
          </w:p>
        </w:tc>
        <w:tc>
          <w:tcPr>
            <w:tcW w:w="60" w:type="dxa"/>
            <w:vAlign w:val="bottom"/>
          </w:tcPr>
          <w:p>
            <w:pPr>
              <w:spacing w:after="0"/>
              <w:rPr>
                <w:sz w:val="24"/>
                <w:szCs w:val="24"/>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Sunray I LLC</w:t>
            </w:r>
          </w:p>
        </w:tc>
        <w:tc>
          <w:tcPr>
            <w:tcW w:w="7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4,452,283</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Whitmore Holdings LLC</w:t>
            </w:r>
          </w:p>
        </w:tc>
        <w:tc>
          <w:tcPr>
            <w:tcW w:w="7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2,050,637</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Bradford Whitmore</w:t>
            </w:r>
          </w:p>
        </w:tc>
        <w:tc>
          <w:tcPr>
            <w:tcW w:w="7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205,915</w:t>
            </w:r>
          </w:p>
        </w:tc>
      </w:tr>
    </w:tbl>
    <w:p>
      <w:pPr>
        <w:jc w:val="right"/>
        <w:ind w:right="6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 AGREEMENT</w:t>
      </w:r>
    </w:p>
    <w:p>
      <w:pPr>
        <w:sectPr>
          <w:pgSz w:w="11900" w:h="16838" w:orient="portrait"/>
          <w:cols w:equalWidth="0" w:num="1">
            <w:col w:w="9019"/>
          </w:cols>
          <w:pgMar w:left="1440" w:top="266"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00150" cy="659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EnerSys To Acquire Ultralife, Expanding Differentiated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Battery Technologies and Accelerating Growth in Defense Market</w:t>
      </w:r>
    </w:p>
    <w:p>
      <w:pPr>
        <w:spacing w:after="0" w:line="234" w:lineRule="exact"/>
        <w:rPr>
          <w:sz w:val="20"/>
          <w:szCs w:val="20"/>
          <w:color w:val="auto"/>
        </w:rPr>
      </w:pPr>
    </w:p>
    <w:p>
      <w:pPr>
        <w:ind w:left="420" w:hanging="316"/>
        <w:spacing w:after="0"/>
        <w:tabs>
          <w:tab w:leader="none" w:pos="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Accelerates EnerSys’ growth in mission-critical defense applications particularly high growth drone and counter drone systems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advanced, differentiated battery technologies with U.S.-based manufacturing</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manufacturing capacity for specialized FEOC-compliant batteries</w:t>
      </w:r>
    </w:p>
    <w:p>
      <w:pPr>
        <w:spacing w:after="0" w:line="130" w:lineRule="exact"/>
        <w:rPr>
          <w:rFonts w:ascii="Times New Roman" w:cs="Times New Roman" w:eastAsia="Times New Roman" w:hAnsi="Times New Roman"/>
          <w:sz w:val="18"/>
          <w:szCs w:val="18"/>
          <w:color w:val="auto"/>
        </w:rPr>
      </w:pPr>
    </w:p>
    <w:p>
      <w:pPr>
        <w:ind w:left="420" w:right="340" w:hanging="316"/>
        <w:spacing w:after="0" w:line="282" w:lineRule="auto"/>
        <w:tabs>
          <w:tab w:leader="none" w:pos="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multiple avenues for value creation, including extending EnerSys’s capabilities into new applications within core markets, furthering capture in existing high-growth areas, and realizing significant cost synergies</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READING, Pa.,—October 27, 2026—EnerSys </w:t>
      </w:r>
      <w:r>
        <w:rPr>
          <w:rFonts w:ascii="Times New Roman" w:cs="Times New Roman" w:eastAsia="Times New Roman" w:hAnsi="Times New Roman"/>
          <w:sz w:val="18"/>
          <w:szCs w:val="18"/>
          <w:color w:val="auto"/>
        </w:rPr>
        <w:t>(NYSE: ENS), a global leader in stored energy solutions for industrial, infrastructure, and defense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today announced that it has entered into a definitive agreement to acquire Ultralife (NASDAQ:ULBI) for $16.00 per share in cash, representing a 166% premium to Ultralife’s unaffected closing share price on October 26, 2026. The transaction represents an enterprise value of approximately $320 million. EnerSys expects to realize $15 million to $20 million in annual run-rate cost synergies within the first 18 months, reflecting the unique benefits of combining Ultralife with EnerSys.</w:t>
      </w:r>
    </w:p>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Ultralife is a leading provider of rechargeable and non-rechargeable batteries, battery systems, and related accessories for military communications and other specialized applications. The company serves government, defense, and commercial customers globally and generated $191 million in revenue in fiscal 2025. Headquartered in Newark, New York, Ultralife employs more than 700 people, with principal operations across the U.S., Canada, U.K., and China.</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acquisition is a compelling strategic fit for EnerSys and directly advances our strategy to build a broader, more differentiated defense power platform,” said Shawn O’Connell, President and Chief Executive Officer of EnerSys. “Building on the success of our recent acquisitions, Ultralife expands our portfolio of advanced, reliable, high-performance power solutions. Together, we will be better positioned to support the U.S. Department of War (DoW) and allied forces with leading-edge, cost-effective technologies for the increasingly electrified battlefield of the future. We know the Ultralife business and its team well, and are confident that our shared commitment to engineering, problem solving, and customer focus will create a strong cultural fit. We look forward to combining our strengths to accelerate growth, enhance performance, and deliver greater value to our customers and shareholders.”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Mark Matthews, Chief Technology Officer and President, Precision Power Solutions, added, “Ultralife complements our multi-chemistry expertise and our liquid reserve technologies with an impressive patent portfolio and strong, longstanding customer relationships. Ultralife’s products offer exceptional capabilities such as very high energy density, long shelf life, low self-discharge, useful pulse power, and cold-weather performance, which are ideally suited to the growing defense mission profiles of today and tomorrow.”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14" w:name="page115"/>
    <w:bookmarkEnd w:id="11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454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745490"/>
                    </a:xfrm>
                    <a:prstGeom prst="rect">
                      <a:avLst/>
                    </a:prstGeom>
                    <a:noFill/>
                  </pic:spPr>
                </pic:pic>
              </a:graphicData>
            </a:graphic>
          </wp:anchor>
        </w:drawing>
      </w:r>
    </w:p>
    <w:p>
      <w:pPr>
        <w:ind w:right="20"/>
        <w:spacing w:after="0" w:line="258" w:lineRule="auto"/>
        <w:rPr>
          <w:sz w:val="20"/>
          <w:szCs w:val="20"/>
          <w:color w:val="auto"/>
        </w:rPr>
      </w:pPr>
      <w:r>
        <w:rPr>
          <w:rFonts w:ascii="Times New Roman" w:cs="Times New Roman" w:eastAsia="Times New Roman" w:hAnsi="Times New Roman"/>
          <w:sz w:val="18"/>
          <w:szCs w:val="18"/>
          <w:color w:val="auto"/>
        </w:rPr>
        <w:t>“Combining with EnerSys is an exciting next step that will allow us to unlock value and growth opportunities for both companies, while delivering substantial and certain cash value to Ultralife shareholders” said Michael Manna, President and Chief Executive Officer of Ultralife. “This transaction is a testament to the hard work and dedication of our entire organization, and now offers even greater opportunities for our valued employees. We look forward to partnering with the EnerSys team with the combined scale, resources, and shared vision to accelerate innovation and better serve our global customer base.”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Expected to Offer Compelling Strategic and Financial Benefits</w:t>
      </w:r>
    </w:p>
    <w:p>
      <w:pPr>
        <w:spacing w:after="0" w:line="131" w:lineRule="exact"/>
        <w:rPr>
          <w:sz w:val="20"/>
          <w:szCs w:val="20"/>
          <w:color w:val="auto"/>
        </w:rPr>
      </w:pPr>
    </w:p>
    <w:p>
      <w:pPr>
        <w:ind w:left="960" w:right="20" w:hanging="424"/>
        <w:spacing w:after="0" w:line="268" w:lineRule="auto"/>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Expands EnerSys’ advanced defense power technology portfolio </w:t>
      </w:r>
      <w:r>
        <w:rPr>
          <w:rFonts w:ascii="Times New Roman" w:cs="Times New Roman" w:eastAsia="Times New Roman" w:hAnsi="Times New Roman"/>
          <w:sz w:val="18"/>
          <w:szCs w:val="18"/>
          <w:color w:val="auto"/>
        </w:rPr>
        <w:t>with the addition of Ultralife’s differentiated multi-chemistry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purpose-built advanced manufacturing capacity with existing security and environmental permits, and operational expertise to scale production of EnerSys’ proprietary liquid reserve battery technology.</w:t>
      </w:r>
    </w:p>
    <w:p>
      <w:pPr>
        <w:spacing w:after="0" w:line="76" w:lineRule="exact"/>
        <w:rPr>
          <w:rFonts w:ascii="Times New Roman" w:cs="Times New Roman" w:eastAsia="Times New Roman" w:hAnsi="Times New Roman"/>
          <w:sz w:val="18"/>
          <w:szCs w:val="18"/>
          <w:color w:val="auto"/>
        </w:rPr>
      </w:pPr>
    </w:p>
    <w:p>
      <w:pPr>
        <w:ind w:left="960" w:right="80" w:hanging="424"/>
        <w:spacing w:after="0" w:line="317" w:lineRule="auto"/>
        <w:tabs>
          <w:tab w:leader="none" w:pos="96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Increases scale and broadens exposure to the large and rapidly growing defense market </w:t>
      </w:r>
      <w:r>
        <w:rPr>
          <w:rFonts w:ascii="Times New Roman" w:cs="Times New Roman" w:eastAsia="Times New Roman" w:hAnsi="Times New Roman"/>
          <w:sz w:val="17"/>
          <w:szCs w:val="17"/>
          <w:color w:val="auto"/>
        </w:rPr>
        <w:t>with capabilities across mission-critical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applications in munitions, soldier power, drones, counter drones, and autonomous systems accelerating EnerSys’ focused growth strategy.</w:t>
      </w:r>
    </w:p>
    <w:p>
      <w:pPr>
        <w:spacing w:after="0" w:line="37" w:lineRule="exact"/>
        <w:rPr>
          <w:rFonts w:ascii="Times New Roman" w:cs="Times New Roman" w:eastAsia="Times New Roman" w:hAnsi="Times New Roman"/>
          <w:sz w:val="17"/>
          <w:szCs w:val="17"/>
          <w:color w:val="auto"/>
        </w:rPr>
      </w:pPr>
    </w:p>
    <w:p>
      <w:pPr>
        <w:ind w:left="960" w:hanging="424"/>
        <w:spacing w:after="0" w:line="286" w:lineRule="auto"/>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Deepens customer relationships </w:t>
      </w:r>
      <w:r>
        <w:rPr>
          <w:rFonts w:ascii="Times New Roman" w:cs="Times New Roman" w:eastAsia="Times New Roman" w:hAnsi="Times New Roman"/>
          <w:sz w:val="18"/>
          <w:szCs w:val="18"/>
          <w:color w:val="auto"/>
        </w:rPr>
        <w:t>by creating a broader, Foreign Entity of Concern (FEOC)-compliant product portfolio for U.S. DoW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allied customers.</w:t>
      </w:r>
    </w:p>
    <w:p>
      <w:pPr>
        <w:spacing w:after="0" w:line="60" w:lineRule="exact"/>
        <w:rPr>
          <w:rFonts w:ascii="Times New Roman" w:cs="Times New Roman" w:eastAsia="Times New Roman" w:hAnsi="Times New Roman"/>
          <w:sz w:val="18"/>
          <w:szCs w:val="18"/>
          <w:color w:val="auto"/>
        </w:rPr>
      </w:pPr>
    </w:p>
    <w:p>
      <w:pPr>
        <w:ind w:left="960" w:right="640" w:hanging="424"/>
        <w:spacing w:after="0" w:line="286" w:lineRule="auto"/>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Supports an attractive financial profile. </w:t>
      </w:r>
      <w:r>
        <w:rPr>
          <w:rFonts w:ascii="Times New Roman" w:cs="Times New Roman" w:eastAsia="Times New Roman" w:hAnsi="Times New Roman"/>
          <w:sz w:val="18"/>
          <w:szCs w:val="18"/>
          <w:color w:val="auto"/>
        </w:rPr>
        <w:t>The transaction is expected to be accretive to adjusted diluted earnings per share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18 months after closing, excluding transaction and integration costs and other non-recurring items.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 and Timing</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transaction will be funded through cash on hand. The transaction has been unanimously approved by the Boards of Directors of both companies. Under the terms of the merger agreement, EnerSys, through a subsidiary, will commence a tender offer to acquire all of the outstanding shares of Ultralife common stock at a price of $16.00 per share in cash at closing, representing a total enterprise value of approximately $320 million. The transaction is subject to customary closing conditions, including the tender of at least a majority of the outstanding shares of Ultralife’s common stock and receipt of applicable regulatory approvals, and is expected to close in the first quarter of calendar year 2027.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XMS Capital Partners, LLC is serving as financial advisor to EnerSys, and Reed Smith LLP is serving as legal counsel to EnerSys in connection with the transaction.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1440" w:right="479" w:bottom="1440" w:gutter="0" w:footer="0" w:header="0"/>
        </w:sectPr>
      </w:pPr>
    </w:p>
    <w:bookmarkStart w:id="115" w:name="page116"/>
    <w:bookmarkEnd w:id="115"/>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454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7454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EnerSys</w:t>
      </w:r>
    </w:p>
    <w:p>
      <w:pPr>
        <w:spacing w:after="0" w:line="12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 xml:space="preserve">EnerSys is a global leader in stored energy solutions helping industrial, infrastructure and defense customers address critical power and operational needs with batteries, chargers and other power equipment. The company delivers integrated solutions that combine energy storage technologies, power electronics, software-enabled intelligence, technical expertise and comprehensive global customer support. EnerSys supports customers across communications networks, data centers, energy infrastructure, material handling, transportation, aerospace and defense — including applications where power continuity is essential. Serving customers in more than 100 countries, EnerSys helps organizations manage energy more reliably, efficiently and intelligently in complex operating environments where uptime, safety and resilience matter. For more information, visit </w:t>
      </w:r>
      <w:r>
        <w:rPr>
          <w:rFonts w:ascii="Times New Roman" w:cs="Times New Roman" w:eastAsia="Times New Roman" w:hAnsi="Times New Roman"/>
          <w:sz w:val="17"/>
          <w:szCs w:val="17"/>
          <w:u w:val="single" w:color="auto"/>
          <w:color w:val="auto"/>
        </w:rPr>
        <w:t>www.enersys.com</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Ultralife</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Ultralife Corporation serves its markets with products and services ranging from power solutions to communications and electronics systems. Through its engineering and collaborative approach to problem solving, Ultralife serves government/defense and commercial customers across the globe.</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Headquartered in Newark, New York, the Company’s business segments include Battery &amp; Energy Products and Communications Systems. Ultralife has operations in North America, Europe and Asia. For more information, visit www.ultralifecorporation.com.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Additional Information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The tender offer described in this release has not yet commenced, and this release is neither an offer to purchase nor a solicitation of an offer to sell securities of Ultralife or any other entity, nor is it a substitute for any tender offer materials that EnerSys, EnerSys Mergersub Inc. or Ultralife will file with the U.S. Securities and Exchange Commission (the “SEC”).</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t>At the time the tender offer is commenced, EnerSys and EnerSys Mergersub Inc. intend to file a Tender Offer Statement on Schedule TO with the SEC, and Ultralife will thereafter file a Solicitation/Recommendation Statement on Schedule 14D-9 with the SEC with respect to the tender offer. THE STOCKHOLDERS AND OTHER INVESTORS OF Ultralife ARE URGED TO READ THE TENDER OFFER MATERIALS (INCLUDING THE OFFER TO PURCHASE, THE RELATED LETTER OF TRANSMITTAL AND CERTAIN OTHER TENDER OFFER DOCUMENTS) AND THE SOLICITATION/RECOMMENDATION STATEMENT ON SCHEDULE 14D-9 BECAUSE THEY WILL CONTAIN IMPORTANT INFORMATION THAT SHOULD BE READ CAREFULLY BEFORE ANY DECISION IS MADE WITH RESPECT TO THE TENDER OFFER.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1440" w:right="459" w:bottom="1440" w:gutter="0" w:footer="0" w:header="0"/>
        </w:sectPr>
      </w:pPr>
    </w:p>
    <w:bookmarkStart w:id="116" w:name="page117"/>
    <w:bookmarkEnd w:id="116"/>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454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745490"/>
                    </a:xfrm>
                    <a:prstGeom prst="rect">
                      <a:avLst/>
                    </a:prstGeom>
                    <a:noFill/>
                  </pic:spPr>
                </pic:pic>
              </a:graphicData>
            </a:graphic>
          </wp:anchor>
        </w:drawing>
      </w:r>
    </w:p>
    <w:p>
      <w:pPr>
        <w:ind w:left="4"/>
        <w:spacing w:after="0" w:line="256" w:lineRule="auto"/>
        <w:rPr>
          <w:sz w:val="20"/>
          <w:szCs w:val="20"/>
          <w:color w:val="auto"/>
        </w:rPr>
      </w:pPr>
      <w:r>
        <w:rPr>
          <w:rFonts w:ascii="Times New Roman" w:cs="Times New Roman" w:eastAsia="Times New Roman" w:hAnsi="Times New Roman"/>
          <w:sz w:val="18"/>
          <w:szCs w:val="18"/>
          <w:u w:val="single" w:color="auto"/>
          <w:color w:val="auto"/>
        </w:rPr>
        <w:t>The offer to purchase, the related letter of transmittal and certain other tender offer documents, as well as the Solicitation/Recommendation Statement on Schedule 14D-9, will be sent to all stockholders of Ultralife at no expense to them. The Schedule TO, the Schedule 14D-9 and other related documents will also be made available for free at the SEC’s website at www.sec.gov. Additional copies may be obtained for free by contacting either EnerSys or Ultralife. Copies of the documents filed with the SEC by EnerSys will be available free of charge on EnerSys’s website at www.enersys.com or by contacting EnerSys at investorrelations@enersys.com. Copies of the documents filed with the SEC by Ultralife will be available free of charge on Ultralife’s website at www.ultralifecorporation.com or by contacting Ultralife at pfain@ulbi.com.</w:t>
      </w:r>
    </w:p>
    <w:p>
      <w:pPr>
        <w:spacing w:after="0" w:line="18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In addition to the offer to purchase, the related letter of transmittal and certain other tender offer documents, as well as the Solicitation/Recommendation Statement on Schedule 14D-9, EnerSys and Ultralife each file annual, quarterly and current reports, proxy statements and other information with the SEC, which are available to the public over the Internet at the SEC’s website at www.sec.gov.</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This press release, and oral statements made regarding the subjects of this press release, contain “forward-looking statements” within the meaning of the Private Securities Litigation Reform Act of 1995, or the Reform Act. These statements relate to future events and involve known and unknown risks, uncertainties and other factors that may cause actual results, performance or achievements of EnerSys and Ultralife to differ materially from any future results, performance or achievements expressed or implied by the forward-looking statements. In some cases, forward-looking statements may be identified by terms such as “may,” “will,” “could,” “expects,” “plans,” “anticipates,” “believes,” “intends,” “estimates,” “projects,” and similar expressions intended to identify forward-looking statements. Forward-looking statements include, without limitation, statements regarding the tender offer, the merger and the other transactions contemplated by the definitive agreement, the timing of the tender offer and related transactions, the possibility that the transaction will not close, uncertainties as to how many of Ultralife’s stockholders will tender their shares in the tender offer, the possibility that competing offers or acquisition proposals will be made, the possibility that any or all conditions to consummation of the tender offer or the merger may not be satisfied or waived, including failure to receive required regulatory approvals or clearances or the imposition of conditions, limitations or restrictions on those approvals, the anticipated benefits of the transaction, including synergies and accretion, the integration of Ultralife into EnerSys, prospective performance and opportunities, post-closing operations and the outlook for the businesses of EnerSys and Ultralife,and any assumptions underlying any of the foregoing.</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are some of the factors that could cause actual future results to differ materially from those expressed in any forward-looking statements:</w:t>
      </w:r>
    </w:p>
    <w:p>
      <w:pPr>
        <w:spacing w:after="0" w:line="27" w:lineRule="exact"/>
        <w:rPr>
          <w:sz w:val="20"/>
          <w:szCs w:val="20"/>
          <w:color w:val="auto"/>
        </w:rPr>
      </w:pPr>
    </w:p>
    <w:p>
      <w:pPr>
        <w:ind w:left="4" w:right="240" w:hanging="4"/>
        <w:spacing w:after="0" w:line="252" w:lineRule="auto"/>
        <w:tabs>
          <w:tab w:leader="none" w:pos="2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of the tender offer and the merger; (ii) the risk that the tender offer or the merger may not be completed in a timely manner or at all; (iii) uncertainties as to the percentage of Ultralife’s stockholders tendering their shares in the tender offer; (iv) the possibility that competing offers or acquisition proposals for Ultralife will be made; (v) the possibility that any or all of the conditions to consummation of the tender offer or the merger may not be satisfied or waived, including failure to receive required regulatory approvals or clearances or the imposition of conditions, limitations or restrictions on those approvals; (vi) the occurrence of any event, change or other circumstance that could give rise to termination of the definitive agreement, including circumstances requiring Ultralife to pay a termination fee or EnerSys to pay a reverse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1440" w:right="459" w:bottom="1440" w:gutter="0" w:footer="0" w:header="0"/>
        </w:sectPr>
      </w:pPr>
    </w:p>
    <w:bookmarkStart w:id="117" w:name="page118"/>
    <w:bookmarkEnd w:id="11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43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754380"/>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termination fee; (vii) the effect of the announcement or pendency of the transactions on the ability of EnerSys or Ultralife to retain and hire key personnel, maintain relationships with customers, suppliers and other business partners, or conduct their businesses; (viii) risks related to diverting management’s attention from ongoing business operations; (ix) the risk that stockholder litigation relating to the transactions may result in significant costs of defense, indemnification and liability; and (x) other factors set forth from time to time in EnerSys’ filings with the SEC, including its Annual Report on Form 10-K and subsequent Quarterly Reports on Form 10-Q, and in Ultralife’s public filings. Any forward-looking statements speak only as of the date made. EnerSys does not intend to update any of these forward-looking statements to reflect events or circumstances that occur after the date hereof, other than as required by law. Investors are cautioned not to place undue reliance on these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Hartman Langell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EnerSys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610-236-4040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investorrelations@enersys.com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880"/>
      </w:cols>
      <w:pgMar w:left="440" w:top="144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1)"/>
      <w:numFmt w:val="lowerRoman"/>
      <w:start w:val="9"/>
    </w:lvl>
  </w:abstractNum>
  <w:abstractNum w:abstractNumId="4">
    <w:nsid w:val="7FFFCA11"/>
    <w:multiLevelType w:val="hybridMultilevel"/>
    <w:lvl w:ilvl="0">
      <w:lvlJc w:val="left"/>
      <w:lvlText w:val="(%1)"/>
      <w:numFmt w:val="lowerLetter"/>
      <w:start w:val="2"/>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1)"/>
      <w:numFmt w:val="lowerRoman"/>
      <w:start w:val="2"/>
    </w:lvl>
  </w:abstractNum>
  <w:abstractNum w:abstractNumId="7">
    <w:nsid w:val="100F59DC"/>
    <w:multiLevelType w:val="hybridMultilevel"/>
    <w:lvl w:ilvl="0">
      <w:lvlJc w:val="left"/>
      <w:lvlText w:val="(%1)"/>
      <w:numFmt w:val="lowerLetter"/>
      <w:start w:val="1"/>
    </w:lvl>
  </w:abstractNum>
  <w:abstractNum w:abstractNumId="8">
    <w:nsid w:val="7FB7E0AA"/>
    <w:multiLevelType w:val="hybridMultilevel"/>
    <w:lvl w:ilvl="0">
      <w:lvlJc w:val="left"/>
      <w:lvlText w:val="(%1)"/>
      <w:numFmt w:val="lowerLetter"/>
      <w:start w:val="4"/>
    </w:lvl>
  </w:abstractNum>
  <w:abstractNum w:abstractNumId="9">
    <w:nsid w:val="6EB5BD4"/>
    <w:multiLevelType w:val="hybridMultilevel"/>
    <w:lvl w:ilvl="0">
      <w:lvlJc w:val="left"/>
      <w:lvlText w:val="(%1)"/>
      <w:numFmt w:val="lowerLetter"/>
      <w:start w:val="1"/>
    </w:lvl>
  </w:abstractNum>
  <w:abstractNum w:abstractNumId="10">
    <w:nsid w:val="6F6DD9AC"/>
    <w:multiLevelType w:val="hybridMultilevel"/>
    <w:lvl w:ilvl="0">
      <w:lvlJc w:val="left"/>
      <w:lvlText w:val="%1"/>
      <w:numFmt w:val="decimal"/>
      <w:start w:val="1"/>
    </w:lvl>
    <w:lvl w:ilvl="1">
      <w:lvlJc w:val="left"/>
      <w:lvlText w:val="(%2)"/>
      <w:numFmt w:val="lowerLetter"/>
      <w:start w:val="3"/>
    </w:lvl>
  </w:abstractNum>
  <w:abstractNum w:abstractNumId="11">
    <w:nsid w:val="94211F2"/>
    <w:multiLevelType w:val="hybridMultilevel"/>
    <w:lvl w:ilvl="0">
      <w:lvlJc w:val="left"/>
      <w:lvlText w:val="(%1)"/>
      <w:numFmt w:val="decimal"/>
      <w:start w:val="2"/>
    </w:lvl>
    <w:lvl w:ilvl="1">
      <w:lvlJc w:val="left"/>
      <w:lvlText w:val="%2"/>
      <w:numFmt w:val="lowerLetter"/>
      <w:start w:val="1"/>
    </w:lvl>
  </w:abstractNum>
  <w:abstractNum w:abstractNumId="12">
    <w:nsid w:val="885E1B"/>
    <w:multiLevelType w:val="hybridMultilevel"/>
    <w:lvl w:ilvl="0">
      <w:lvlJc w:val="left"/>
      <w:lvlText w:val="(%1)"/>
      <w:numFmt w:val="lowerLetter"/>
      <w:start w:val="1"/>
    </w:lvl>
  </w:abstractNum>
  <w:abstractNum w:abstractNumId="13">
    <w:nsid w:val="76272110"/>
    <w:multiLevelType w:val="hybridMultilevel"/>
    <w:lvl w:ilvl="0">
      <w:lvlJc w:val="left"/>
      <w:lvlText w:val="(%1)"/>
      <w:numFmt w:val="lowerLetter"/>
      <w:start w:val="1"/>
    </w:lvl>
  </w:abstractNum>
  <w:abstractNum w:abstractNumId="14">
    <w:nsid w:val="4C04A8AF"/>
    <w:multiLevelType w:val="hybridMultilevel"/>
    <w:lvl w:ilvl="0">
      <w:lvlJc w:val="left"/>
      <w:lvlText w:val="(%1)"/>
      <w:numFmt w:val="lowerLetter"/>
      <w:start w:val="1"/>
    </w:lvl>
  </w:abstractNum>
  <w:abstractNum w:abstractNumId="15">
    <w:nsid w:val="1716703B"/>
    <w:multiLevelType w:val="hybridMultilevel"/>
    <w:lvl w:ilvl="0">
      <w:lvlJc w:val="left"/>
      <w:lvlText w:val="(%1)"/>
      <w:numFmt w:val="lowerLetter"/>
      <w:start w:val="3"/>
    </w:lvl>
  </w:abstractNum>
  <w:abstractNum w:abstractNumId="16">
    <w:nsid w:val="14E17E33"/>
    <w:multiLevelType w:val="hybridMultilevel"/>
    <w:lvl w:ilvl="0">
      <w:lvlJc w:val="left"/>
      <w:lvlText w:val="(%1)"/>
      <w:numFmt w:val="lowerLetter"/>
      <w:start w:val="1"/>
    </w:lvl>
  </w:abstractNum>
  <w:abstractNum w:abstractNumId="17">
    <w:nsid w:val="3222E7CD"/>
    <w:multiLevelType w:val="hybridMultilevel"/>
    <w:lvl w:ilvl="0">
      <w:lvlJc w:val="left"/>
      <w:lvlText w:val="(%1)"/>
      <w:numFmt w:val="lowerLetter"/>
      <w:start w:val="3"/>
    </w:lvl>
  </w:abstractNum>
  <w:abstractNum w:abstractNumId="18">
    <w:nsid w:val="74DE0EE3"/>
    <w:multiLevelType w:val="hybridMultilevel"/>
    <w:lvl w:ilvl="0">
      <w:lvlJc w:val="left"/>
      <w:lvlText w:val="(%1)"/>
      <w:numFmt w:val="lowerLetter"/>
      <w:start w:val="8"/>
    </w:lvl>
  </w:abstractNum>
  <w:abstractNum w:abstractNumId="19">
    <w:nsid w:val="68EBC550"/>
    <w:multiLevelType w:val="hybridMultilevel"/>
    <w:lvl w:ilvl="0">
      <w:lvlJc w:val="left"/>
      <w:lvlText w:val="(%1)"/>
      <w:numFmt w:val="upperLetter"/>
      <w:start w:val="3"/>
    </w:lvl>
  </w:abstractNum>
  <w:abstractNum w:abstractNumId="20">
    <w:nsid w:val="2DF6D648"/>
    <w:multiLevelType w:val="hybridMultilevel"/>
    <w:lvl w:ilvl="0">
      <w:lvlJc w:val="left"/>
      <w:lvlText w:val="(%1)"/>
      <w:numFmt w:val="lowerLetter"/>
      <w:start w:val="1"/>
    </w:lvl>
  </w:abstractNum>
  <w:abstractNum w:abstractNumId="21">
    <w:nsid w:val="46B7D447"/>
    <w:multiLevelType w:val="hybridMultilevel"/>
    <w:lvl w:ilvl="0">
      <w:lvlJc w:val="left"/>
      <w:lvlText w:val="(%1)"/>
      <w:numFmt w:val="lowerLetter"/>
      <w:start w:val="3"/>
    </w:lvl>
  </w:abstractNum>
  <w:abstractNum w:abstractNumId="22">
    <w:nsid w:val="4A2AC315"/>
    <w:multiLevelType w:val="hybridMultilevel"/>
    <w:lvl w:ilvl="0">
      <w:lvlJc w:val="left"/>
      <w:lvlText w:val="%1"/>
      <w:numFmt w:val="lowerLetter"/>
      <w:start w:val="1"/>
    </w:lvl>
    <w:lvl w:ilvl="1">
      <w:lvlJc w:val="left"/>
      <w:lvlText w:val="(%2)"/>
      <w:numFmt w:val="lowerLetter"/>
      <w:start w:val="1"/>
    </w:lvl>
  </w:abstractNum>
  <w:abstractNum w:abstractNumId="23">
    <w:nsid w:val="39EE015C"/>
    <w:multiLevelType w:val="hybridMultilevel"/>
    <w:lvl w:ilvl="0">
      <w:lvlJc w:val="left"/>
      <w:lvlText w:val="(%1)"/>
      <w:numFmt w:val="lowerLetter"/>
      <w:start w:val="25"/>
    </w:lvl>
    <w:lvl w:ilvl="1">
      <w:lvlJc w:val="left"/>
      <w:lvlText w:val="%2"/>
      <w:numFmt w:val="lowerLetter"/>
      <w:start w:val="1"/>
    </w:lvl>
  </w:abstractNum>
  <w:abstractNum w:abstractNumId="24">
    <w:nsid w:val="57FC4FBB"/>
    <w:multiLevelType w:val="hybridMultilevel"/>
    <w:lvl w:ilvl="0">
      <w:lvlJc w:val="left"/>
      <w:lvlText w:val="%1"/>
      <w:numFmt w:val="lowerLetter"/>
      <w:start w:val="1"/>
    </w:lvl>
    <w:lvl w:ilvl="1">
      <w:lvlJc w:val="left"/>
      <w:lvlText w:val="(%2)"/>
      <w:numFmt w:val="lowerLetter"/>
      <w:start w:val="2"/>
    </w:lvl>
  </w:abstractNum>
  <w:abstractNum w:abstractNumId="25">
    <w:nsid w:val="CC1016F"/>
    <w:multiLevelType w:val="hybridMultilevel"/>
    <w:lvl w:ilvl="0">
      <w:lvlJc w:val="left"/>
      <w:lvlText w:val="(%1)"/>
      <w:numFmt w:val="lowerLetter"/>
      <w:start w:val="61"/>
    </w:lvl>
    <w:lvl w:ilvl="1">
      <w:lvlJc w:val="left"/>
      <w:lvlText w:val="(%2)"/>
      <w:numFmt w:val="lowerLetter"/>
      <w:start w:val="3"/>
    </w:lvl>
  </w:abstractNum>
  <w:abstractNum w:abstractNumId="26">
    <w:nsid w:val="43F18422"/>
    <w:multiLevelType w:val="hybridMultilevel"/>
    <w:lvl w:ilvl="0">
      <w:lvlJc w:val="left"/>
      <w:lvlText w:val="%1"/>
      <w:numFmt w:val="lowerRoman"/>
      <w:start w:val="1"/>
    </w:lvl>
    <w:lvl w:ilvl="1">
      <w:lvlJc w:val="left"/>
      <w:lvlText w:val="(%2)"/>
      <w:numFmt w:val="lowerLetter"/>
      <w:start w:val="1"/>
    </w:lvl>
  </w:abstractNum>
  <w:abstractNum w:abstractNumId="27">
    <w:nsid w:val="60EF0119"/>
    <w:multiLevelType w:val="hybridMultilevel"/>
    <w:lvl w:ilvl="0">
      <w:lvlJc w:val="left"/>
      <w:lvlText w:val="(%1)"/>
      <w:numFmt w:val="lowerRoman"/>
      <w:start w:val="2"/>
    </w:lvl>
    <w:lvl w:ilvl="1">
      <w:lvlJc w:val="left"/>
      <w:lvlText w:val="%2"/>
      <w:numFmt w:val="lowerLetter"/>
      <w:start w:val="1"/>
    </w:lvl>
  </w:abstractNum>
  <w:abstractNum w:abstractNumId="28">
    <w:nsid w:val="26F324BA"/>
    <w:multiLevelType w:val="hybridMultilevel"/>
    <w:lvl w:ilvl="0">
      <w:lvlJc w:val="left"/>
      <w:lvlText w:val="(%1)"/>
      <w:numFmt w:val="lowerRoman"/>
      <w:start w:val="4"/>
    </w:lvl>
    <w:lvl w:ilvl="1">
      <w:lvlJc w:val="left"/>
      <w:lvlText w:val="(%2)"/>
      <w:numFmt w:val="lowerLetter"/>
      <w:start w:val="3"/>
    </w:lvl>
  </w:abstractNum>
  <w:abstractNum w:abstractNumId="29">
    <w:nsid w:val="7F01579B"/>
    <w:multiLevelType w:val="hybridMultilevel"/>
    <w:lvl w:ilvl="0">
      <w:lvlJc w:val="left"/>
      <w:lvlText w:val="(%1)"/>
      <w:numFmt w:val="lowerLetter"/>
      <w:start w:val="1"/>
    </w:lvl>
  </w:abstractNum>
  <w:abstractNum w:abstractNumId="30">
    <w:nsid w:val="49DA307D"/>
    <w:multiLevelType w:val="hybridMultilevel"/>
    <w:lvl w:ilvl="0">
      <w:lvlJc w:val="left"/>
      <w:lvlText w:val="%1"/>
      <w:numFmt w:val="lowerRoman"/>
      <w:start w:val="1"/>
    </w:lvl>
    <w:lvl w:ilvl="1">
      <w:lvlJc w:val="left"/>
      <w:lvlText w:val="(%2)"/>
      <w:numFmt w:val="lowerLetter"/>
      <w:start w:val="2"/>
    </w:lvl>
  </w:abstractNum>
  <w:abstractNum w:abstractNumId="31">
    <w:nsid w:val="7055A5F5"/>
    <w:multiLevelType w:val="hybridMultilevel"/>
    <w:lvl w:ilvl="0">
      <w:lvlJc w:val="left"/>
      <w:lvlText w:val="(%1)"/>
      <w:numFmt w:val="lowerRoman"/>
      <w:start w:val="6"/>
    </w:lvl>
    <w:lvl w:ilvl="1">
      <w:lvlJc w:val="left"/>
      <w:lvlText w:val="(%2)"/>
      <w:numFmt w:val="lowerLetter"/>
      <w:start w:val="3"/>
    </w:lvl>
  </w:abstractNum>
  <w:abstractNum w:abstractNumId="32">
    <w:nsid w:val="5FB8370B"/>
    <w:multiLevelType w:val="hybridMultilevel"/>
    <w:lvl w:ilvl="0">
      <w:lvlJc w:val="left"/>
      <w:lvlText w:val="(%1)"/>
      <w:numFmt w:val="lowerLetter"/>
      <w:start w:val="1"/>
    </w:lvl>
  </w:abstractNum>
  <w:abstractNum w:abstractNumId="33">
    <w:nsid w:val="50801EE1"/>
    <w:multiLevelType w:val="hybridMultilevel"/>
    <w:lvl w:ilvl="0">
      <w:lvlJc w:val="left"/>
      <w:lvlText w:val="(%1)"/>
      <w:numFmt w:val="lowerLetter"/>
      <w:start w:val="3"/>
    </w:lvl>
  </w:abstractNum>
  <w:abstractNum w:abstractNumId="34">
    <w:nsid w:val="488AC1A"/>
    <w:multiLevelType w:val="hybridMultilevel"/>
    <w:lvl w:ilvl="0">
      <w:lvlJc w:val="left"/>
      <w:lvlText w:val="(%1)"/>
      <w:numFmt w:val="lowerLetter"/>
      <w:start w:val="5"/>
    </w:lvl>
  </w:abstractNum>
  <w:abstractNum w:abstractNumId="35">
    <w:nsid w:val="5FB8011C"/>
    <w:multiLevelType w:val="hybridMultilevel"/>
    <w:lvl w:ilvl="0">
      <w:lvlJc w:val="left"/>
      <w:lvlText w:val="(%1)"/>
      <w:numFmt w:val="lowerRoman"/>
      <w:start w:val="1"/>
    </w:lvl>
  </w:abstractNum>
  <w:abstractNum w:abstractNumId="36">
    <w:nsid w:val="6AA78F7F"/>
    <w:multiLevelType w:val="hybridMultilevel"/>
    <w:lvl w:ilvl="0">
      <w:lvlJc w:val="left"/>
      <w:lvlText w:val="(%1)"/>
      <w:numFmt w:val="lowerLetter"/>
      <w:start w:val="1"/>
    </w:lvl>
    <w:lvl w:ilvl="1">
      <w:lvlJc w:val="left"/>
      <w:lvlText w:val="(%2)"/>
      <w:numFmt w:val="lowerLetter"/>
      <w:start w:val="9"/>
    </w:lvl>
  </w:abstractNum>
  <w:abstractNum w:abstractNumId="37">
    <w:nsid w:val="7672BD23"/>
    <w:multiLevelType w:val="hybridMultilevel"/>
    <w:lvl w:ilvl="0">
      <w:lvlJc w:val="left"/>
      <w:lvlText w:val="%1"/>
      <w:numFmt w:val="lowerLetter"/>
      <w:start w:val="1"/>
    </w:lvl>
    <w:lvl w:ilvl="1">
      <w:lvlJc w:val="left"/>
      <w:lvlText w:val="(%2)"/>
      <w:numFmt w:val="lowerRoman"/>
      <w:start w:val="2"/>
    </w:lvl>
  </w:abstractNum>
  <w:abstractNum w:abstractNumId="38">
    <w:nsid w:val="6FC75AF8"/>
    <w:multiLevelType w:val="hybridMultilevel"/>
    <w:lvl w:ilvl="0">
      <w:lvlJc w:val="left"/>
      <w:lvlText w:val="(%1)"/>
      <w:numFmt w:val="lowerLetter"/>
      <w:start w:val="4"/>
    </w:lvl>
    <w:lvl w:ilvl="1">
      <w:lvlJc w:val="left"/>
      <w:lvlText w:val="%2"/>
      <w:numFmt w:val="lowerRoman"/>
      <w:start w:val="1"/>
    </w:lvl>
  </w:abstractNum>
  <w:abstractNum w:abstractNumId="39">
    <w:nsid w:val="6A5F7029"/>
    <w:multiLevelType w:val="hybridMultilevel"/>
    <w:lvl w:ilvl="0">
      <w:lvlJc w:val="left"/>
      <w:lvlText w:val="%1"/>
      <w:numFmt w:val="lowerLetter"/>
      <w:start w:val="1"/>
    </w:lvl>
    <w:lvl w:ilvl="1">
      <w:lvlJc w:val="left"/>
      <w:lvlText w:val="(%2)"/>
      <w:numFmt w:val="lowerLetter"/>
      <w:start w:val="8"/>
    </w:lvl>
  </w:abstractNum>
  <w:abstractNum w:abstractNumId="40">
    <w:nsid w:val="7D5E18F8"/>
    <w:multiLevelType w:val="hybridMultilevel"/>
    <w:lvl w:ilvl="0">
      <w:lvlJc w:val="left"/>
      <w:lvlText w:val="(%1)"/>
      <w:numFmt w:val="lowerLetter"/>
      <w:start w:val="35"/>
    </w:lvl>
    <w:lvl w:ilvl="1">
      <w:lvlJc w:val="left"/>
      <w:lvlText w:val="(%2)"/>
      <w:numFmt w:val="lowerLetter"/>
      <w:start w:val="9"/>
    </w:lvl>
  </w:abstractNum>
  <w:abstractNum w:abstractNumId="41">
    <w:nsid w:val="5F3534A4"/>
    <w:multiLevelType w:val="hybridMultilevel"/>
    <w:lvl w:ilvl="0">
      <w:lvlJc w:val="left"/>
      <w:lvlText w:val="(%1)"/>
      <w:numFmt w:val="lowerLetter"/>
      <w:start w:val="1"/>
    </w:lvl>
  </w:abstractNum>
  <w:abstractNum w:abstractNumId="42">
    <w:nsid w:val="73A1821B"/>
    <w:multiLevelType w:val="hybridMultilevel"/>
    <w:lvl w:ilvl="0">
      <w:lvlJc w:val="left"/>
      <w:lvlText w:val="(%1)"/>
      <w:numFmt w:val="lowerLetter"/>
      <w:start w:val="3"/>
    </w:lvl>
  </w:abstractNum>
  <w:abstractNum w:abstractNumId="43">
    <w:nsid w:val="7DE67713"/>
    <w:multiLevelType w:val="hybridMultilevel"/>
    <w:lvl w:ilvl="0">
      <w:lvlJc w:val="left"/>
      <w:lvlText w:val="%1"/>
      <w:numFmt w:val="lowerLetter"/>
      <w:start w:val="1"/>
    </w:lvl>
    <w:lvl w:ilvl="1">
      <w:lvlJc w:val="left"/>
      <w:lvlText w:val="(%2)"/>
      <w:numFmt w:val="lowerLetter"/>
      <w:start w:val="8"/>
    </w:lvl>
  </w:abstractNum>
  <w:abstractNum w:abstractNumId="44">
    <w:nsid w:val="555C55B5"/>
    <w:multiLevelType w:val="hybridMultilevel"/>
    <w:lvl w:ilvl="0">
      <w:lvlJc w:val="left"/>
      <w:lvlText w:val="(%1)"/>
      <w:numFmt w:val="lowerLetter"/>
      <w:start w:val="35"/>
    </w:lvl>
    <w:lvl w:ilvl="1">
      <w:lvlJc w:val="left"/>
      <w:lvlText w:val="(%2)"/>
      <w:numFmt w:val="lowerLetter"/>
      <w:start w:val="9"/>
    </w:lvl>
  </w:abstractNum>
  <w:abstractNum w:abstractNumId="45">
    <w:nsid w:val="3FA62ACA"/>
    <w:multiLevelType w:val="hybridMultilevel"/>
    <w:lvl w:ilvl="0">
      <w:lvlJc w:val="left"/>
      <w:lvlText w:val="(%1)"/>
      <w:numFmt w:val="lowerLetter"/>
      <w:start w:val="1"/>
    </w:lvl>
  </w:abstractNum>
  <w:abstractNum w:abstractNumId="46">
    <w:nsid w:val="14FCE74E"/>
    <w:multiLevelType w:val="hybridMultilevel"/>
    <w:lvl w:ilvl="0">
      <w:lvlJc w:val="left"/>
      <w:lvlText w:val="(%1)"/>
      <w:numFmt w:val="lowerLetter"/>
      <w:start w:val="2"/>
    </w:lvl>
    <w:lvl w:ilvl="1">
      <w:lvlJc w:val="left"/>
      <w:lvlText w:val="(%2)"/>
      <w:numFmt w:val="lowerRoman"/>
      <w:start w:val="1"/>
    </w:lvl>
  </w:abstractNum>
  <w:abstractNum w:abstractNumId="47">
    <w:nsid w:val="6A3DD3E8"/>
    <w:multiLevelType w:val="hybridMultilevel"/>
    <w:lvl w:ilvl="0">
      <w:lvlJc w:val="left"/>
      <w:lvlText w:val="(%1)"/>
      <w:numFmt w:val="lowerRoman"/>
      <w:start w:val="4"/>
    </w:lvl>
  </w:abstractNum>
  <w:abstractNum w:abstractNumId="48">
    <w:nsid w:val="71C91298"/>
    <w:multiLevelType w:val="hybridMultilevel"/>
    <w:lvl w:ilvl="0">
      <w:lvlJc w:val="left"/>
      <w:lvlText w:val="(%1)"/>
      <w:numFmt w:val="lowerLetter"/>
      <w:start w:val="1"/>
    </w:lvl>
  </w:abstractNum>
  <w:abstractNum w:abstractNumId="49">
    <w:nsid w:val="9DAF632"/>
    <w:multiLevelType w:val="hybridMultilevel"/>
    <w:lvl w:ilvl="0">
      <w:lvlJc w:val="left"/>
      <w:lvlText w:val="%1"/>
      <w:numFmt w:val="lowerRoman"/>
      <w:start w:val="1"/>
    </w:lvl>
    <w:lvl w:ilvl="1">
      <w:lvlJc w:val="left"/>
      <w:lvlText w:val="(%2)"/>
      <w:numFmt w:val="lowerLetter"/>
      <w:start w:val="11"/>
    </w:lvl>
  </w:abstractNum>
  <w:abstractNum w:abstractNumId="50">
    <w:nsid w:val="53299938"/>
    <w:multiLevelType w:val="hybridMultilevel"/>
    <w:lvl w:ilvl="0">
      <w:lvlJc w:val="left"/>
      <w:lvlText w:val="(%1)"/>
      <w:numFmt w:val="lowerRoman"/>
      <w:start w:val="4"/>
    </w:lvl>
    <w:lvl w:ilvl="1">
      <w:lvlJc w:val="left"/>
      <w:lvlText w:val="(%2)"/>
      <w:numFmt w:val="lowerLetter"/>
      <w:start w:val="15"/>
    </w:lvl>
  </w:abstractNum>
  <w:abstractNum w:abstractNumId="51">
    <w:nsid w:val="1FBFE8E0"/>
    <w:multiLevelType w:val="hybridMultilevel"/>
    <w:lvl w:ilvl="0">
      <w:lvlJc w:val="left"/>
      <w:lvlText w:val="(%1)"/>
      <w:numFmt w:val="lowerLetter"/>
      <w:start w:val="1"/>
    </w:lvl>
    <w:lvl w:ilvl="1">
      <w:lvlJc w:val="left"/>
      <w:lvlText w:val="(%2)"/>
      <w:numFmt w:val="lowerRoman"/>
      <w:start w:val="1"/>
    </w:lvl>
  </w:abstractNum>
  <w:abstractNum w:abstractNumId="52">
    <w:nsid w:val="5092CA79"/>
    <w:multiLevelType w:val="hybridMultilevel"/>
    <w:lvl w:ilvl="0">
      <w:lvlJc w:val="left"/>
      <w:lvlText w:val="(%1)"/>
      <w:numFmt w:val="lowerRoman"/>
      <w:start w:val="5"/>
    </w:lvl>
  </w:abstractNum>
  <w:abstractNum w:abstractNumId="53">
    <w:nsid w:val="1D545C4D"/>
    <w:multiLevelType w:val="hybridMultilevel"/>
    <w:lvl w:ilvl="0">
      <w:lvlJc w:val="left"/>
      <w:lvlText w:val="%1"/>
      <w:numFmt w:val="lowerLetter"/>
      <w:start w:val="1"/>
    </w:lvl>
    <w:lvl w:ilvl="1">
      <w:lvlJc w:val="left"/>
      <w:lvlText w:val="(%2)"/>
      <w:numFmt w:val="lowerRoman"/>
      <w:start w:val="18"/>
    </w:lvl>
  </w:abstractNum>
  <w:abstractNum w:abstractNumId="54">
    <w:nsid w:val="59ADEA3D"/>
    <w:multiLevelType w:val="hybridMultilevel"/>
    <w:lvl w:ilvl="0">
      <w:lvlJc w:val="left"/>
      <w:lvlText w:val="(%1)"/>
      <w:numFmt w:val="lowerLetter"/>
      <w:start w:val="2"/>
    </w:lvl>
    <w:lvl w:ilvl="1">
      <w:lvlJc w:val="left"/>
      <w:lvlText w:val="%2"/>
      <w:numFmt w:val="lowerRoman"/>
      <w:start w:val="1"/>
    </w:lvl>
  </w:abstractNum>
  <w:abstractNum w:abstractNumId="55">
    <w:nsid w:val="288F1A34"/>
    <w:multiLevelType w:val="hybridMultilevel"/>
    <w:lvl w:ilvl="0">
      <w:lvlJc w:val="left"/>
      <w:lvlText w:val="(%1)"/>
      <w:numFmt w:val="lowerLetter"/>
      <w:start w:val="1"/>
    </w:lvl>
  </w:abstractNum>
  <w:abstractNum w:abstractNumId="56">
    <w:nsid w:val="2A155DBC"/>
    <w:multiLevelType w:val="hybridMultilevel"/>
    <w:lvl w:ilvl="0">
      <w:lvlJc w:val="left"/>
      <w:lvlText w:val="%1"/>
      <w:numFmt w:val="lowerLetter"/>
      <w:start w:val="1"/>
    </w:lvl>
    <w:lvl w:ilvl="1">
      <w:lvlJc w:val="left"/>
      <w:lvlText w:val="(%2)"/>
      <w:numFmt w:val="lowerLetter"/>
      <w:start w:val="2"/>
    </w:lvl>
  </w:abstractNum>
  <w:abstractNum w:abstractNumId="57">
    <w:nsid w:val="1D9F6E5F"/>
    <w:multiLevelType w:val="hybridMultilevel"/>
    <w:lvl w:ilvl="0">
      <w:lvlJc w:val="left"/>
      <w:lvlText w:val="(%1)"/>
      <w:numFmt w:val="lowerLetter"/>
      <w:start w:val="35"/>
    </w:lvl>
    <w:lvl w:ilvl="1">
      <w:lvlJc w:val="left"/>
      <w:lvlText w:val="%2"/>
      <w:numFmt w:val="lowerLetter"/>
      <w:start w:val="1"/>
    </w:lvl>
  </w:abstractNum>
  <w:abstractNum w:abstractNumId="58">
    <w:nsid w:val="97E1B4E"/>
    <w:multiLevelType w:val="hybridMultilevel"/>
    <w:lvl w:ilvl="0">
      <w:lvlJc w:val="left"/>
      <w:lvlText w:val="%1"/>
      <w:numFmt w:val="lowerLetter"/>
      <w:start w:val="1"/>
    </w:lvl>
    <w:lvl w:ilvl="1">
      <w:lvlJc w:val="left"/>
      <w:lvlText w:val="(%2)"/>
      <w:numFmt w:val="lowerLetter"/>
      <w:start w:val="5"/>
    </w:lvl>
  </w:abstractNum>
  <w:abstractNum w:abstractNumId="59">
    <w:nsid w:val="51088277"/>
    <w:multiLevelType w:val="hybridMultilevel"/>
    <w:lvl w:ilvl="0">
      <w:lvlJc w:val="left"/>
      <w:lvlText w:val="(%1)"/>
      <w:numFmt w:val="lowerLetter"/>
      <w:start w:val="35"/>
    </w:lvl>
    <w:lvl w:ilvl="1">
      <w:lvlJc w:val="left"/>
      <w:lvlText w:val="(%2)"/>
      <w:numFmt w:val="lowerLetter"/>
      <w:start w:val="6"/>
    </w:lvl>
  </w:abstractNum>
  <w:abstractNum w:abstractNumId="60">
    <w:nsid w:val="1CA0C5FA"/>
    <w:multiLevelType w:val="hybridMultilevel"/>
    <w:lvl w:ilvl="0">
      <w:lvlJc w:val="left"/>
      <w:lvlText w:val="%1"/>
      <w:numFmt w:val="lowerRoman"/>
      <w:start w:val="1"/>
    </w:lvl>
    <w:lvl w:ilvl="1">
      <w:lvlJc w:val="left"/>
      <w:lvlText w:val="(%2)"/>
      <w:numFmt w:val="lowerLetter"/>
      <w:start w:val="11"/>
    </w:lvl>
  </w:abstractNum>
  <w:abstractNum w:abstractNumId="61">
    <w:nsid w:val="53584BCB"/>
    <w:multiLevelType w:val="hybridMultilevel"/>
    <w:lvl w:ilvl="0">
      <w:lvlJc w:val="left"/>
      <w:lvlText w:val="(%1)"/>
      <w:numFmt w:val="lowerRoman"/>
      <w:start w:val="4"/>
    </w:lvl>
    <w:lvl w:ilvl="1">
      <w:lvlJc w:val="left"/>
      <w:lvlText w:val="(%2)"/>
      <w:numFmt w:val="lowerLetter"/>
      <w:start w:val="14"/>
    </w:lvl>
  </w:abstractNum>
  <w:abstractNum w:abstractNumId="62">
    <w:nsid w:val="415E286C"/>
    <w:multiLevelType w:val="hybridMultilevel"/>
    <w:lvl w:ilvl="0">
      <w:lvlJc w:val="left"/>
      <w:lvlText w:val="(%1)"/>
      <w:numFmt w:val="lowerLetter"/>
      <w:start w:val="1"/>
    </w:lvl>
  </w:abstractNum>
  <w:abstractNum w:abstractNumId="63">
    <w:nsid w:val="7C58FD05"/>
    <w:multiLevelType w:val="hybridMultilevel"/>
    <w:lvl w:ilvl="0">
      <w:lvlJc w:val="left"/>
      <w:lvlText w:val="(%1)"/>
      <w:numFmt w:val="lowerLetter"/>
      <w:start w:val="6"/>
    </w:lvl>
  </w:abstractNum>
  <w:abstractNum w:abstractNumId="64">
    <w:nsid w:val="23D86AAC"/>
    <w:multiLevelType w:val="hybridMultilevel"/>
    <w:lvl w:ilvl="0">
      <w:lvlJc w:val="left"/>
      <w:lvlText w:val="(%1)"/>
      <w:numFmt w:val="lowerLetter"/>
      <w:start w:val="1"/>
    </w:lvl>
  </w:abstractNum>
  <w:abstractNum w:abstractNumId="65">
    <w:nsid w:val="45E6D486"/>
    <w:multiLevelType w:val="hybridMultilevel"/>
    <w:lvl w:ilvl="0">
      <w:lvlJc w:val="left"/>
      <w:lvlText w:val="(%1)"/>
      <w:numFmt w:val="lowerLetter"/>
      <w:start w:val="5"/>
    </w:lvl>
  </w:abstractNum>
  <w:abstractNum w:abstractNumId="66">
    <w:nsid w:val="5C10FE21"/>
    <w:multiLevelType w:val="hybridMultilevel"/>
    <w:lvl w:ilvl="0">
      <w:lvlJc w:val="left"/>
      <w:lvlText w:val="%1"/>
      <w:numFmt w:val="upperLetter"/>
      <w:start w:val="1"/>
    </w:lvl>
    <w:lvl w:ilvl="1">
      <w:lvlJc w:val="left"/>
      <w:lvlText w:val="(%2)"/>
      <w:numFmt w:val="lowerLetter"/>
      <w:start w:val="10"/>
    </w:lvl>
  </w:abstractNum>
  <w:abstractNum w:abstractNumId="67">
    <w:nsid w:val="E7FFA2B"/>
    <w:multiLevelType w:val="hybridMultilevel"/>
    <w:lvl w:ilvl="0">
      <w:lvlJc w:val="left"/>
      <w:lvlText w:val="(%1)"/>
      <w:numFmt w:val="upperLetter"/>
      <w:start w:val="4"/>
    </w:lvl>
    <w:lvl w:ilvl="1">
      <w:lvlJc w:val="left"/>
      <w:lvlText w:val="%2"/>
      <w:numFmt w:val="lowerLetter"/>
      <w:start w:val="1"/>
    </w:lvl>
  </w:abstractNum>
  <w:abstractNum w:abstractNumId="68">
    <w:nsid w:val="3C5991AA"/>
    <w:multiLevelType w:val="hybridMultilevel"/>
    <w:lvl w:ilvl="0">
      <w:lvlJc w:val="left"/>
      <w:lvlText w:val="%1"/>
      <w:numFmt w:val="upperLetter"/>
      <w:start w:val="1"/>
    </w:lvl>
    <w:lvl w:ilvl="1">
      <w:lvlJc w:val="left"/>
      <w:lvlText w:val="(%2)"/>
      <w:numFmt w:val="lowerLetter"/>
      <w:start w:val="14"/>
    </w:lvl>
  </w:abstractNum>
  <w:abstractNum w:abstractNumId="69">
    <w:nsid w:val="4BD8591A"/>
    <w:multiLevelType w:val="hybridMultilevel"/>
    <w:lvl w:ilvl="0">
      <w:lvlJc w:val="left"/>
      <w:lvlText w:val="(%1)"/>
      <w:numFmt w:val="upperLetter"/>
      <w:start w:val="3"/>
    </w:lvl>
    <w:lvl w:ilvl="1">
      <w:lvlJc w:val="left"/>
      <w:lvlText w:val="(%2)"/>
      <w:numFmt w:val="lowerLetter"/>
      <w:start w:val="16"/>
    </w:lvl>
  </w:abstractNum>
  <w:abstractNum w:abstractNumId="70">
    <w:nsid w:val="78DF6A55"/>
    <w:multiLevelType w:val="hybridMultilevel"/>
    <w:lvl w:ilvl="0">
      <w:lvlJc w:val="left"/>
      <w:lvlText w:val="(%1)"/>
      <w:numFmt w:val="lowerLetter"/>
      <w:start w:val="19"/>
    </w:lvl>
  </w:abstractNum>
  <w:abstractNum w:abstractNumId="71">
    <w:nsid w:val="39B7AAA2"/>
    <w:multiLevelType w:val="hybridMultilevel"/>
    <w:lvl w:ilvl="0">
      <w:lvlJc w:val="left"/>
      <w:lvlText w:val="(%1)"/>
      <w:numFmt w:val="lowerLetter"/>
      <w:start w:val="1"/>
    </w:lvl>
  </w:abstractNum>
  <w:abstractNum w:abstractNumId="72">
    <w:nsid w:val="2B0D8DBE"/>
    <w:multiLevelType w:val="hybridMultilevel"/>
    <w:lvl w:ilvl="0">
      <w:lvlJc w:val="left"/>
      <w:lvlText w:val="(%1)"/>
      <w:numFmt w:val="lowerLetter"/>
      <w:start w:val="4"/>
    </w:lvl>
  </w:abstractNum>
  <w:abstractNum w:abstractNumId="73">
    <w:nsid w:val="6C80EC70"/>
    <w:multiLevelType w:val="hybridMultilevel"/>
    <w:lvl w:ilvl="0">
      <w:lvlJc w:val="left"/>
      <w:lvlText w:val="(%1)"/>
      <w:numFmt w:val="lowerRoman"/>
      <w:start w:val="1"/>
    </w:lvl>
  </w:abstractNum>
  <w:abstractNum w:abstractNumId="74">
    <w:nsid w:val="379E21B5"/>
    <w:multiLevelType w:val="hybridMultilevel"/>
    <w:lvl w:ilvl="0">
      <w:lvlJc w:val="left"/>
      <w:lvlText w:val="%1"/>
      <w:numFmt w:val="lowerLetter"/>
      <w:start w:val="1"/>
    </w:lvl>
    <w:lvl w:ilvl="1">
      <w:lvlJc w:val="left"/>
      <w:lvlText w:val="(%2)"/>
      <w:numFmt w:val="lowerLetter"/>
      <w:start w:val="1"/>
    </w:lvl>
  </w:abstractNum>
  <w:abstractNum w:abstractNumId="75">
    <w:nsid w:val="69E373"/>
    <w:multiLevelType w:val="hybridMultilevel"/>
    <w:lvl w:ilvl="0">
      <w:lvlJc w:val="left"/>
      <w:lvlText w:val="(%1)"/>
      <w:numFmt w:val="lowerLetter"/>
      <w:start w:val="61"/>
    </w:lvl>
    <w:lvl w:ilvl="1">
      <w:lvlJc w:val="left"/>
      <w:lvlText w:val="%2"/>
      <w:numFmt w:val="lowerLetter"/>
      <w:start w:val="1"/>
    </w:lvl>
  </w:abstractNum>
  <w:abstractNum w:abstractNumId="76">
    <w:nsid w:val="2C27173B"/>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77">
    <w:nsid w:val="4C9B0904"/>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4"/>
    </w:lvl>
  </w:abstractNum>
  <w:abstractNum w:abstractNumId="78">
    <w:nsid w:val="6AA7B75C"/>
    <w:multiLevelType w:val="hybridMultilevel"/>
    <w:lvl w:ilvl="0">
      <w:lvlJc w:val="left"/>
      <w:lvlText w:val="(%1)"/>
      <w:numFmt w:val="lowerLetter"/>
      <w:start w:val="1"/>
    </w:lvl>
  </w:abstractNum>
  <w:abstractNum w:abstractNumId="79">
    <w:nsid w:val="1DF029D3"/>
    <w:multiLevelType w:val="hybridMultilevel"/>
    <w:lvl w:ilvl="0">
      <w:lvlJc w:val="left"/>
      <w:lvlText w:val="(%1)"/>
      <w:numFmt w:val="lowerLetter"/>
      <w:start w:val="2"/>
    </w:lvl>
    <w:lvl w:ilvl="1">
      <w:lvlJc w:val="left"/>
      <w:lvlText w:val="(%2)"/>
      <w:numFmt w:val="lowerLetter"/>
      <w:start w:val="9"/>
    </w:lvl>
  </w:abstractNum>
  <w:abstractNum w:abstractNumId="80">
    <w:nsid w:val="5675FF36"/>
    <w:multiLevelType w:val="hybridMultilevel"/>
    <w:lvl w:ilvl="0">
      <w:lvlJc w:val="left"/>
      <w:lvlText w:val="(%1)"/>
      <w:numFmt w:val="lowerRoman"/>
      <w:start w:val="2"/>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lowerLetter"/>
      <w:start w:val="1"/>
    </w:lvl>
    <w:lvl w:ilvl="1">
      <w:lvlJc w:val="left"/>
      <w:lvlText w:val="(%2)"/>
      <w:numFmt w:val="lowerLetter"/>
      <w:start w:val="1"/>
    </w:lvl>
  </w:abstractNum>
  <w:abstractNum w:abstractNumId="83">
    <w:nsid w:val="2708C9AF"/>
    <w:multiLevelType w:val="hybridMultilevel"/>
    <w:lvl w:ilvl="0">
      <w:lvlJc w:val="left"/>
      <w:lvlText w:val="(%1)"/>
      <w:numFmt w:val="lowerLetter"/>
      <w:start w:val="9"/>
    </w:lvl>
    <w:lvl w:ilvl="1">
      <w:lvlJc w:val="left"/>
      <w:lvlText w:val="%2"/>
      <w:numFmt w:val="lowerLetter"/>
      <w:start w:val="1"/>
    </w:lvl>
  </w:abstractNum>
  <w:abstractNum w:abstractNumId="84">
    <w:nsid w:val="5B25ACE2"/>
    <w:multiLevelType w:val="hybridMultilevel"/>
    <w:lvl w:ilvl="0">
      <w:lvlJc w:val="left"/>
      <w:lvlText w:val="(%1)"/>
      <w:numFmt w:val="lowerLetter"/>
      <w:start w:val="61"/>
    </w:lvl>
    <w:lvl w:ilvl="1">
      <w:lvlJc w:val="left"/>
      <w:lvlText w:val="%2"/>
      <w:numFmt w:val="lowerLetter"/>
      <w:start w:val="1"/>
    </w:lvl>
  </w:abstractNum>
  <w:abstractNum w:abstractNumId="85">
    <w:nsid w:val="175DFCF0"/>
    <w:multiLevelType w:val="hybridMultilevel"/>
    <w:lvl w:ilvl="0">
      <w:lvlJc w:val="left"/>
      <w:lvlText w:val="(%1)"/>
      <w:numFmt w:val="lowerLetter"/>
      <w:start w:val="2"/>
    </w:lvl>
  </w:abstractNum>
  <w:abstractNum w:abstractNumId="86">
    <w:nsid w:val="4F97E3E4"/>
    <w:multiLevelType w:val="hybridMultilevel"/>
    <w:lvl w:ilvl="0">
      <w:lvlJc w:val="left"/>
      <w:lvlText w:val="(%1)"/>
      <w:numFmt w:val="lowerRoman"/>
      <w:start w:val="3"/>
    </w:lvl>
  </w:abstractNum>
  <w:abstractNum w:abstractNumId="87">
    <w:nsid w:val="53B0A9E"/>
    <w:multiLevelType w:val="hybridMultilevel"/>
    <w:lvl w:ilvl="0">
      <w:lvlJc w:val="left"/>
      <w:lvlText w:val="%1"/>
      <w:numFmt w:val="lowerLetter"/>
      <w:start w:val="1"/>
    </w:lvl>
    <w:lvl w:ilvl="1">
      <w:lvlJc w:val="left"/>
      <w:lvlText w:val="(%2)"/>
      <w:numFmt w:val="lowerLetter"/>
      <w:start w:val="1"/>
    </w:lvl>
  </w:abstractNum>
  <w:abstractNum w:abstractNumId="88">
    <w:nsid w:val="34FD6B4F"/>
    <w:multiLevelType w:val="hybridMultilevel"/>
    <w:lvl w:ilvl="0">
      <w:lvlJc w:val="left"/>
      <w:lvlText w:val="(%1)"/>
      <w:numFmt w:val="lowerLetter"/>
      <w:start w:val="35"/>
    </w:lvl>
    <w:lvl w:ilvl="1">
      <w:lvlJc w:val="left"/>
      <w:lvlText w:val="%2"/>
      <w:numFmt w:val="lowerLetter"/>
      <w:start w:val="1"/>
    </w:lvl>
  </w:abstractNum>
  <w:abstractNum w:abstractNumId="89">
    <w:nsid w:val="5915FF32"/>
    <w:multiLevelType w:val="hybridMultilevel"/>
    <w:lvl w:ilvl="0">
      <w:lvlJc w:val="left"/>
      <w:lvlText w:val="(%1)"/>
      <w:numFmt w:val="lowerLetter"/>
      <w:start w:val="2"/>
    </w:lvl>
    <w:lvl w:ilvl="1">
      <w:lvlJc w:val="left"/>
      <w:lvlText w:val="(%2)"/>
      <w:numFmt w:val="lowerRoman"/>
      <w:start w:val="1"/>
    </w:lvl>
  </w:abstractNum>
  <w:abstractNum w:abstractNumId="90">
    <w:nsid w:val="56438D15"/>
    <w:multiLevelType w:val="hybridMultilevel"/>
    <w:lvl w:ilvl="0">
      <w:lvlJc w:val="left"/>
      <w:lvlText w:val="%1"/>
      <w:numFmt w:val="upperLetter"/>
      <w:start w:val="1"/>
    </w:lvl>
    <w:lvl w:ilvl="1">
      <w:lvlJc w:val="left"/>
      <w:lvlText w:val="(%2)"/>
      <w:numFmt w:val="lowerRoman"/>
      <w:start w:val="9"/>
    </w:lvl>
  </w:abstractNum>
  <w:abstractNum w:abstractNumId="91">
    <w:nsid w:val="519E3149"/>
    <w:multiLevelType w:val="hybridMultilevel"/>
    <w:lvl w:ilvl="0">
      <w:lvlJc w:val="left"/>
      <w:lvlText w:val="(%1)"/>
      <w:numFmt w:val="upperLetter"/>
      <w:start w:val="1"/>
    </w:lvl>
    <w:lvl w:ilvl="1">
      <w:lvlJc w:val="left"/>
      <w:lvlText w:val="(%2)"/>
      <w:numFmt w:val="lowerRoman"/>
      <w:start w:val="11"/>
    </w:lvl>
  </w:abstractNum>
  <w:abstractNum w:abstractNumId="92">
    <w:nsid w:val="2C6E4AFD"/>
    <w:multiLevelType w:val="hybridMultilevel"/>
    <w:lvl w:ilvl="0">
      <w:lvlJc w:val="left"/>
      <w:lvlText w:val="(%1)"/>
      <w:numFmt w:val="lowerRoman"/>
      <w:start w:val="14"/>
    </w:lvl>
  </w:abstractNum>
  <w:abstractNum w:abstractNumId="93">
    <w:nsid w:val="17A1B582"/>
    <w:multiLevelType w:val="hybridMultilevel"/>
    <w:lvl w:ilvl="0">
      <w:lvlJc w:val="left"/>
      <w:lvlText w:val="(%1)"/>
      <w:numFmt w:val="lowerRoman"/>
      <w:start w:val="24"/>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upperLetter"/>
      <w:start w:val="1"/>
    </w:lvl>
    <w:lvl w:ilvl="1">
      <w:lvlJc w:val="left"/>
      <w:lvlText w:val="(%2)"/>
      <w:numFmt w:val="lowerLetter"/>
      <w:start w:val="2"/>
    </w:lvl>
  </w:abstractNum>
  <w:abstractNum w:abstractNumId="96">
    <w:nsid w:val="5D888A08"/>
    <w:multiLevelType w:val="hybridMultilevel"/>
    <w:lvl w:ilvl="0">
      <w:lvlJc w:val="left"/>
      <w:lvlText w:val="(%1)"/>
      <w:numFmt w:val="upperLetter"/>
      <w:start w:val="1"/>
    </w:lvl>
    <w:lvl w:ilvl="1">
      <w:lvlJc w:val="left"/>
      <w:lvlText w:val="%2"/>
      <w:numFmt w:val="lowerLetter"/>
      <w:start w:val="1"/>
    </w:lvl>
  </w:abstractNum>
  <w:abstractNum w:abstractNumId="97">
    <w:nsid w:val="2A082C70"/>
    <w:multiLevelType w:val="hybridMultilevel"/>
    <w:lvl w:ilvl="0">
      <w:lvlJc w:val="left"/>
      <w:lvlText w:val="(%1)"/>
      <w:numFmt w:val="lowerLetter"/>
      <w:start w:val="4"/>
    </w:lvl>
    <w:lvl w:ilvl="1">
      <w:lvlJc w:val="left"/>
      <w:lvlText w:val="(%2)"/>
      <w:numFmt w:val="lowerRoman"/>
      <w:start w:val="1"/>
    </w:lvl>
  </w:abstractNum>
  <w:abstractNum w:abstractNumId="98">
    <w:nsid w:val="5EC6AFD4"/>
    <w:multiLevelType w:val="hybridMultilevel"/>
    <w:lvl w:ilvl="0">
      <w:lvlJc w:val="left"/>
      <w:lvlText w:val="(%1)"/>
      <w:numFmt w:val="lowerLetter"/>
      <w:start w:val="5"/>
    </w:lvl>
  </w:abstractNum>
  <w:abstractNum w:abstractNumId="99">
    <w:nsid w:val="19E21BB2"/>
    <w:multiLevelType w:val="hybridMultilevel"/>
    <w:lvl w:ilvl="0">
      <w:lvlJc w:val="left"/>
      <w:lvlText w:val="(%1)"/>
      <w:numFmt w:val="lowerRoman"/>
      <w:start w:val="1"/>
    </w:lvl>
  </w:abstractNum>
  <w:abstractNum w:abstractNumId="100">
    <w:nsid w:val="75E0858A"/>
    <w:multiLevelType w:val="hybridMultilevel"/>
    <w:lvl w:ilvl="0">
      <w:lvlJc w:val="left"/>
      <w:lvlText w:val="%1"/>
      <w:numFmt w:val="lowerLetter"/>
      <w:start w:val="1"/>
    </w:lvl>
    <w:lvl w:ilvl="1">
      <w:lvlJc w:val="left"/>
      <w:lvlText w:val="(%2)"/>
      <w:numFmt w:val="lowerLetter"/>
      <w:start w:val="6"/>
    </w:lvl>
  </w:abstractNum>
  <w:abstractNum w:abstractNumId="101">
    <w:nsid w:val="57A61A29"/>
    <w:multiLevelType w:val="hybridMultilevel"/>
    <w:lvl w:ilvl="0">
      <w:lvlJc w:val="left"/>
      <w:lvlText w:val="(%1)"/>
      <w:numFmt w:val="lowerLetter"/>
      <w:start w:val="35"/>
    </w:lvl>
    <w:lvl w:ilvl="1">
      <w:lvlJc w:val="left"/>
      <w:lvlText w:val="%2"/>
      <w:numFmt w:val="lowerLetter"/>
      <w:start w:val="1"/>
    </w:lvl>
  </w:abstractNum>
  <w:abstractNum w:abstractNumId="102">
    <w:nsid w:val="5399C654"/>
    <w:multiLevelType w:val="hybridMultilevel"/>
    <w:lvl w:ilvl="0">
      <w:lvlJc w:val="left"/>
      <w:lvlText w:val="(%1)"/>
      <w:numFmt w:val="lowerLetter"/>
      <w:start w:val="8"/>
    </w:lvl>
    <w:lvl w:ilvl="1">
      <w:lvlJc w:val="left"/>
      <w:lvlText w:val="(%2)"/>
      <w:numFmt w:val="lowerRoman"/>
      <w:start w:val="1"/>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lowerLetter"/>
      <w:start w:val="2"/>
    </w:lvl>
  </w:abstractNum>
  <w:abstractNum w:abstractNumId="105">
    <w:nsid w:val="B37E80A"/>
    <w:multiLevelType w:val="hybridMultilevel"/>
    <w:lvl w:ilvl="0">
      <w:lvlJc w:val="left"/>
      <w:lvlText w:val="%1"/>
      <w:numFmt w:val="lowerLetter"/>
      <w:start w:val="1"/>
    </w:lvl>
    <w:lvl w:ilvl="1">
      <w:lvlJc w:val="left"/>
      <w:lvlText w:val="(%2)"/>
      <w:numFmt w:val="lowerLetter"/>
      <w:start w:val="1"/>
    </w:lvl>
  </w:abstractNum>
  <w:abstractNum w:abstractNumId="106">
    <w:nsid w:val="2157F6BC"/>
    <w:multiLevelType w:val="hybridMultilevel"/>
    <w:lvl w:ilvl="0">
      <w:lvlJc w:val="left"/>
      <w:lvlText w:val="(%1)"/>
      <w:numFmt w:val="lowerLetter"/>
      <w:start w:val="9"/>
    </w:lvl>
    <w:lvl w:ilvl="1">
      <w:lvlJc w:val="left"/>
      <w:lvlText w:val="%2"/>
      <w:numFmt w:val="lowerLetter"/>
      <w:start w:val="1"/>
    </w:lvl>
  </w:abstractNum>
  <w:abstractNum w:abstractNumId="107">
    <w:nsid w:val="704E1DD5"/>
    <w:multiLevelType w:val="hybridMultilevel"/>
    <w:lvl w:ilvl="0">
      <w:lvlJc w:val="left"/>
      <w:lvlText w:val="(%1)"/>
      <w:numFmt w:val="lowerLetter"/>
      <w:start w:val="2"/>
    </w:lvl>
    <w:lvl w:ilvl="1">
      <w:lvlJc w:val="left"/>
      <w:lvlText w:val="(%2)"/>
      <w:numFmt w:val="lowerRoman"/>
      <w:start w:val="1"/>
    </w:lvl>
  </w:abstractNum>
  <w:abstractNum w:abstractNumId="108">
    <w:nsid w:val="57D2F10E"/>
    <w:multiLevelType w:val="hybridMultilevel"/>
    <w:lvl w:ilvl="0">
      <w:lvlJc w:val="left"/>
      <w:lvlText w:val="(%1)"/>
      <w:numFmt w:val="lowerLetter"/>
      <w:start w:val="6"/>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1"/>
    </w:lvl>
    <w:lvl w:ilvl="1">
      <w:lvlJc w:val="left"/>
      <w:lvlText w:val="(%2)"/>
      <w:numFmt w:val="lowerLetter"/>
      <w:start w:val="1"/>
    </w:lvl>
  </w:abstractNum>
  <w:abstractNum w:abstractNumId="111">
    <w:nsid w:val="2E48F044"/>
    <w:multiLevelType w:val="hybridMultilevel"/>
    <w:lvl w:ilvl="0">
      <w:lvlJc w:val="left"/>
      <w:lvlText w:val="(%1)"/>
      <w:numFmt w:val="lowerLetter"/>
      <w:start w:val="35"/>
    </w:lvl>
    <w:lvl w:ilvl="1">
      <w:lvlJc w:val="left"/>
      <w:lvlText w:val="%2"/>
      <w:numFmt w:val="lowerLetter"/>
      <w:start w:val="1"/>
    </w:lvl>
  </w:abstractNum>
  <w:abstractNum w:abstractNumId="112">
    <w:nsid w:val="49D0FEAC"/>
    <w:multiLevelType w:val="hybridMultilevel"/>
    <w:lvl w:ilvl="0">
      <w:lvlJc w:val="left"/>
      <w:lvlText w:val="(%1)"/>
      <w:numFmt w:val="lowerLetter"/>
      <w:start w:val="3"/>
    </w:lvl>
  </w:abstractNum>
  <w:abstractNum w:abstractNumId="113">
    <w:nsid w:val="4BEE5A5B"/>
    <w:multiLevelType w:val="hybridMultilevel"/>
    <w:lvl w:ilvl="0">
      <w:lvlJc w:val="left"/>
      <w:lvlText w:val="%1"/>
      <w:numFmt w:val="decimal"/>
      <w:start w:val="1"/>
    </w:lvl>
    <w:lvl w:ilvl="1">
      <w:lvlJc w:val="left"/>
      <w:lvlText w:val="(%2)"/>
      <w:numFmt w:val="lowerLetter"/>
      <w:start w:val="5"/>
    </w:lvl>
  </w:abstractNum>
  <w:abstractNum w:abstractNumId="114">
    <w:nsid w:val="5551B9F3"/>
    <w:multiLevelType w:val="hybridMultilevel"/>
    <w:lvl w:ilvl="0">
      <w:lvlJc w:val="left"/>
      <w:lvlText w:val="(%1)"/>
      <w:numFmt w:val="decimal"/>
      <w:start w:val="15"/>
    </w:lvl>
    <w:lvl w:ilvl="1">
      <w:lvlJc w:val="left"/>
      <w:lvlText w:val="%2"/>
      <w:numFmt w:val="lowerLetter"/>
      <w:start w:val="1"/>
    </w:lvl>
  </w:abstractNum>
  <w:abstractNum w:abstractNumId="115">
    <w:nsid w:val="24F6AB8E"/>
    <w:multiLevelType w:val="hybridMultilevel"/>
    <w:lvl w:ilvl="0">
      <w:lvlJc w:val="left"/>
      <w:lvlText w:val="(%1)"/>
      <w:numFmt w:val="lowerLetter"/>
      <w:start w:val="1"/>
    </w:lvl>
  </w:abstractNum>
  <w:abstractNum w:abstractNumId="116">
    <w:nsid w:val="634C574C"/>
    <w:multiLevelType w:val="hybridMultilevel"/>
    <w:lvl w:ilvl="0">
      <w:lvlJc w:val="left"/>
      <w:lvlText w:val="(%1)"/>
      <w:numFmt w:val="lowerLetter"/>
      <w:start w:val="5"/>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5"/>
    </w:lvl>
  </w:abstractNum>
  <w:abstractNum w:abstractNumId="119">
    <w:nsid w:val="1849C29B"/>
    <w:multiLevelType w:val="hybridMultilevel"/>
    <w:lvl w:ilvl="0">
      <w:lvlJc w:val="left"/>
      <w:lvlText w:val="(%1)"/>
      <w:numFmt w:val="lowerLetter"/>
      <w:start w:val="2"/>
    </w:lvl>
  </w:abstractNum>
  <w:abstractNum w:abstractNumId="120">
    <w:nsid w:val="7DFF9D09"/>
    <w:multiLevelType w:val="hybridMultilevel"/>
    <w:lvl w:ilvl="0">
      <w:lvlJc w:val="left"/>
      <w:lvlText w:val="%1"/>
      <w:numFmt w:val="upperLetter"/>
      <w:start w:val="1"/>
    </w:lvl>
    <w:lvl w:ilvl="1">
      <w:lvlJc w:val="left"/>
      <w:lvlText w:val="(%2)"/>
      <w:numFmt w:val="lowerLetter"/>
      <w:start w:val="1"/>
    </w:lvl>
  </w:abstractNum>
  <w:abstractNum w:abstractNumId="121">
    <w:nsid w:val="754342"/>
    <w:multiLevelType w:val="hybridMultilevel"/>
    <w:lvl w:ilvl="0">
      <w:lvlJc w:val="left"/>
      <w:lvlText w:val="(%1)"/>
      <w:numFmt w:val="upperLetter"/>
      <w:start w:val="1"/>
    </w:lvl>
    <w:lvl w:ilvl="1">
      <w:lvlJc w:val="left"/>
      <w:lvlText w:val="(%2)"/>
      <w:numFmt w:val="lowerLetter"/>
      <w:start w:val="2"/>
    </w:lvl>
  </w:abstractNum>
  <w:abstractNum w:abstractNumId="122">
    <w:nsid w:val="69E7F3E5"/>
    <w:multiLevelType w:val="hybridMultilevel"/>
    <w:lvl w:ilvl="0">
      <w:lvlJc w:val="left"/>
      <w:lvlText w:val="(%1)"/>
      <w:numFmt w:val="lowerLetter"/>
      <w:start w:val="4"/>
    </w:lvl>
  </w:abstractNum>
  <w:abstractNum w:abstractNumId="123">
    <w:nsid w:val="2A6DE806"/>
    <w:multiLevelType w:val="hybridMultilevel"/>
    <w:lvl w:ilvl="0">
      <w:lvlJc w:val="left"/>
      <w:lvlText w:val="(%1)"/>
      <w:numFmt w:val="lowerLetter"/>
      <w:start w:val="1"/>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lowerLetter"/>
      <w:start w:val="2"/>
    </w:lvl>
  </w:abstractNum>
  <w:abstractNum w:abstractNumId="126">
    <w:nsid w:val="7AB49DAF"/>
    <w:multiLevelType w:val="hybridMultilevel"/>
    <w:lvl w:ilvl="0">
      <w:lvlJc w:val="left"/>
      <w:lvlText w:val="(%1)"/>
      <w:numFmt w:val="lowerLetter"/>
      <w:start w:val="1"/>
    </w:lvl>
    <w:lvl w:ilvl="1">
      <w:lvlJc w:val="left"/>
      <w:lvlText w:val="(%2)"/>
      <w:numFmt w:val="lowerRoman"/>
      <w:start w:val="1"/>
    </w:lvl>
  </w:abstractNum>
  <w:abstractNum w:abstractNumId="127">
    <w:nsid w:val="759F82CD"/>
    <w:multiLevelType w:val="hybridMultilevel"/>
    <w:lvl w:ilvl="0">
      <w:lvlJc w:val="left"/>
      <w:lvlText w:val="%1"/>
      <w:numFmt w:val="lowerLetter"/>
      <w:start w:val="1"/>
    </w:lvl>
    <w:lvl w:ilvl="1">
      <w:lvlJc w:val="left"/>
      <w:lvlText w:val="(%2)"/>
      <w:numFmt w:val="lowerLetter"/>
      <w:start w:val="35"/>
    </w:lvl>
  </w:abstractNum>
  <w:abstractNum w:abstractNumId="128">
    <w:nsid w:val="61E74EA3"/>
    <w:multiLevelType w:val="hybridMultilevel"/>
    <w:lvl w:ilvl="0">
      <w:lvlJc w:val="left"/>
      <w:lvlText w:val="(%1)"/>
      <w:numFmt w:val="lowerLetter"/>
      <w:start w:val="4"/>
    </w:lvl>
    <w:lvl w:ilvl="1">
      <w:lvlJc w:val="left"/>
      <w:lvlText w:val="(%2)"/>
      <w:numFmt w:val="lowerLetter"/>
      <w:start w:val="9"/>
    </w:lvl>
  </w:abstractNum>
  <w:abstractNum w:abstractNumId="129">
    <w:nsid w:val="597B4D84"/>
    <w:multiLevelType w:val="hybridMultilevel"/>
    <w:lvl w:ilvl="0">
      <w:lvlJc w:val="left"/>
      <w:lvlText w:val="%1"/>
      <w:numFmt w:val="upperLetter"/>
      <w:start w:val="1"/>
    </w:lvl>
    <w:lvl w:ilvl="1">
      <w:lvlJc w:val="left"/>
      <w:lvlText w:val="(%2)"/>
      <w:numFmt w:val="lowerRoman"/>
      <w:start w:val="2"/>
    </w:lvl>
  </w:abstractNum>
  <w:abstractNum w:abstractNumId="130">
    <w:nsid w:val="F819E7F"/>
    <w:multiLevelType w:val="hybridMultilevel"/>
    <w:lvl w:ilvl="0">
      <w:lvlJc w:val="left"/>
      <w:lvlText w:val="(%1)"/>
      <w:numFmt w:val="upperLetter"/>
      <w:start w:val="3"/>
    </w:lvl>
    <w:lvl w:ilvl="1">
      <w:lvlJc w:val="left"/>
      <w:lvlText w:val="%2"/>
      <w:numFmt w:val="lowerRoman"/>
      <w:start w:val="1"/>
    </w:lvl>
  </w:abstractNum>
  <w:abstractNum w:abstractNumId="131">
    <w:nsid w:val="57C7D42D"/>
    <w:multiLevelType w:val="hybridMultilevel"/>
    <w:lvl w:ilvl="0">
      <w:lvlJc w:val="left"/>
      <w:lvlText w:val="(%1)"/>
      <w:numFmt w:val="lowerLetter"/>
      <w:start w:val="1"/>
    </w:lvl>
    <w:lvl w:ilvl="1">
      <w:lvlJc w:val="left"/>
      <w:lvlText w:val="(%2)"/>
      <w:numFmt w:val="lowerLetter"/>
      <w:start w:val="9"/>
    </w:lvl>
  </w:abstractNum>
  <w:abstractNum w:abstractNumId="132">
    <w:nsid w:val="312167AD"/>
    <w:multiLevelType w:val="hybridMultilevel"/>
    <w:lvl w:ilvl="0">
      <w:lvlJc w:val="left"/>
      <w:lvlText w:val="(%1)"/>
      <w:numFmt w:val="lowerRoman"/>
      <w:start w:val="2"/>
    </w:lvl>
  </w:abstractNum>
  <w:abstractNum w:abstractNumId="133">
    <w:nsid w:val="631B64D4"/>
    <w:multiLevelType w:val="hybridMultilevel"/>
    <w:lvl w:ilvl="0">
      <w:lvlJc w:val="left"/>
      <w:lvlText w:val="(%1)"/>
      <w:numFmt w:val="lowerLetter"/>
      <w:start w:val="3"/>
    </w:lvl>
  </w:abstractNum>
  <w:abstractNum w:abstractNumId="134">
    <w:nsid w:val="78B5E776"/>
    <w:multiLevelType w:val="hybridMultilevel"/>
    <w:lvl w:ilvl="0">
      <w:lvlJc w:val="left"/>
      <w:lvlText w:val="(%1)"/>
      <w:numFmt w:val="lowerLetter"/>
      <w:start w:val="2"/>
    </w:lvl>
  </w:abstractNum>
  <w:abstractNum w:abstractNumId="135">
    <w:nsid w:val="75486E47"/>
    <w:multiLevelType w:val="hybridMultilevel"/>
    <w:lvl w:ilvl="0">
      <w:lvlJc w:val="left"/>
      <w:lvlText w:val="(%1)"/>
      <w:numFmt w:val="lowerLetter"/>
      <w:start w:val="2"/>
    </w:lvl>
  </w:abstractNum>
  <w:abstractNum w:abstractNumId="136">
    <w:nsid w:val="6E534CDE"/>
    <w:multiLevelType w:val="hybridMultilevel"/>
    <w:lvl w:ilvl="0">
      <w:lvlJc w:val="left"/>
      <w:lvlText w:val="(%1)"/>
      <w:numFmt w:val="lowerLetter"/>
      <w:start w:val="1"/>
    </w:lvl>
  </w:abstractNum>
  <w:abstractNum w:abstractNumId="137">
    <w:nsid w:val="1A0DDE32"/>
    <w:multiLevelType w:val="hybridMultilevel"/>
    <w:lvl w:ilvl="0">
      <w:lvlJc w:val="left"/>
      <w:lvlText w:val="(%1)"/>
      <w:numFmt w:val="lowerLetter"/>
      <w:start w:val="8"/>
    </w:lvl>
  </w:abstractNum>
  <w:abstractNum w:abstractNumId="138">
    <w:nsid w:val="65968C1C"/>
    <w:multiLevelType w:val="hybridMultilevel"/>
    <w:lvl w:ilvl="0">
      <w:lvlJc w:val="left"/>
      <w:lvlText w:val="(%1)"/>
      <w:numFmt w:val="lowerLetter"/>
      <w:start w:val="18"/>
    </w:lvl>
  </w:abstractNum>
  <w:abstractNum w:abstractNumId="139">
    <w:nsid w:val="46263DEC"/>
    <w:multiLevelType w:val="hybridMultilevel"/>
    <w:lvl w:ilvl="0">
      <w:lvlJc w:val="left"/>
      <w:lvlText w:val="(%1)"/>
      <w:numFmt w:val="lowerLetter"/>
      <w:start w:val="27"/>
    </w:lvl>
  </w:abstractNum>
  <w:abstractNum w:abstractNumId="140">
    <w:nsid w:val="260D8C4A"/>
    <w:multiLevelType w:val="hybridMultilevel"/>
    <w:lvl w:ilvl="0">
      <w:lvlJc w:val="left"/>
      <w:lvlText w:val="%1"/>
      <w:numFmt w:val="lowerRoman"/>
      <w:start w:val="1"/>
    </w:lvl>
    <w:lvl w:ilvl="1">
      <w:lvlJc w:val="left"/>
      <w:lvlText w:val="(%2)"/>
      <w:numFmt w:val="lowerLetter"/>
      <w:start w:val="29"/>
    </w:lvl>
  </w:abstractNum>
  <w:abstractNum w:abstractNumId="141">
    <w:nsid w:val="73D4D3C4"/>
    <w:multiLevelType w:val="hybridMultilevel"/>
    <w:lvl w:ilvl="0">
      <w:lvlJc w:val="left"/>
      <w:lvlText w:val="(%1)"/>
      <w:numFmt w:val="lowerRoman"/>
      <w:start w:val="4"/>
    </w:lvl>
    <w:lvl w:ilvl="1">
      <w:lvlJc w:val="left"/>
      <w:lvlText w:val="(%2)"/>
      <w:numFmt w:val="lowerLetter"/>
      <w:start w:val="30"/>
    </w:lvl>
  </w:abstractNum>
  <w:abstractNum w:abstractNumId="142">
    <w:nsid w:val="746F2E30"/>
    <w:multiLevelType w:val="hybridMultilevel"/>
    <w:lvl w:ilvl="0">
      <w:lvlJc w:val="left"/>
      <w:lvlText w:val="(%1)"/>
      <w:numFmt w:val="lowerLetter"/>
      <w:start w:val="35"/>
    </w:lvl>
  </w:abstractNum>
  <w:abstractNum w:abstractNumId="143">
    <w:nsid w:val="6FDE8AF6"/>
    <w:multiLevelType w:val="hybridMultilevel"/>
    <w:lvl w:ilvl="0">
      <w:lvlJc w:val="left"/>
      <w:lvlText w:val="(%1)"/>
      <w:numFmt w:val="lowerLetter"/>
      <w:start w:val="37"/>
    </w:lvl>
  </w:abstractNum>
  <w:abstractNum w:abstractNumId="144">
    <w:nsid w:val="3FC32E20"/>
    <w:multiLevelType w:val="hybridMultilevel"/>
    <w:lvl w:ilvl="0">
      <w:lvlJc w:val="left"/>
      <w:lvlText w:val="(%1)"/>
      <w:numFmt w:val="lowerLetter"/>
      <w:start w:val="47"/>
    </w:lvl>
  </w:abstractNum>
  <w:abstractNum w:abstractNumId="145">
    <w:nsid w:val="49C0E823"/>
    <w:multiLevelType w:val="hybridMultilevel"/>
    <w:lvl w:ilvl="0">
      <w:lvlJc w:val="left"/>
      <w:lvlText w:val="(%1)"/>
      <w:numFmt w:val="lowerLetter"/>
      <w:start w:val="53"/>
    </w:lvl>
  </w:abstractNum>
  <w:abstractNum w:abstractNumId="146">
    <w:nsid w:val="14D536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7">
    <w:nsid w:val="230F856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8">
    <w:nsid w:val="6EAA85FB"/>
    <w:multiLevelType w:val="hybridMultilevel"/>
    <w:lvl w:ilvl="0">
      <w:lvlJc w:val="left"/>
      <w:lvlText w:val="(%1)"/>
      <w:numFmt w:val="lowerRoman"/>
      <w:start w:val="3"/>
    </w:lvl>
  </w:abstractNum>
  <w:abstractNum w:abstractNumId="149">
    <w:nsid w:val="3F06ECB2"/>
    <w:multiLevelType w:val="hybridMultilevel"/>
    <w:lvl w:ilvl="0">
      <w:lvlJc w:val="left"/>
      <w:lvlText w:val="(%1)"/>
      <w:numFmt w:val="lowerRoman"/>
      <w:start w:val="1"/>
    </w:lvl>
  </w:abstractNum>
  <w:abstractNum w:abstractNumId="150">
    <w:nsid w:val="3B594807"/>
    <w:multiLevelType w:val="hybridMultilevel"/>
    <w:lvl w:ilvl="0">
      <w:lvlJc w:val="left"/>
      <w:lvlText w:val="(%1)"/>
      <w:numFmt w:val="lowerRoman"/>
      <w:start w:val="3"/>
    </w:lvl>
  </w:abstractNum>
  <w:abstractNum w:abstractNumId="151">
    <w:nsid w:val="6CAA2304"/>
    <w:multiLevelType w:val="hybridMultilevel"/>
    <w:lvl w:ilvl="0">
      <w:lvlJc w:val="left"/>
      <w:lvlText w:val="(%1)"/>
      <w:numFmt w:val="lowerLetter"/>
      <w:start w:val="3"/>
    </w:lvl>
  </w:abstractNum>
  <w:abstractNum w:abstractNumId="152">
    <w:nsid w:val="3F7C2FF4"/>
    <w:multiLevelType w:val="hybridMultilevel"/>
    <w:lvl w:ilvl="0">
      <w:lvlJc w:val="left"/>
      <w:lvlText w:val="(%1)"/>
      <w:numFmt w:val="lowerLetter"/>
      <w:start w:val="6"/>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upperLetter"/>
      <w:start w:val="1"/>
    </w:lvl>
    <w:lvl w:ilvl="1">
      <w:lvlJc w:val="left"/>
      <w:lvlText w:val="(%2)"/>
      <w:numFmt w:val="lowerLetter"/>
      <w:start w:val="3"/>
    </w:lvl>
  </w:abstractNum>
  <w:abstractNum w:abstractNumId="155">
    <w:nsid w:val="579328B9"/>
    <w:multiLevelType w:val="hybridMultilevel"/>
    <w:lvl w:ilvl="0">
      <w:lvlJc w:val="left"/>
      <w:lvlText w:val="(%1)"/>
      <w:numFmt w:val="upperLetter"/>
      <w:start w:val="61"/>
    </w:lvl>
    <w:lvl w:ilvl="1">
      <w:lvlJc w:val="left"/>
      <w:lvlText w:val="%2"/>
      <w:numFmt w:val="lowerLetter"/>
      <w:start w:val="1"/>
    </w:lvl>
  </w:abstractNum>
  <w:abstractNum w:abstractNumId="156">
    <w:nsid w:val="5D205E20"/>
    <w:multiLevelType w:val="hybridMultilevel"/>
    <w:lvl w:ilvl="0">
      <w:lvlJc w:val="left"/>
      <w:lvlText w:val="(%1)"/>
      <w:numFmt w:val="lowerLetter"/>
      <w:start w:val="4"/>
    </w:lvl>
  </w:abstractNum>
  <w:abstractNum w:abstractNumId="157">
    <w:nsid w:val="11CCA8BA"/>
    <w:multiLevelType w:val="hybridMultilevel"/>
    <w:lvl w:ilvl="0">
      <w:lvlJc w:val="left"/>
      <w:lvlText w:val="•"/>
      <w:numFmt w:val="bullet"/>
      <w:start w:val="1"/>
    </w:lvl>
  </w:abstractNum>
  <w:abstractNum w:abstractNumId="158">
    <w:nsid w:val="4D32AB86"/>
    <w:multiLevelType w:val="hybridMultilevel"/>
    <w:lvl w:ilvl="0">
      <w:lvlJc w:val="left"/>
      <w:lvlText w:val="•"/>
      <w:numFmt w:val="bullet"/>
      <w:start w:val="1"/>
    </w:lvl>
  </w:abstractNum>
  <w:abstractNum w:abstractNumId="159">
    <w:nsid w:val="3F07ACC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2026-10-27T16:32:08Z</dcterms:created>
  <dcterms:modified xsi:type="dcterms:W3CDTF">2026-10-27T16:32:08Z</dcterms:modified>
</cp:coreProperties>
</file>