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1" w:lineRule="exact"/>
        <w:rPr>
          <w:sz w:val="24"/>
          <w:szCs w:val="24"/>
          <w:color w:val="auto"/>
        </w:rPr>
      </w:pPr>
    </w:p>
    <w:p>
      <w:pPr>
        <w:ind w:left="620" w:hanging="61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5"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3" w:lineRule="exact"/>
        <w:rPr>
          <w:sz w:val="24"/>
          <w:szCs w:val="24"/>
          <w:color w:val="auto"/>
        </w:rPr>
      </w:pPr>
    </w:p>
    <w:p>
      <w:pPr>
        <w:ind w:left="3340" w:right="2020" w:hanging="3333"/>
        <w:spacing w:after="0" w:line="496" w:lineRule="auto"/>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0-20852</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ULTRALIFE CORPORATION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9" w:lineRule="exact"/>
        <w:rPr>
          <w:sz w:val="24"/>
          <w:szCs w:val="24"/>
          <w:color w:val="auto"/>
        </w:rPr>
      </w:pPr>
    </w:p>
    <w:tbl>
      <w:tblPr>
        <w:tblLayout w:type="fixed"/>
        <w:tblInd w:w="860" w:type="dxa"/>
        <w:tblCellMar>
          <w:top w:w="0" w:type="dxa"/>
          <w:left w:w="0" w:type="dxa"/>
          <w:bottom w:w="0" w:type="dxa"/>
          <w:right w:w="0" w:type="dxa"/>
        </w:tblCellMar>
      </w:tblPr>
      <w:tr>
        <w:trPr>
          <w:trHeight w:val="219"/>
        </w:trPr>
        <w:tc>
          <w:tcPr>
            <w:tcW w:w="50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16-1387013</w:t>
            </w:r>
          </w:p>
        </w:tc>
      </w:tr>
      <w:tr>
        <w:trPr>
          <w:trHeight w:val="234"/>
        </w:trPr>
        <w:tc>
          <w:tcPr>
            <w:tcW w:w="50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5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1"/>
        </w:trPr>
        <w:tc>
          <w:tcPr>
            <w:tcW w:w="50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2000 Technology Parkway Newark, New York 14513</w:t>
            </w:r>
          </w:p>
        </w:tc>
        <w:tc>
          <w:tcPr>
            <w:tcW w:w="45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(315) 332-7100</w:t>
            </w:r>
          </w:p>
        </w:tc>
      </w:tr>
      <w:tr>
        <w:trPr>
          <w:trHeight w:val="234"/>
        </w:trPr>
        <w:tc>
          <w:tcPr>
            <w:tcW w:w="50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c>
          <w:tcPr>
            <w:tcW w:w="45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681" w:right="339" w:bottom="1440" w:gutter="0" w:footer="0" w:header="0"/>
        </w:sectPr>
      </w:pPr>
    </w:p>
    <w:p>
      <w:pPr>
        <w:spacing w:after="0" w:line="21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Common Stock, $0.10 par value per share</w:t>
      </w:r>
    </w:p>
    <w:p>
      <w:pPr>
        <w:spacing w:after="0" w:line="42"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3">
            <w:col w:w="4260" w:space="720"/>
            <w:col w:w="2020" w:space="720"/>
            <w:col w:w="3520"/>
          </w:cols>
          <w:pgMar w:left="320" w:top="681" w:right="339" w:bottom="1440" w:gutter="0" w:footer="0" w:header="0"/>
          <w:type w:val="continuous"/>
        </w:sectPr>
      </w:pPr>
    </w:p>
    <w:p>
      <w:pPr>
        <w:spacing w:after="0" w:line="4"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1" w:right="339" w:bottom="1440" w:gutter="0" w:footer="0" w:header="0"/>
          <w:type w:val="continuous"/>
        </w:sectPr>
      </w:pPr>
    </w:p>
    <w:p>
      <w:pPr>
        <w:spacing w:after="0" w:line="1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700" w:space="720"/>
            <w:col w:w="6820"/>
          </w:cols>
          <w:pgMar w:left="320" w:top="681" w:right="339" w:bottom="1440" w:gutter="0" w:footer="0" w:header="0"/>
          <w:type w:val="continuous"/>
        </w:sectPr>
      </w:pPr>
    </w:p>
    <w:p>
      <w:pPr>
        <w:spacing w:after="0" w:line="3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700" w:space="720"/>
            <w:col w:w="6820"/>
          </w:cols>
          <w:pgMar w:left="320" w:top="681" w:right="339" w:bottom="1440" w:gutter="0" w:footer="0" w:header="0"/>
          <w:type w:val="continuous"/>
        </w:sectPr>
      </w:pPr>
    </w:p>
    <w:p>
      <w:pPr>
        <w:spacing w:after="0" w:line="34" w:lineRule="exact"/>
        <w:rPr>
          <w:sz w:val="24"/>
          <w:szCs w:val="24"/>
          <w:color w:val="auto"/>
        </w:rPr>
      </w:pPr>
    </w:p>
    <w:p>
      <w:pPr>
        <w:jc w:val="center"/>
        <w:ind w:right="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681" w:right="339" w:bottom="1440" w:gutter="0" w:footer="0" w:header="0"/>
          <w:type w:val="continuous"/>
        </w:sectPr>
      </w:pPr>
    </w:p>
    <w:p>
      <w:pPr>
        <w:spacing w:after="0" w:line="27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May 8, 2025, the registrant had 16,632,965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326390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386080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787400</wp:posOffset>
            </wp:positionV>
            <wp:extent cx="7132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58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Balance Sheets as of March 31, 2025 and December 31, 2024</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580" w:type="dxa"/>
            <w:vAlign w:val="bottom"/>
            <w:shd w:val="clear" w:color="auto" w:fill="CCEEFF"/>
          </w:tcPr>
          <w:p>
            <w:pPr>
              <w:ind w:left="220"/>
              <w:spacing w:after="0" w:line="197" w:lineRule="exact"/>
              <w:rPr>
                <w:sz w:val="20"/>
                <w:szCs w:val="20"/>
                <w:color w:val="auto"/>
              </w:rPr>
            </w:pPr>
            <w:r>
              <w:rPr>
                <w:rFonts w:ascii="Times New Roman" w:cs="Times New Roman" w:eastAsia="Times New Roman" w:hAnsi="Times New Roman"/>
                <w:sz w:val="18"/>
                <w:szCs w:val="18"/>
                <w:color w:val="auto"/>
              </w:rPr>
              <w:t>Consolidated Statements of Income and Comprehensive Income for the Three-Month Periods Ended March 31, 2025 and</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March 31, 2024</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 for the Three-Month Periods Ended March 31, 2025 and March 31, 2024</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580" w:type="dxa"/>
            <w:vAlign w:val="bottom"/>
            <w:shd w:val="clear" w:color="auto" w:fill="CCEEFF"/>
          </w:tcPr>
          <w:p>
            <w:pPr>
              <w:ind w:left="220"/>
              <w:spacing w:after="0" w:line="197"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Three-Month Periods Ended March 31, 2025 and March</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31, 2024</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Controls and Procedures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Exhibits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Signatures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8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$408 and $384, respectively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90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21,069,079 shares at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March 31, 2025 and 21,069,079 shares at December 31, 2024; outstanding – 16,632,965 shares at March</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31, 2025 and 16,632,965 shares at December 31, 2024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192,055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 at cost; 4,436,114 shares at March 31, 2025 and December 31, 2024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(21,492)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136,604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223,753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480"/>
              <w:spacing w:after="0" w:line="186"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0"/>
              <w:spacing w:after="0" w:line="186"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50,746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Miscellaneous income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w:t>
            </w:r>
          </w:p>
        </w:tc>
        <w:tc>
          <w:tcPr>
            <w:tcW w:w="1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Ultralife Corporation</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Ultralife Corporation</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share attributable to Ultralife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share attributable to Ultralife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diluted</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Potential common shares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482"/>
              <w:spacing w:after="0" w:line="186"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0"/>
              <w:spacing w:after="0" w:line="186"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1,879</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(6,608)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3,614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1,767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tcBorders>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credit facilities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6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1,865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6,854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Stock option exercises Stock-based compensation</w:t>
      </w:r>
    </w:p>
    <w:p>
      <w:pPr>
        <w:spacing w:after="0" w:line="2" w:lineRule="exact"/>
        <w:rPr>
          <w:sz w:val="20"/>
          <w:szCs w:val="20"/>
          <w:color w:val="auto"/>
        </w:rPr>
      </w:pPr>
    </w:p>
    <w:p>
      <w:pPr>
        <w:ind w:right="20" w:firstLine="161"/>
        <w:spacing w:after="0" w:line="249" w:lineRule="auto"/>
        <w:rPr>
          <w:sz w:val="20"/>
          <w:szCs w:val="20"/>
          <w:color w:val="auto"/>
        </w:rPr>
      </w:pPr>
      <w:r>
        <w:rPr>
          <w:rFonts w:ascii="Times New Roman" w:cs="Times New Roman" w:eastAsia="Times New Roman" w:hAnsi="Times New Roman"/>
          <w:sz w:val="18"/>
          <w:szCs w:val="18"/>
          <w:color w:val="auto"/>
        </w:rPr>
        <w:t>– stock options Stock-based compensation -</w:t>
      </w:r>
    </w:p>
    <w:p>
      <w:pPr>
        <w:ind w:left="160"/>
        <w:spacing w:after="0"/>
        <w:rPr>
          <w:sz w:val="20"/>
          <w:szCs w:val="20"/>
          <w:color w:val="auto"/>
        </w:rPr>
      </w:pPr>
      <w:r>
        <w:rPr>
          <w:rFonts w:ascii="Times New Roman" w:cs="Times New Roman" w:eastAsia="Times New Roman" w:hAnsi="Times New Roman"/>
          <w:sz w:val="18"/>
          <w:szCs w:val="18"/>
          <w:color w:val="auto"/>
        </w:rPr>
        <w:t>restricted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Foreign currency translation</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adjustments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31, 2024</w:t>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8"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8"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0" w:type="dxa"/>
            <w:vAlign w:val="bottom"/>
            <w:gridSpan w:val="6"/>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0" w:type="dxa"/>
            <w:vAlign w:val="bottom"/>
            <w:gridSpan w:val="6"/>
            <w:vMerge w:val="continue"/>
          </w:tcPr>
          <w:p>
            <w:pPr>
              <w:spacing w:after="0"/>
              <w:rPr>
                <w:sz w:val="19"/>
                <w:szCs w:val="19"/>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Excess</w:t>
            </w:r>
          </w:p>
        </w:tc>
        <w:tc>
          <w:tcPr>
            <w:tcW w:w="240" w:type="dxa"/>
            <w:vAlign w:val="bottom"/>
          </w:tcPr>
          <w:p>
            <w:pPr>
              <w:spacing w:after="0"/>
              <w:rPr>
                <w:sz w:val="19"/>
                <w:szCs w:val="19"/>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940" w:type="dxa"/>
            <w:vAlign w:val="bottom"/>
            <w:tcBorders>
              <w:top w:val="single" w:sz="8" w:color="auto"/>
            </w:tcBorders>
            <w:gridSpan w:val="2"/>
          </w:tcPr>
          <w:p>
            <w:pPr>
              <w:ind w:left="40"/>
              <w:spacing w:after="0" w:line="18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320"/>
              <w:spacing w:after="0" w:line="186" w:lineRule="exact"/>
              <w:rPr>
                <w:sz w:val="20"/>
                <w:szCs w:val="20"/>
                <w:color w:val="auto"/>
              </w:rPr>
            </w:pPr>
            <w:r>
              <w:rPr>
                <w:rFonts w:ascii="Times New Roman" w:cs="Times New Roman" w:eastAsia="Times New Roman" w:hAnsi="Times New Roman"/>
                <w:sz w:val="18"/>
                <w:szCs w:val="18"/>
                <w:b w:val="1"/>
                <w:bCs w:val="1"/>
                <w:color w:val="auto"/>
              </w:rPr>
              <w:t>of Par</w:t>
            </w:r>
          </w:p>
        </w:tc>
        <w:tc>
          <w:tcPr>
            <w:tcW w:w="1400" w:type="dxa"/>
            <w:vAlign w:val="bottom"/>
            <w:gridSpan w:val="3"/>
          </w:tcPr>
          <w:p>
            <w:pPr>
              <w:jc w:val="center"/>
              <w:ind w:right="200"/>
              <w:spacing w:after="0" w:line="18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2"/>
              <w:spacing w:after="0" w:line="186" w:lineRule="exact"/>
              <w:rPr>
                <w:sz w:val="20"/>
                <w:szCs w:val="20"/>
                <w:color w:val="auto"/>
              </w:rPr>
            </w:pPr>
            <w:r>
              <w:rPr>
                <w:rFonts w:ascii="Times New Roman" w:cs="Times New Roman" w:eastAsia="Times New Roman" w:hAnsi="Times New Roman"/>
                <w:sz w:val="18"/>
                <w:szCs w:val="18"/>
                <w:b w:val="1"/>
                <w:bCs w:val="1"/>
                <w:color w:val="auto"/>
                <w:w w:val="95"/>
              </w:rPr>
              <w:t>Treasury</w:t>
            </w:r>
          </w:p>
        </w:tc>
        <w:tc>
          <w:tcPr>
            <w:tcW w:w="80" w:type="dxa"/>
            <w:vAlign w:val="bottom"/>
          </w:tcPr>
          <w:p>
            <w:pPr>
              <w:spacing w:after="0"/>
              <w:rPr>
                <w:sz w:val="16"/>
                <w:szCs w:val="16"/>
                <w:color w:val="auto"/>
              </w:rPr>
            </w:pPr>
          </w:p>
        </w:tc>
        <w:tc>
          <w:tcPr>
            <w:tcW w:w="100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Controlling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0"/>
        </w:trPr>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20,783,607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189,160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(40,754)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(21,492)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103,839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430"/>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430"/>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8"/>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20,887,446</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189,995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-1526540</wp:posOffset>
            </wp:positionV>
            <wp:extent cx="7132955" cy="273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27305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-1116965</wp:posOffset>
            </wp:positionV>
            <wp:extent cx="7132955" cy="136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-707390</wp:posOffset>
            </wp:positionV>
            <wp:extent cx="7132955" cy="273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27305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-161290</wp:posOffset>
            </wp:positionV>
            <wp:extent cx="7132955" cy="161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120"/>
            <w:col w:w="9080"/>
          </w:cols>
          <w:pgMar w:left="320" w:top="816" w:right="339" w:bottom="144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31,</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21,069,079</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191,828</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(34,442)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(21,492)</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stock options</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197"/>
        </w:trPr>
        <w:tc>
          <w:tcPr>
            <w:tcW w:w="21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vMerge w:val="restart"/>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21,069,079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192,055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(32,577)</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(21,492)</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2" w:lineRule="exact"/>
        <w:rPr>
          <w:sz w:val="20"/>
          <w:szCs w:val="20"/>
          <w:color w:val="auto"/>
        </w:rPr>
      </w:pPr>
    </w:p>
    <w:p>
      <w:pPr>
        <w:ind w:left="340" w:hanging="333"/>
        <w:spacing w:after="0"/>
        <w:tabs>
          <w:tab w:leader="none" w:pos="3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2024.</w:t>
      </w:r>
    </w:p>
    <w:p>
      <w:pPr>
        <w:spacing w:after="0" w:line="18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December 31, 2024 consolidated balance sheet information referenced herein was derived from audited financial statements but does not include all disclosures required by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to expand the disclosure requirements for reportable segments. The standard expands reportable segment disclosure requirements for public business entities primarily through enhanced disclosures about significant segment expenses that are regularly provided to the chief operating decision maker (“CODM”) and included within each reported measure of segment operating profit (loss). This standard is effective for fiscal years beginning after December 15, 2023 and interim periods within fiscal years beginning after December 15, 2024. The adoption of this new accounting standard did not have an impact on the Company's results of operations, financial position or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the Company’s annual reporting period beginning January 1, 2025, however, these disclosures are not required for interim periods. The amendments are to be applied on a prospective basis, although retrospective adoption is permitted. The Company is currently evaluating the impact that ASU 2023-09 will have on its consolidated financial statement disclosures.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ASU 2024-03 is effective for the Company’s annual reporting period beginning January 1, 2027 and interim reporting periods beginning January 1, 2028, with early adoption permitted. The Company is currently evaluating the impact that ASU 2024-03 will have on its consolidated financial statements.</w:t>
      </w:r>
    </w:p>
    <w:p>
      <w:pPr>
        <w:spacing w:after="0" w:line="200" w:lineRule="exact"/>
        <w:rPr>
          <w:sz w:val="20"/>
          <w:szCs w:val="20"/>
          <w:color w:val="auto"/>
        </w:rPr>
      </w:pPr>
    </w:p>
    <w:p>
      <w:pPr>
        <w:spacing w:after="0" w:line="224" w:lineRule="exact"/>
        <w:rPr>
          <w:sz w:val="20"/>
          <w:szCs w:val="20"/>
          <w:color w:val="auto"/>
        </w:rPr>
      </w:pPr>
    </w:p>
    <w:p>
      <w:pPr>
        <w:ind w:left="340" w:hanging="333"/>
        <w:spacing w:after="0"/>
        <w:tabs>
          <w:tab w:leader="none" w:pos="3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ACQUISITION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31, 2024, the Company completed the acquisition of all issued and outstanding shares of Electrochem Solutions, Inc., a Massachusetts corporation (“Electrochem”), pursuant to a stock purchase agreement (the “Agreement”) with Greatbatch Ltd., a New York corporation (the “Seller”), dated September 27, 2024 (the “Acquisition”). The Agreement established a purchase price of $50,000 for the Acquisition subject to customary working capital adjustments. The Company completed the Acquisition for $48,022 in cash, inclusive of working capital adjustments of $1,978.</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7" w:name="page8"/>
    <w:bookmarkEnd w:id="7"/>
    <w:p>
      <w:pPr>
        <w:jc w:val="both"/>
        <w:spacing w:after="0" w:line="252" w:lineRule="auto"/>
        <w:rPr>
          <w:sz w:val="20"/>
          <w:szCs w:val="20"/>
          <w:color w:val="auto"/>
        </w:rPr>
      </w:pPr>
      <w:r>
        <w:rPr>
          <w:rFonts w:ascii="Times New Roman" w:cs="Times New Roman" w:eastAsia="Times New Roman" w:hAnsi="Times New Roman"/>
          <w:sz w:val="18"/>
          <w:szCs w:val="18"/>
          <w:color w:val="auto"/>
        </w:rPr>
        <w:t>Based in Raynham, MA and with over forty years of battery technology experience in critical applications, Electrochem designs and manufactures primary lithium metal and ultracapacitor cells and battery packs serving energy, military and various environmental, industrial and utility end markets on a global basis. Acquiring Electrochem advances our strategy of more fully realizing the operating leverage of our business model through scale and manufacturing cost efficiencies. Electrochem brings a blue-chip customer base with little or no overlap with Ultralife’s customers, long-tenured technical resources which we plan to utilize in progressing our global new product initiatives, and a complimentary portfolio of highly engineered thionyl, sulfuryl and bromine chloride cells and packs which can be commercially cost prohibitive to substitute or switch out. We view this acquisition as an avenue to create highly attractive opportunities to drive revenue growth through heightened cross-selling platforms and extend our reach into underserved adjacent markets that demand uncompromised safety, service, reliability and quality. In addition, the combination of Electrochem and Ultralife creates achievable opportunities for gross margin expansion through the realization of vertical integration, supply chain synergies and lean initiatives. With Electrochem we are increasing our value to our customers and significantly strengthening our competitive position in our end markets.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funded the purchase price for the Acquisition through the New Credit Agreement (refer to Note 3).</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Acquisition was accounted for in accordance with the accounting treatment of a business combination pursuant to FASB ASC Topic 805, Business Combinations (“ASC 805”). Accordingly, the purchase price was allocated to the tangible and intangible assets acquired and the liabilities assumed based on their estimated fair values on the acquisition date. The excess of the purchase price over the estimated fair value of the separately identifiable assets acquired and liabilities assumed was allocated to goodwill. Management is responsible for determining the acquisition date fair value of the assets acquired and liabilities assumed, which requires the use of various assumptions and judgments that are inherently subjective. The purchase price allocation presented below reflects all known information about the fair value of the assets acquired and liabilities assumed as of the acquisition date. The purchase price allocation is subject to change should additional information existing as of the acquisition date about the fair value of the assets acquired and liabilities assumed become known. The final purchase price allocation may reflect material changes in the valuation of assets acquired and liabilities assumed, including but not limited to intangible assets, fixed assets, deferred taxes, and residual goodwill.</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16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20,735</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(2,231)</w:t>
            </w:r>
          </w:p>
        </w:tc>
      </w:tr>
      <w:tr>
        <w:trPr>
          <w:trHeight w:val="215"/>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(1,561)</w:t>
            </w:r>
          </w:p>
        </w:tc>
      </w:tr>
      <w:tr>
        <w:trPr>
          <w:trHeight w:val="215"/>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w:t>
            </w:r>
          </w:p>
        </w:tc>
      </w:tr>
      <w:tr>
        <w:trPr>
          <w:trHeight w:val="215"/>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w:t>
            </w:r>
          </w:p>
        </w:tc>
      </w:tr>
      <w:tr>
        <w:trPr>
          <w:trHeight w:val="228"/>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r>
      <w:tr>
        <w:trPr>
          <w:trHeight w:val="222"/>
        </w:trPr>
        <w:tc>
          <w:tcPr>
            <w:tcW w:w="20" w:type="dxa"/>
            <w:vAlign w:val="bottom"/>
          </w:tcPr>
          <w:p>
            <w:pPr>
              <w:spacing w:after="0"/>
              <w:rPr>
                <w:sz w:val="19"/>
                <w:szCs w:val="19"/>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goodwill included in the Company’s purchase price allocation presented above represents the value of Electrochem’s assembled and trained workforce, the incremental value that Excell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Other intangible assets were valued using the income approach which requires a forecast of all expected future cash flows and the use of certain assumptions and estimates. The following table summarizes the estimated fair value and annual amortization for each of the identifiable intangible assets acquired.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Annual Amortization</w:t>
            </w: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2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1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13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8" w:name="page9"/>
    <w:bookmarkEnd w:id="8"/>
    <w:p>
      <w:pPr>
        <w:jc w:val="both"/>
        <w:spacing w:after="0" w:line="264" w:lineRule="auto"/>
        <w:rPr>
          <w:sz w:val="20"/>
          <w:szCs w:val="20"/>
          <w:color w:val="auto"/>
        </w:rPr>
      </w:pPr>
      <w:r>
        <w:rPr>
          <w:rFonts w:ascii="Times New Roman" w:cs="Times New Roman" w:eastAsia="Times New Roman" w:hAnsi="Times New Roman"/>
          <w:sz w:val="18"/>
          <w:szCs w:val="18"/>
          <w:color w:val="auto"/>
        </w:rPr>
        <w:t>We acquired right-of-use assets and assumed operating lease liabilities of $230. Right-of-use assets are classified as other noncurrent assets, and current and long-term lease liabilities are classified as accrued expenses and other current liabilities and other noncurrent liabilities, respectively, on the Company’s consolidated balance sheets.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and cash flows of Electrochem are reflected in the Company’s consolidated financial statements from the date of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Electrochem is included in the Battery &amp; Energy Products segment.</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three-month period ended March 31, 2025, Electrochem contributed revenue of $7,622 and net income of $743, inclusive of amortization expense of $178 on acquired identifiable intangible assets and a $60 increase in cost of products sold for the fair value step-up of acquired finished goods inventory sold during the period.</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the three-month period ended March 31, 2025, the Company incurred transaction costs and other non-recurring expenses of $125 directly attributable to the acquisition, including accounting and legal services. These costs are included in selling, general and administrative expense on the consolidated statement of income and comprehensive income for the three-month period ended March 31, 2025.</w:t>
      </w:r>
    </w:p>
    <w:p>
      <w:pPr>
        <w:spacing w:after="0" w:line="200" w:lineRule="exact"/>
        <w:rPr>
          <w:sz w:val="20"/>
          <w:szCs w:val="20"/>
          <w:color w:val="auto"/>
        </w:rPr>
      </w:pPr>
    </w:p>
    <w:p>
      <w:pPr>
        <w:spacing w:after="0" w:line="215" w:lineRule="exact"/>
        <w:rPr>
          <w:sz w:val="20"/>
          <w:szCs w:val="20"/>
          <w:color w:val="auto"/>
        </w:rPr>
      </w:pPr>
    </w:p>
    <w:p>
      <w:pPr>
        <w:ind w:left="340" w:hanging="333"/>
        <w:spacing w:after="0"/>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DEBT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31, 2024, Ultralife, SWE, CLB, Excell USA, and Electrochem, as borrowers, and certain other subsidiaries of the Company, entered into a new Credit and Security Agreement with KeyBank National Association (“KeyBank” or the “Bank”), as lender and administrative agent (the “New Credit Agreement”). The proceeds of the loans under the New Credit Agreement were used, in part, to repay outstanding indebtedness under the Company’s Amended Credit Agreement.</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New Credit Agreement, among other things, provides in its term loan provisions for a 5-year, $55 million senior secured term loan (the “Term Loan” or “Term Loan Facility”). The Term Loan is subject to repayment in quarterly installments commencing March 31, 2025 in amounts as set forth in the New Credit Agreement. Interest is payable on the unpaid principal outstanding under the Term Loan. All amounts of unpaid principal and accrued and unpaid interest remaining due under the Term Loan are scheduled to be paid in full October 31, 2029.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closing of the Acquisition on October 31, 2024, the Company borrowed the full amount of the Term Loan Facility.</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2025, the Company had $54,313 outstanding principal on the Term Loan, $3,094 of which is included in current portion of long-term debt on the consolidated balance sheets, and no amounts outstanding on the Revolving Credit Facility. As of March 31, 2025, unamortized debt issuance costs associated with the Term Loan of $709 are classified on the consolidated balance sheets as a reduction of long-term debt, and unamortized debt issuance costs associated with the Revolving Credit Facility of $488 are classified on the consolidated balance sheets as other noncurrent assets. Debt issuance costs include lender fees and certain costs paid to third parties, including legal and accountant fees, and are amortized to interest expense over the term of the New Credit Agreement.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New Credit Agreement also provides under its revolving credit provisions for revolving loans, letters of credit, and swing loans (“Revolving Credit Facility”). Upon the effectiveness of the New Credit Agreement, any amounts outstanding under letters of credit issued pursuant to the Amended Credit Agreement became issued under the New Credit Agreement. The availability under the Revolving Credit Facility is subject to certain borrowing base limits based on trade receivables and inventories. All unpaid principal and accrued and unpaid interest with respect to the Revolving Credit Facility is due and payable in full on October 31, 2029.</w:t>
      </w:r>
    </w:p>
    <w:p>
      <w:pPr>
        <w:spacing w:after="0" w:line="18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Company may voluntarily prepay principal amounts outstanding under the New Credit Agreement at any time subject to certain advance notifications and other restrictions.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fixed charge coverage ratio, as defined in the New Credit Agreement, of equal to or greater than 1.15 to 1.00 for the fiscal quarter ending March 31, 2025, and for each fiscal quarter thereafter, as calculated for the four (4) consecutive fiscal quarters ending on such date, and a consolidated senior leverage ratio, as defined in the New Credit Agreement, not to exceed (i) 3.50 to 1.00 for the fiscal quarters ending March 31, 2025 through December 31, 2025, (ii) 3.25 to 1.00 for the fiscal quarters ending March 31, 2026 through December 31, 2026, (iii) 3.00 to 1.00 for the fiscal quarter ending March 31, 2027 and on the last day of each fiscal quarter thereafter, for the remaining term of the New Credit Agreement. The Company was in full compliance with its covenants under the New Credit Agreement as of March 31,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 w:name="page10"/>
    <w:bookmarkEnd w:id="9"/>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Borrowings under the New Credit Agreement are secured by substantially all the assets of the Company and certain of its present and future subsidiaries who are or become parties to, or guarantors under the new Credit Agreement.</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Interest will accrue on outstanding indebtedness under the Term Loan Facility and Revolving Credit Facilities at a variable rate of interest based on designated interest rate benchmarks plus a varying margin determined by reference to the consolidated senior leverage ratio in effect from time to time. Our borrowing rate was 6.79% as of March 31, 2025.</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must pay a fee of twenty, twenty-five or thirty basis points (depending on the consolidated senior leverage ratio in effect from time to time) based on the average daily unused availability under the Revolving Credit Facility.</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must make payments to the extent borrowings exceed the maximum amount then permitted to be borrowed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principal repayment obligations on our Amended Credit Facilities as of March 31, 2025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7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7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7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7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8"/>
        </w:trPr>
        <w:tc>
          <w:tcPr>
            <w:tcW w:w="280" w:type="dxa"/>
            <w:vAlign w:val="bottom"/>
          </w:tcPr>
          <w:p>
            <w:pPr>
              <w:spacing w:after="0"/>
              <w:rPr>
                <w:sz w:val="19"/>
                <w:szCs w:val="19"/>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7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r>
      <w:tr>
        <w:trPr>
          <w:trHeight w:val="208"/>
        </w:trPr>
        <w:tc>
          <w:tcPr>
            <w:tcW w:w="280" w:type="dxa"/>
            <w:vAlign w:val="bottom"/>
          </w:tcPr>
          <w:p>
            <w:pPr>
              <w:spacing w:after="0"/>
              <w:rPr>
                <w:sz w:val="18"/>
                <w:szCs w:val="18"/>
                <w:color w:val="auto"/>
              </w:rPr>
            </w:pP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6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24"/>
        </w:trPr>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78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4"/>
        </w:trPr>
        <w:tc>
          <w:tcPr>
            <w:tcW w:w="28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7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8" w:right="339" w:bottom="1440" w:gutter="0" w:footer="0" w:header="0"/>
        </w:sectPr>
      </w:pPr>
    </w:p>
    <w:bookmarkStart w:id="10" w:name="page11"/>
    <w:bookmarkEnd w:id="10"/>
    <w:p>
      <w:pPr>
        <w:ind w:left="340" w:hanging="333"/>
        <w:spacing w:after="0"/>
        <w:tabs>
          <w:tab w:leader="none" w:pos="34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income (loss) attributable to Ultralife Corporation by the weighted average shares outstanding during the period. Diluted EPS includes the dilutive effect of securities, if any, and is calculated using the treasury stock method.</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three-month period ended March 31, 2025, there were 314,704 outstanding stock options included in the calculation of diluted weighted average shares outstanding, as such securities were dilutive, resulting in 46,793 potential common shares included in the calculation of diluted EPS. There were 778,717 outstanding stock options and 35,486 unvested restricted stock awards for the three-month period ended March 31, 2025 not included in the calculation of diluted weighted average shares outstanding, as the effect would be anti-dilutive.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comparable three-month period ended March 31, 2024, there were 539,358 outstanding stock options and 5,229 unvested restricted stock awards included in the calculation of diluted weighted average shares outstanding, as such securities were dilutive, resulting in 122,515 potential common shares included in the calculation of diluted EPS. There were 524,502 outstanding stock options for the three-month period ended March 31, 2024 not included in the calculation of diluted weighted average shares outstanding, as the effect would be anti-dilutive.</w:t>
      </w:r>
    </w:p>
    <w:p>
      <w:pPr>
        <w:spacing w:after="0" w:line="200" w:lineRule="exact"/>
        <w:rPr>
          <w:sz w:val="20"/>
          <w:szCs w:val="20"/>
          <w:color w:val="auto"/>
        </w:rPr>
      </w:pPr>
    </w:p>
    <w:p>
      <w:pPr>
        <w:spacing w:after="0" w:line="219" w:lineRule="exact"/>
        <w:rPr>
          <w:sz w:val="20"/>
          <w:szCs w:val="20"/>
          <w:color w:val="auto"/>
        </w:rPr>
      </w:pPr>
    </w:p>
    <w:p>
      <w:pPr>
        <w:ind w:right="6660" w:firstLine="7"/>
        <w:spacing w:after="0" w:line="500" w:lineRule="auto"/>
        <w:tabs>
          <w:tab w:leader="none" w:pos="323"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BALANCE SHEET INFORMATION Fair Value Measurements and Disclosures</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March 31, 2025 and December 31, 2024. The fair value of cash, accounts receivable, accounts payable, accrued liabilities, and the current portion of long-term debt approximates carrying value due to the short-term nature of these instruments.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net of obsolescence reserves, with cost determined under the first-in, first-out (FIFO)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The composition of inventories, net was: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10,827</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546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30,109</w:t>
            </w:r>
          </w:p>
        </w:tc>
        <w:tc>
          <w:tcPr>
            <w:tcW w:w="0" w:type="dxa"/>
            <w:vAlign w:val="bottom"/>
          </w:tcPr>
          <w:p>
            <w:pPr>
              <w:spacing w:after="0"/>
              <w:rPr>
                <w:sz w:val="1"/>
                <w:szCs w:val="1"/>
                <w:color w:val="auto"/>
              </w:rPr>
            </w:pPr>
          </w:p>
        </w:tc>
      </w:tr>
      <w:tr>
        <w:trPr>
          <w:trHeight w:val="215"/>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61,533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60,986</w:t>
            </w:r>
          </w:p>
        </w:tc>
        <w:tc>
          <w:tcPr>
            <w:tcW w:w="0" w:type="dxa"/>
            <w:vAlign w:val="bottom"/>
          </w:tcPr>
          <w:p>
            <w:pPr>
              <w:spacing w:after="0"/>
              <w:rPr>
                <w:sz w:val="1"/>
                <w:szCs w:val="1"/>
                <w:color w:val="auto"/>
              </w:rPr>
            </w:pPr>
          </w:p>
        </w:tc>
      </w:tr>
      <w:tr>
        <w:trPr>
          <w:trHeight w:val="21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6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(69,432)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(68,437)</w:t>
            </w:r>
          </w:p>
        </w:tc>
        <w:tc>
          <w:tcPr>
            <w:tcW w:w="0" w:type="dxa"/>
            <w:vAlign w:val="bottom"/>
          </w:tcPr>
          <w:p>
            <w:pPr>
              <w:spacing w:after="0"/>
              <w:rPr>
                <w:sz w:val="1"/>
                <w:szCs w:val="1"/>
                <w:color w:val="auto"/>
              </w:rPr>
            </w:pPr>
          </w:p>
        </w:tc>
      </w:tr>
      <w:tr>
        <w:trPr>
          <w:trHeight w:val="222"/>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540" w:type="dxa"/>
            <w:vAlign w:val="bottom"/>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54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46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6" w:right="339" w:bottom="1440" w:gutter="0" w:footer="0" w:header="0"/>
        </w:sectPr>
      </w:pPr>
    </w:p>
    <w:bookmarkStart w:id="11" w:name="page12"/>
    <w:bookmarkEnd w:id="11"/>
    <w:p>
      <w:pPr>
        <w:ind w:right="620"/>
        <w:spacing w:after="0" w:line="280" w:lineRule="auto"/>
        <w:rPr>
          <w:sz w:val="20"/>
          <w:szCs w:val="20"/>
          <w:color w:val="auto"/>
        </w:rPr>
      </w:pPr>
      <w:r>
        <w:rPr>
          <w:rFonts w:ascii="Times New Roman" w:cs="Times New Roman" w:eastAsia="Times New Roman" w:hAnsi="Times New Roman"/>
          <w:sz w:val="18"/>
          <w:szCs w:val="18"/>
          <w:color w:val="auto"/>
        </w:rPr>
        <w:t>Depreciation expense for property, plant and equipment was $950 and $740 for the three-month periods ended March 31, 2025 and March 31,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three-month period ended March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Systems</w:t>
            </w:r>
          </w:p>
        </w:tc>
        <w:tc>
          <w:tcPr>
            <w:tcW w:w="320" w:type="dxa"/>
            <w:vAlign w:val="bottom"/>
          </w:tcPr>
          <w:p>
            <w:pPr>
              <w:spacing w:after="0"/>
              <w:rPr>
                <w:sz w:val="20"/>
                <w:szCs w:val="20"/>
                <w:color w:val="auto"/>
              </w:rPr>
            </w:pPr>
          </w:p>
        </w:tc>
        <w:tc>
          <w:tcPr>
            <w:tcW w:w="1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March 31, 2025</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5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other intangible assets was: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at March 31, 2025</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300"/>
              <w:spacing w:after="0" w:line="200"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Pr>
          <w:p>
            <w:pPr>
              <w:spacing w:after="0"/>
              <w:rPr>
                <w:sz w:val="20"/>
                <w:szCs w:val="20"/>
                <w:color w:val="auto"/>
              </w:rPr>
            </w:pPr>
          </w:p>
        </w:tc>
        <w:tc>
          <w:tcPr>
            <w:tcW w:w="1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940</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5,491</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at December 31, 2024</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300"/>
              <w:spacing w:after="0" w:line="200"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Pr>
          <w:p>
            <w:pPr>
              <w:spacing w:after="0"/>
              <w:rPr>
                <w:sz w:val="20"/>
                <w:szCs w:val="20"/>
                <w:color w:val="auto"/>
              </w:rPr>
            </w:pPr>
          </w:p>
        </w:tc>
        <w:tc>
          <w:tcPr>
            <w:tcW w:w="12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813</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5,428</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591</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cost of total intangible assets from December 31, 2024 to March 31, 2025 is the effect of foreign currency translations.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other intangible assets was included in the following financial statement captions: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9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58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3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3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8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8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6.  STOCK-BASED COMPENSATION</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1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90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0"/>
        </w:trPr>
        <w:tc>
          <w:tcPr>
            <w:tcW w:w="1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2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1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6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20" w:type="dxa"/>
            <w:vAlign w:val="bottom"/>
            <w:tcBorders>
              <w:top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top w:val="single" w:sz="8" w:color="CCEEFF"/>
            </w:tcBorders>
            <w:shd w:val="clear" w:color="auto" w:fill="CCEEFF"/>
          </w:tcPr>
          <w:p>
            <w:pPr>
              <w:spacing w:after="0"/>
              <w:rPr>
                <w:sz w:val="18"/>
                <w:szCs w:val="18"/>
                <w:color w:val="auto"/>
              </w:rPr>
            </w:pPr>
          </w:p>
        </w:tc>
      </w:tr>
      <w:tr>
        <w:trPr>
          <w:trHeight w:val="228"/>
        </w:trPr>
        <w:tc>
          <w:tcPr>
            <w:tcW w:w="1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grants</w:t>
            </w:r>
          </w:p>
        </w:tc>
        <w:tc>
          <w:tcPr>
            <w:tcW w:w="122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22"/>
        </w:trPr>
        <w:tc>
          <w:tcPr>
            <w:tcW w:w="160" w:type="dxa"/>
            <w:vAlign w:val="bottom"/>
          </w:tcPr>
          <w:p>
            <w:pPr>
              <w:spacing w:after="0"/>
              <w:rPr>
                <w:sz w:val="19"/>
                <w:szCs w:val="19"/>
                <w:color w:val="auto"/>
              </w:rPr>
            </w:pPr>
          </w:p>
        </w:tc>
        <w:tc>
          <w:tcPr>
            <w:tcW w:w="5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We have stock options outstanding from various stock-based employee compensation plans for which we record compensation cost relating to share-based payment transactions in our financial statements. As of March 31, 2025, there was $921 of total unrecognized compensation cost related to outstanding stock options, which is expected to be recognized over a weighted average period of 1.4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three-month period ended March 31, 2025:</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5"/>
        </w:trPr>
        <w:tc>
          <w:tcPr>
            <w:tcW w:w="524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8"/>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1,106,436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7.11</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7.15</w:t>
            </w:r>
          </w:p>
        </w:tc>
        <w:tc>
          <w:tcPr>
            <w:tcW w:w="14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2025</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7.17</w:t>
            </w: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40" w:type="dxa"/>
            <w:vAlign w:val="bottom"/>
            <w:tcBorders>
              <w:bottom w:val="single" w:sz="8" w:color="CCEEFF"/>
            </w:tcBorders>
            <w:vMerge w:val="continue"/>
          </w:tcPr>
          <w:p>
            <w:pPr>
              <w:spacing w:after="0"/>
              <w:rPr>
                <w:sz w:val="20"/>
                <w:szCs w:val="20"/>
                <w:color w:val="auto"/>
              </w:rPr>
            </w:pPr>
          </w:p>
        </w:tc>
        <w:tc>
          <w:tcPr>
            <w:tcW w:w="1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994,263</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CCEEFF"/>
            </w:tcBorders>
            <w:gridSpan w:val="2"/>
            <w:vMerge w:val="continue"/>
          </w:tcPr>
          <w:p>
            <w:pPr>
              <w:spacing w:after="0"/>
              <w:rPr>
                <w:sz w:val="20"/>
                <w:szCs w:val="20"/>
                <w:color w:val="auto"/>
              </w:rPr>
            </w:pPr>
          </w:p>
        </w:tc>
        <w:tc>
          <w:tcPr>
            <w:tcW w:w="140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March 31, 2025</w:t>
            </w:r>
          </w:p>
        </w:tc>
        <w:tc>
          <w:tcPr>
            <w:tcW w:w="118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628,327</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CEEFF"/>
            </w:tcBorders>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7.16</w:t>
            </w:r>
          </w:p>
        </w:tc>
        <w:tc>
          <w:tcPr>
            <w:tcW w:w="1400" w:type="dxa"/>
            <w:vAlign w:val="bottom"/>
            <w:tcBorders>
              <w:bottom w:val="single" w:sz="8" w:color="CCEEFF"/>
            </w:tcBorders>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three-month periods ended March 31, 2025 and March 31, 2024 was $0 and $685, respectively.</w:t>
      </w:r>
    </w:p>
    <w:p>
      <w:pPr>
        <w:spacing w:after="0" w:line="16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Restricted stock awards vest in equal annual installments over three (3) years. Unrecognized compensation cost related to unvested restricted stock awards at March 31, 2025 and March 31, 2024, respectively, was $216 and $31.</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20"/>
          </w:cols>
          <w:pgMar w:left="320" w:top="816" w:right="259" w:bottom="1440" w:gutter="0" w:footer="0" w:header="0"/>
        </w:sectPr>
      </w:pPr>
    </w:p>
    <w:bookmarkStart w:id="13" w:name="page14"/>
    <w:bookmarkEnd w:id="13"/>
    <w:p>
      <w:pPr>
        <w:ind w:left="340" w:hanging="333"/>
        <w:spacing w:after="0"/>
        <w:tabs>
          <w:tab w:leader="none" w:pos="3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8"/>
          <w:szCs w:val="18"/>
          <w:color w:val="auto"/>
        </w:rPr>
        <w:t>Our effective tax rate for the three-month periods ended March 31, 2025 and March 31, 2024 was 23.2% and 19.5%, respectively. The period-over-period change was primarily attributable to the geographic mix of our operating results.</w:t>
      </w:r>
    </w:p>
    <w:p>
      <w:pPr>
        <w:spacing w:after="0" w:line="16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color w:val="auto"/>
        </w:rPr>
        <w:t>As of December 31, 2024, we have domestic net operating loss (“NOL”) carryforwards of $15,000, which expire 2031 through 2035, and domestic tax credits of $3,200, which expire 2028 through 2044, available to reduce future taxable income. As of March 31, 2025, management has concluded it is more likely than not that these domestic NOL and credit carryforwards will be fully utilized.</w:t>
      </w:r>
    </w:p>
    <w:p>
      <w:pPr>
        <w:spacing w:after="0" w:line="177"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As of March 31, 2025, for certain past operations in the U.K., we continue to report a valuation allowance for NOL carryforwards of approximately $9,600,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1" w:lineRule="exact"/>
        <w:rPr>
          <w:sz w:val="20"/>
          <w:szCs w:val="20"/>
          <w:color w:val="auto"/>
        </w:rPr>
      </w:pPr>
    </w:p>
    <w:p>
      <w:pPr>
        <w:jc w:val="both"/>
        <w:ind w:right="100"/>
        <w:spacing w:after="0" w:line="280" w:lineRule="auto"/>
        <w:rPr>
          <w:sz w:val="20"/>
          <w:szCs w:val="20"/>
          <w:color w:val="auto"/>
        </w:rPr>
      </w:pPr>
      <w:r>
        <w:rPr>
          <w:rFonts w:ascii="Times New Roman" w:cs="Times New Roman" w:eastAsia="Times New Roman" w:hAnsi="Times New Roman"/>
          <w:sz w:val="18"/>
          <w:szCs w:val="18"/>
          <w:color w:val="auto"/>
        </w:rPr>
        <w:t>As of March 31, 2025, we have not recognized a valuation allowance against our other foreign deferred tax assets, as realization is considered to be more likely than not.</w:t>
      </w:r>
    </w:p>
    <w:p>
      <w:pPr>
        <w:spacing w:after="0" w:line="162" w:lineRule="exact"/>
        <w:rPr>
          <w:sz w:val="20"/>
          <w:szCs w:val="20"/>
          <w:color w:val="auto"/>
        </w:rPr>
      </w:pPr>
    </w:p>
    <w:p>
      <w:pPr>
        <w:jc w:val="both"/>
        <w:ind w:right="100"/>
        <w:spacing w:after="0" w:line="280" w:lineRule="auto"/>
        <w:rPr>
          <w:sz w:val="20"/>
          <w:szCs w:val="20"/>
          <w:color w:val="auto"/>
        </w:rPr>
      </w:pPr>
      <w:r>
        <w:rPr>
          <w:rFonts w:ascii="Times New Roman" w:cs="Times New Roman" w:eastAsia="Times New Roman" w:hAnsi="Times New Roman"/>
          <w:sz w:val="18"/>
          <w:szCs w:val="18"/>
          <w:color w:val="auto"/>
        </w:rPr>
        <w:t>As of March 31, 2025, the Company maintains its assertion that all foreign earnings will be indefinitely reinvested in those operations, other than earnings generated in the U.K.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March 31, 2025 and December 31, 2024.</w:t>
      </w:r>
    </w:p>
    <w:p>
      <w:pPr>
        <w:spacing w:after="0" w:line="223"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2021 thru 2023 remain subject to IRS examination. Our U.S. tax matters for 2001-2002, 2005-2007, 2009, and 2011-2015 also remain subject to IRS examination due to the remaining availability of net operating loss carryforwards generated in those years. Our U.S. tax matters for 2014 thru 2023 remain subject to examination by various state and local tax jurisdictions. Our tax matters for the years 2014 thru 2023 remain subject to examination by the respective foreign tax jurisdiction authorities.</w:t>
      </w:r>
    </w:p>
    <w:p>
      <w:pPr>
        <w:spacing w:after="0" w:line="200" w:lineRule="exact"/>
        <w:rPr>
          <w:sz w:val="20"/>
          <w:szCs w:val="20"/>
          <w:color w:val="auto"/>
        </w:rPr>
      </w:pPr>
    </w:p>
    <w:p>
      <w:pPr>
        <w:spacing w:after="0" w:line="224" w:lineRule="exact"/>
        <w:rPr>
          <w:sz w:val="20"/>
          <w:szCs w:val="20"/>
          <w:color w:val="auto"/>
        </w:rPr>
      </w:pPr>
    </w:p>
    <w:p>
      <w:pPr>
        <w:ind w:left="340" w:hanging="333"/>
        <w:spacing w:after="0"/>
        <w:tabs>
          <w:tab w:leader="none" w:pos="3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March 31, 2025, the remaining lease terms on our operating leases range from approximately one (1) year to seven (7) years. Lease terms include renewal options reasonably certain of exercise. There is no transfer of title or option to purchase the leased assets upon expiration. There are no residual value guarantees or material restrictive covenants.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30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Three-month period ended March 31,</w:t>
            </w: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28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528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66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816"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80" w:type="dxa"/>
            <w:vAlign w:val="bottom"/>
            <w:gridSpan w:val="11"/>
          </w:tcPr>
          <w:p>
            <w:pPr>
              <w:ind w:left="60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r>
      <w:tr>
        <w:trPr>
          <w:trHeight w:val="237"/>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8"/>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8"/>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w:t>
            </w: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9"/>
                <w:szCs w:val="19"/>
                <w:color w:val="auto"/>
              </w:rPr>
            </w:pPr>
          </w:p>
        </w:tc>
      </w:tr>
      <w:tr>
        <w:trPr>
          <w:trHeight w:val="208"/>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2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424"/>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leases was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7"/>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18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3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3,905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36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3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3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2,782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3,907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4,136</w:t>
            </w: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3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3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0"/>
        </w:trPr>
        <w:tc>
          <w:tcPr>
            <w:tcW w:w="7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Future minimum lease payments as of March 31, 2025 are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160" w:type="dxa"/>
            <w:vAlign w:val="bottom"/>
          </w:tcPr>
          <w:p>
            <w:pPr>
              <w:spacing w:after="0"/>
              <w:rPr>
                <w:sz w:val="24"/>
                <w:szCs w:val="24"/>
                <w:color w:val="auto"/>
              </w:rPr>
            </w:pPr>
          </w:p>
        </w:tc>
        <w:tc>
          <w:tcPr>
            <w:tcW w:w="36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660" w:type="dxa"/>
            <w:vAlign w:val="bottom"/>
            <w:gridSpan w:val="2"/>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660" w:type="dxa"/>
            <w:vAlign w:val="bottom"/>
            <w:gridSpan w:val="2"/>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660" w:type="dxa"/>
            <w:vAlign w:val="bottom"/>
            <w:gridSpan w:val="2"/>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660" w:type="dxa"/>
            <w:vAlign w:val="bottom"/>
            <w:gridSpan w:val="2"/>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8"/>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8"/>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3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24"/>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4"/>
        </w:trPr>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bl>
    <w:p>
      <w:pPr>
        <w:sectPr>
          <w:pgSz w:w="11900" w:h="16838" w:orient="portrait"/>
          <w:cols w:equalWidth="0" w:num="1">
            <w:col w:w="11320"/>
          </w:cols>
          <w:pgMar w:left="320" w:top="578" w:right="259" w:bottom="1440" w:gutter="0" w:footer="0" w:header="0"/>
        </w:sectPr>
      </w:pPr>
    </w:p>
    <w:bookmarkStart w:id="15" w:name="page16"/>
    <w:bookmarkEnd w:id="15"/>
    <w:p>
      <w:pPr>
        <w:ind w:right="7680" w:firstLine="7"/>
        <w:spacing w:after="0" w:line="500" w:lineRule="auto"/>
        <w:tabs>
          <w:tab w:leader="none" w:pos="323"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 Purchase Commitments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have made commitments to purchase approximately $828 of production machinery and equipment.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three months of 2025 and 2024 were as follows: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7360" w:type="dxa"/>
            <w:vAlign w:val="bottom"/>
          </w:tcPr>
          <w:p>
            <w:pPr>
              <w:spacing w:after="0"/>
              <w:rPr>
                <w:sz w:val="20"/>
                <w:szCs w:val="20"/>
                <w:color w:val="auto"/>
              </w:rPr>
            </w:pPr>
          </w:p>
        </w:tc>
        <w:tc>
          <w:tcPr>
            <w:tcW w:w="3300" w:type="dxa"/>
            <w:vAlign w:val="bottom"/>
            <w:gridSpan w:val="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Three-month period ended March 31,</w:t>
            </w:r>
          </w:p>
        </w:tc>
      </w:tr>
      <w:tr>
        <w:trPr>
          <w:trHeight w:val="222"/>
        </w:trPr>
        <w:tc>
          <w:tcPr>
            <w:tcW w:w="73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r>
      <w:tr>
        <w:trPr>
          <w:trHeight w:val="22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10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22"/>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108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Legal Matters</w:t>
      </w:r>
    </w:p>
    <w:p>
      <w:pPr>
        <w:spacing w:after="0" w:line="227"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REVENUE RECOGNITION</w:t>
      </w:r>
    </w:p>
    <w:p>
      <w:pPr>
        <w:spacing w:after="0" w:line="2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5"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 For the three-month periods ended March 31, 2025 and March 31, 2024, revenue recognized on extended warranties was $74 and $72, respectively.</w:t>
      </w:r>
    </w:p>
    <w:p>
      <w:pPr>
        <w:spacing w:after="0" w:line="181"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As of March 31, 2025, there was deferred revenue on extended warranty contracts of $1,078, comprised of $298 expected to be recognized as revenue within one (1) year and classified as accrued expenses and other current liabilities on our consolidated balance sheet, and $780 expected to be recognized as revenue over the remaining duration of the respective contracts and classified as other noncurrent liabilities on our consolidated balance sheet.</w:t>
      </w:r>
    </w:p>
    <w:p>
      <w:pPr>
        <w:spacing w:after="0" w:line="17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As of December 31, 2024, there was deferred revenue on extended warranty contracts of $1,153, comprised of $298 expected to be recognized as revenue within one (1) year and classified as accrued expenses and other current liabilities on our consolidated balance sheets, and $855 expected to be recognized as revenue over the remaining duration of the respective contracts and classified as other noncurrent liabilities on our consolidated balance sheet.</w:t>
      </w:r>
    </w:p>
    <w:p>
      <w:pPr>
        <w:spacing w:after="0" w:line="1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20"/>
          </w:cols>
          <w:pgMar w:left="320" w:top="816" w:right="259" w:bottom="1440" w:gutter="0" w:footer="0" w:header="0"/>
        </w:sectPr>
      </w:pPr>
    </w:p>
    <w:bookmarkStart w:id="16" w:name="page17"/>
    <w:bookmarkEnd w:id="16"/>
    <w:p>
      <w:pPr>
        <w:jc w:val="both"/>
        <w:spacing w:after="0" w:line="264" w:lineRule="auto"/>
        <w:rPr>
          <w:sz w:val="20"/>
          <w:szCs w:val="20"/>
          <w:color w:val="auto"/>
        </w:rPr>
      </w:pPr>
      <w:r>
        <w:rPr>
          <w:rFonts w:ascii="Times New Roman" w:cs="Times New Roman" w:eastAsia="Times New Roman" w:hAnsi="Times New Roman"/>
          <w:sz w:val="18"/>
          <w:szCs w:val="18"/>
          <w:color w:val="auto"/>
        </w:rPr>
        <w:t>As of March 31, 2025 and December 31, 2024,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BUSINESS SEGMENT INFORMATION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Operating segments represent a component of the Company that engages in business activities from which it may recognize revenues and incur expenses whose operating results are regularly reviewed by the public entity’s chief operating decision maker (“CODM”) to make decisions about resources to be allocated to the segment and assess its performance, and for which discrete financial information is available. Once operating segments are identified, the Company determined which of those operating segments are required to be presented as reportable segments based on the quantitative thresholds.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structure our operations primarily around the products we sell and report our financial results in the following two reportable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CODM is Mike Manna, President &amp; Chief Executive Officer. Both of our operating segments are regularly reviewed by the CODM through weekly revenue, gross margin and consolidated financial forecast updates, bi-weekly business and financial reviews to assess business performance, top priorities, utilization of resources and to regularly communicate with segment management, who are part of the CODM’s executive leadership team, and monthly meetings with the executive leadership team. In his role as CODM, Mr. Manna is deeply involved in business operations through daily updates by the segment management and ongoing financial, revenue and operations discussions.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primary financial measures used by the CODM to monitor and evaluate the performance of the operating segments is segment contribution, as defined by gross profit less direct selling, general and administrative (“SG&amp;A”) and research and development expenses. This metric is used as a consistent benchmark for comparison across reporting periods.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Corporate general and administrative (“G&amp;A”) expenses, including costs associated with our acquisitions, include corporate functions including board of directors, executive officers, accounting &amp; finance, human resources, legal, information technology and their related functional expenses. These costs are not directly allocable to the operating segments.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March 31, 2025:</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07"/>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5"/>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7"/>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40" w:type="dxa"/>
            <w:vAlign w:val="bottom"/>
          </w:tcPr>
          <w:p>
            <w:pPr>
              <w:spacing w:after="0"/>
              <w:rPr>
                <w:sz w:val="20"/>
                <w:szCs w:val="20"/>
                <w:color w:val="auto"/>
              </w:rPr>
            </w:pPr>
          </w:p>
        </w:tc>
        <w:tc>
          <w:tcPr>
            <w:tcW w:w="14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r>
      <w:tr>
        <w:trPr>
          <w:trHeight w:val="208"/>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50,746</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(38,001)</w:t>
            </w:r>
          </w:p>
        </w:tc>
        <w:tc>
          <w:tcPr>
            <w:tcW w:w="560" w:type="dxa"/>
            <w:vAlign w:val="bottom"/>
          </w:tcPr>
          <w:p>
            <w:pPr>
              <w:spacing w:after="0"/>
              <w:rPr>
                <w:sz w:val="18"/>
                <w:szCs w:val="18"/>
                <w:color w:val="auto"/>
              </w:rPr>
            </w:pP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12,745</w:t>
            </w:r>
          </w:p>
        </w:tc>
        <w:tc>
          <w:tcPr>
            <w:tcW w:w="560" w:type="dxa"/>
            <w:vAlign w:val="bottom"/>
          </w:tcPr>
          <w:p>
            <w:pPr>
              <w:spacing w:after="0"/>
              <w:rPr>
                <w:sz w:val="18"/>
                <w:szCs w:val="18"/>
                <w:color w:val="auto"/>
              </w:rPr>
            </w:pP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Direct SG&amp;A expenses</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(4,231)</w:t>
            </w:r>
          </w:p>
        </w:tc>
        <w:tc>
          <w:tcPr>
            <w:tcW w:w="560" w:type="dxa"/>
            <w:vAlign w:val="bottom"/>
          </w:tcPr>
          <w:p>
            <w:pPr>
              <w:spacing w:after="0"/>
              <w:rPr>
                <w:sz w:val="18"/>
                <w:szCs w:val="18"/>
                <w:color w:val="auto"/>
              </w:rPr>
            </w:pP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(2,404)</w:t>
            </w:r>
          </w:p>
        </w:tc>
        <w:tc>
          <w:tcPr>
            <w:tcW w:w="560" w:type="dxa"/>
            <w:vAlign w:val="bottom"/>
          </w:tcPr>
          <w:p>
            <w:pPr>
              <w:spacing w:after="0"/>
              <w:rPr>
                <w:sz w:val="18"/>
                <w:szCs w:val="18"/>
                <w:color w:val="auto"/>
              </w:rPr>
            </w:pP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c>
          <w:tcPr>
            <w:tcW w:w="560" w:type="dxa"/>
            <w:vAlign w:val="bottom"/>
          </w:tcPr>
          <w:p>
            <w:pPr>
              <w:spacing w:after="0"/>
              <w:rPr>
                <w:sz w:val="18"/>
                <w:szCs w:val="18"/>
                <w:color w:val="auto"/>
              </w:rPr>
            </w:pP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G&amp;A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(2,711)</w:t>
            </w:r>
          </w:p>
        </w:tc>
        <w:tc>
          <w:tcPr>
            <w:tcW w:w="560" w:type="dxa"/>
            <w:vAlign w:val="bottom"/>
          </w:tcPr>
          <w:p>
            <w:pPr>
              <w:spacing w:after="0"/>
              <w:rPr>
                <w:sz w:val="18"/>
                <w:szCs w:val="18"/>
                <w:color w:val="auto"/>
              </w:rPr>
            </w:pP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w:t>
            </w:r>
          </w:p>
        </w:tc>
        <w:tc>
          <w:tcPr>
            <w:tcW w:w="560" w:type="dxa"/>
            <w:vAlign w:val="bottom"/>
          </w:tcPr>
          <w:p>
            <w:pPr>
              <w:spacing w:after="0"/>
              <w:rPr>
                <w:sz w:val="18"/>
                <w:szCs w:val="18"/>
                <w:color w:val="auto"/>
              </w:rPr>
            </w:pP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c>
          <w:tcPr>
            <w:tcW w:w="560" w:type="dxa"/>
            <w:vAlign w:val="bottom"/>
          </w:tcPr>
          <w:p>
            <w:pPr>
              <w:spacing w:after="0"/>
              <w:rPr>
                <w:sz w:val="18"/>
                <w:szCs w:val="18"/>
                <w:color w:val="auto"/>
              </w:rPr>
            </w:pP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c>
          <w:tcPr>
            <w:tcW w:w="560" w:type="dxa"/>
            <w:vAlign w:val="bottom"/>
          </w:tcPr>
          <w:p>
            <w:pPr>
              <w:spacing w:after="0"/>
              <w:rPr>
                <w:sz w:val="18"/>
                <w:szCs w:val="18"/>
                <w:color w:val="auto"/>
              </w:rPr>
            </w:pP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w:t>
            </w:r>
          </w:p>
        </w:tc>
        <w:tc>
          <w:tcPr>
            <w:tcW w:w="560" w:type="dxa"/>
            <w:vAlign w:val="bottom"/>
          </w:tcPr>
          <w:p>
            <w:pPr>
              <w:spacing w:after="0"/>
              <w:rPr>
                <w:sz w:val="20"/>
                <w:szCs w:val="20"/>
                <w:color w:val="auto"/>
              </w:rPr>
            </w:pPr>
          </w:p>
        </w:tc>
      </w:tr>
      <w:tr>
        <w:trPr>
          <w:trHeight w:val="412"/>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4"/>
        </w:trPr>
        <w:tc>
          <w:tcPr>
            <w:tcW w:w="5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8"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March 31, 2024:</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7"/>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40" w:type="dxa"/>
            <w:vAlign w:val="bottom"/>
          </w:tcPr>
          <w:p>
            <w:pPr>
              <w:spacing w:after="0"/>
              <w:rPr>
                <w:sz w:val="20"/>
                <w:szCs w:val="20"/>
                <w:color w:val="auto"/>
              </w:rPr>
            </w:pPr>
          </w:p>
        </w:tc>
        <w:tc>
          <w:tcPr>
            <w:tcW w:w="14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(30,457)</w:t>
            </w: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11,470</w:t>
            </w: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Direct SG&amp;A expenses</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(3,301)</w:t>
            </w: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(1,756)</w:t>
            </w: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6,413</w:t>
            </w: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G&amp;A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(2,350)</w:t>
            </w: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4,063</w:t>
            </w: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w:t>
            </w:r>
          </w:p>
        </w:tc>
      </w:tr>
      <w:tr>
        <w:trPr>
          <w:trHeight w:val="215"/>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2,891</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Commercial and Government/Defense Revenue Information:</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628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Three-month period ended March 31, 2025:</w:t>
            </w:r>
          </w:p>
        </w:tc>
        <w:tc>
          <w:tcPr>
            <w:tcW w:w="260" w:type="dxa"/>
            <w:vAlign w:val="bottom"/>
          </w:tcPr>
          <w:p>
            <w:pPr>
              <w:spacing w:after="0"/>
              <w:rPr>
                <w:sz w:val="24"/>
                <w:szCs w:val="24"/>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vMerge w:val="restart"/>
          </w:tcPr>
          <w:p>
            <w:pPr>
              <w:jc w:val="center"/>
              <w:ind w:right="213"/>
              <w:spacing w:after="0"/>
              <w:rPr>
                <w:sz w:val="20"/>
                <w:szCs w:val="20"/>
                <w:color w:val="auto"/>
              </w:rPr>
            </w:pPr>
            <w:r>
              <w:rPr>
                <w:rFonts w:ascii="Times New Roman" w:cs="Times New Roman" w:eastAsia="Times New Roman" w:hAnsi="Times New Roman"/>
                <w:sz w:val="18"/>
                <w:szCs w:val="18"/>
                <w:color w:val="auto"/>
                <w:w w:val="98"/>
              </w:rPr>
              <w:t>Government/</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rPr>
              <w:t>Commercial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13"/>
              <w:spacing w:after="0"/>
              <w:rPr>
                <w:sz w:val="20"/>
                <w:szCs w:val="20"/>
                <w:color w:val="auto"/>
              </w:rPr>
            </w:pPr>
            <w:r>
              <w:rPr>
                <w:rFonts w:ascii="Times New Roman" w:cs="Times New Roman" w:eastAsia="Times New Roman" w:hAnsi="Times New Roman"/>
                <w:sz w:val="18"/>
                <w:szCs w:val="18"/>
                <w:color w:val="auto"/>
                <w:w w:val="98"/>
              </w:rPr>
              <w:t>Defense</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498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4,425</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98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i w:val="1"/>
                <w:iCs w:val="1"/>
                <w:color w:val="auto"/>
                <w:w w:val="73"/>
              </w:rPr>
              <w:t>%</w:t>
            </w:r>
          </w:p>
        </w:tc>
        <w:tc>
          <w:tcPr>
            <w:tcW w:w="0" w:type="dxa"/>
            <w:vAlign w:val="bottom"/>
          </w:tcPr>
          <w:p>
            <w:pPr>
              <w:spacing w:after="0" w:line="20" w:lineRule="exact"/>
              <w:rPr>
                <w:sz w:val="1"/>
                <w:szCs w:val="1"/>
                <w:color w:val="auto"/>
              </w:rPr>
            </w:pPr>
          </w:p>
        </w:tc>
      </w:tr>
      <w:tr>
        <w:trPr>
          <w:trHeight w:val="214"/>
        </w:trPr>
        <w:tc>
          <w:tcPr>
            <w:tcW w:w="1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28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Three-month period ended March 31, 2024:</w:t>
            </w:r>
          </w:p>
        </w:tc>
        <w:tc>
          <w:tcPr>
            <w:tcW w:w="260" w:type="dxa"/>
            <w:vAlign w:val="bottom"/>
          </w:tcPr>
          <w:p>
            <w:pPr>
              <w:spacing w:after="0"/>
              <w:rPr>
                <w:sz w:val="24"/>
                <w:szCs w:val="24"/>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vMerge w:val="restart"/>
          </w:tcPr>
          <w:p>
            <w:pPr>
              <w:jc w:val="center"/>
              <w:ind w:right="213"/>
              <w:spacing w:after="0"/>
              <w:rPr>
                <w:sz w:val="20"/>
                <w:szCs w:val="20"/>
                <w:color w:val="auto"/>
              </w:rPr>
            </w:pPr>
            <w:r>
              <w:rPr>
                <w:rFonts w:ascii="Times New Roman" w:cs="Times New Roman" w:eastAsia="Times New Roman" w:hAnsi="Times New Roman"/>
                <w:sz w:val="18"/>
                <w:szCs w:val="18"/>
                <w:color w:val="auto"/>
                <w:w w:val="98"/>
              </w:rPr>
              <w:t>Government/</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rPr>
              <w:t>Commercial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13"/>
              <w:spacing w:after="0"/>
              <w:rPr>
                <w:sz w:val="20"/>
                <w:szCs w:val="20"/>
                <w:color w:val="auto"/>
              </w:rPr>
            </w:pPr>
            <w:r>
              <w:rPr>
                <w:rFonts w:ascii="Times New Roman" w:cs="Times New Roman" w:eastAsia="Times New Roman" w:hAnsi="Times New Roman"/>
                <w:sz w:val="18"/>
                <w:szCs w:val="18"/>
                <w:color w:val="auto"/>
                <w:w w:val="98"/>
              </w:rPr>
              <w:t>Defense</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498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98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71"/>
        </w:trPr>
        <w:tc>
          <w:tcPr>
            <w:tcW w:w="2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U.S. and Non-U.S. Revenue Information</w:t>
            </w:r>
          </w:p>
        </w:tc>
        <w:tc>
          <w:tcPr>
            <w:tcW w:w="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3280" w:type="dxa"/>
            <w:vAlign w:val="bottom"/>
            <w:gridSpan w:val="2"/>
          </w:tcPr>
          <w:p>
            <w:pPr>
              <w:jc w:val="right"/>
              <w:ind w:right="3220"/>
              <w:spacing w:after="0"/>
              <w:rPr>
                <w:sz w:val="20"/>
                <w:szCs w:val="20"/>
                <w:color w:val="auto"/>
              </w:rPr>
            </w:pPr>
            <w:r>
              <w:rPr>
                <w:rFonts w:ascii="Times New Roman" w:cs="Times New Roman" w:eastAsia="Times New Roman" w:hAnsi="Times New Roman"/>
                <w:sz w:val="18"/>
                <w:szCs w:val="18"/>
                <w:u w:val="single" w:color="auto"/>
                <w:color w:val="auto"/>
                <w:w w:val="78"/>
              </w:rPr>
              <w:t>:</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28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Three-month period ended March 31, 2025:</w:t>
            </w:r>
          </w:p>
        </w:tc>
        <w:tc>
          <w:tcPr>
            <w:tcW w:w="260" w:type="dxa"/>
            <w:vAlign w:val="bottom"/>
          </w:tcPr>
          <w:p>
            <w:pPr>
              <w:spacing w:after="0"/>
              <w:rPr>
                <w:sz w:val="24"/>
                <w:szCs w:val="24"/>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rPr>
              <w:t>United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vMerge w:val="restart"/>
          </w:tcPr>
          <w:p>
            <w:pPr>
              <w:jc w:val="center"/>
              <w:ind w:right="213"/>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7"/>
              </w:rPr>
              <w:t>States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13"/>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498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98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i w:val="1"/>
                <w:iCs w:val="1"/>
                <w:color w:val="auto"/>
                <w:w w:val="73"/>
              </w:rPr>
              <w:t>%</w:t>
            </w:r>
          </w:p>
        </w:tc>
        <w:tc>
          <w:tcPr>
            <w:tcW w:w="0" w:type="dxa"/>
            <w:vAlign w:val="bottom"/>
          </w:tcPr>
          <w:p>
            <w:pPr>
              <w:spacing w:after="0" w:line="20" w:lineRule="exact"/>
              <w:rPr>
                <w:sz w:val="1"/>
                <w:szCs w:val="1"/>
                <w:color w:val="auto"/>
              </w:rPr>
            </w:pPr>
          </w:p>
        </w:tc>
      </w:tr>
      <w:tr>
        <w:trPr>
          <w:trHeight w:val="214"/>
        </w:trPr>
        <w:tc>
          <w:tcPr>
            <w:tcW w:w="1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28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Three-month period ended March 31, 2024:</w:t>
            </w:r>
          </w:p>
        </w:tc>
        <w:tc>
          <w:tcPr>
            <w:tcW w:w="260" w:type="dxa"/>
            <w:vAlign w:val="bottom"/>
          </w:tcPr>
          <w:p>
            <w:pPr>
              <w:spacing w:after="0"/>
              <w:rPr>
                <w:sz w:val="24"/>
                <w:szCs w:val="24"/>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rPr>
              <w:t>United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vMerge w:val="restart"/>
          </w:tcPr>
          <w:p>
            <w:pPr>
              <w:jc w:val="center"/>
              <w:ind w:right="213"/>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7"/>
              </w:rPr>
              <w:t>States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13"/>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498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4,858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980" w:type="dxa"/>
            <w:vAlign w:val="bottom"/>
            <w:tcBorders>
              <w:top w:val="single" w:sz="8" w:color="CCEEFF"/>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540" w:right="2280" w:hanging="5533"/>
        <w:spacing w:after="0" w:line="369" w:lineRule="auto"/>
        <w:tabs>
          <w:tab w:leader="none" w:pos="125"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classified to U.S. include shipments to U.S.-based prime contractors which in some cases may serve non-U.S. projects.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57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management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tariffs, interest rates and supply chain disruptions affecting our business, revenues and earnings adversely; our reliance on certain key customers for a significant portion of our revenues; reductions or delays in U.S. and foreign military spending; our efforts to develop new products or new commercial applications for our products; potential disruptions in our supply of raw materials and components or material increases in their costs due to business conditions, new or additional tariffs, global conflicts or other factors not under our control; our resources being overwhelmed by our growth; breaches in information systems security and other disruptions in our information technology systems; our ability to recruit and retain top management and key personnel; the unique risks associated with our China operations; fluctuations in the price of oil and the resulting impact on the demand for downhole drilling; possible future declines in demand for the products that use our batteries or communications systems; safety risks, including the risk of fire inherent in the manufacture, use and transportation of Lithium batteries; variability in our quarterly and annual results and the price of our common stock; rising interest rates increasing the cost of our variable borrowings; purchases by our customers of product quantities not meeting the volume expectations in our supply agreements; the continued impact of COVID-19, or other pandemics that may arise, causing delays in the manufacture and delivery of our mission critical products to end customers; potential costs attributable to the warranties we supply with our products and services; our inability to comply with changes to the regulations for the shipment of our products; our entrance into new end-markets which could lead to additional financial exposure; negative publicity concerning Lithium-ion batteries; our exposure to foreign currency fluctuations; our ability to utilize our net operating loss carryforwards; the risk that we are unable to protect our proprietary and intellectual property; rules and procedures regarding contracting with the U.S. and foreign governments; possible impairments of our goodwill and other intangible assets; our ability to comply with government regulations including the use of “conflict minerals”; exposure to possible violations of the U.S. Foreign Corrupt Practices Act, the U.K. Bribery Act or other anti-corruption laws; known and unknown environmental matters; possible audits of our contracts by the U.S. and foreign governments and their respective defense agencies;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“foresee,” “could,” “likely,” or words of similar import are intended to identify forward-looking statements. For further discussion of certain of the matters described above and other risks and uncertainties, see Item 1A, “Risk Factors” in our Annual Report on Form 10-K for the year ended December 31, 2024.</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do not guarantee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to reflect new information or risks, future events or other developments.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9" w:name="page20"/>
    <w:bookmarkEnd w:id="19"/>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information in this MD&amp;A is presented in thousands of dollars, except for share and per share amounts, unless otherwise specified.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8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Ultralife HiRate®, Ultralife Thin Cell®, Ultralife Batteries Inc.®, Lithium Power®, McDowell Research®, AMTI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ABLE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ACCUTRONICS™, ACCUPRO™, ENTELLION™, SWE Southwest Electronic Energy Group™, SWE SEASAFE™, Excell Battery Group™ and Criterion Gauge™ brands, among others. We have sales, operations and product development facilities in North America, Europe and Asia.</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segment contribution, as defined by gross profit less direct selling, general and administrative (“SG&amp;A”) and research and development expenses, is the best indicator of segment performance. As such, we report segment results at the segment contribution level. Refer to Note 10 in the notes to Consolidated Financial Statements in Item 1 of Part 1 of this Form 10-Q.</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Consolidated revenues of $50,746 for the three-month period ended March 31, 2025, increased by $8,819 or 21.0%, over $41,927 for the three-month period ended March 31, 2024, reflecting the inclusion of Electrochem and an increase in government/defense sales of 18.6% partially offset by a 12.3% decrease in medical sales.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Gross profit was $12,745, or 25.1% of revenue, for the three-month period ended March 31, 2025, compared to $11,470, or 27.4% of revenue, for the same quarter a year ago. The 230-basis point decline primarily resulted from sales product mix.</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Operating expenses were $9,346 for the three-month period ending March 31, 2025, compared to $7,407 for the three-month period ended March 31, 2024, reflecting the inclusion of Electrochem, a 24.0% increase in new product development costs related to continued investment in our product offering, the strengthening of our sales and marketing leadership team to expedite organic growth and further leverage our global brand and resources, and certain one-time, non-recurring costs. Operating expenses for the 2025 period were 18.4% of revenue compared to 17.7% of revenue for the year-earlier period.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0" w:name="page21"/>
    <w:bookmarkEnd w:id="20"/>
    <w:p>
      <w:pPr>
        <w:jc w:val="both"/>
        <w:spacing w:after="0" w:line="264" w:lineRule="auto"/>
        <w:rPr>
          <w:sz w:val="20"/>
          <w:szCs w:val="20"/>
          <w:color w:val="auto"/>
        </w:rPr>
      </w:pPr>
      <w:r>
        <w:rPr>
          <w:rFonts w:ascii="Times New Roman" w:cs="Times New Roman" w:eastAsia="Times New Roman" w:hAnsi="Times New Roman"/>
          <w:sz w:val="18"/>
          <w:szCs w:val="18"/>
          <w:color w:val="auto"/>
        </w:rPr>
        <w:t>Operating income for the three-month period ended March 31, 2025 was $3,399, or 6.7% of revenues, compared to $4,063, or 9.7% of revenues, for the year-earlier period. The decrease in operating income primarily resulted from the decline in gross margin resulting from sales product mix and the increase in operating expenses, including $402 in one-time, non-recurring costs and purchase accounting adjustments.</w:t>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Net income attributable to Ultralife Corporation was $1,865, or $0.11 per share – basic and diluted, for the three-month period ended March 31, 2025, compared to $2,891, or $0.18 per share – basic and diluted, for the three-month period ended March 31, 2024.</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Adjusted EBITDA, defined as net income attributable to Ultralife Corporation before net interest expense, provision (benefit) for income taxes, depreciation and amortization, and stock-based compensation expense, plus/minus expenses/income that we do not consider reflective of our ongoing operations, amounted to $5,448, or 10.7% of revenues, for the first quarter of 2025, compared to $5,243, or 12.5% of revenues, for the first quarter of 2024. See the section “Adjusted EBITDA” on page 21 for a reconciliation of adjusted EBITDA to net income attributable to Ultralife Corporation.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confident in our ability to deliver and sustain profitable growth, generating incremental cash flow to reduce acquisition-related debt, and continuing to invest in strategic product development. Our strong backlog replenishment this quarter, combined with a growing pipeline of innovative products targeting high-growth markets, positions us to scale efficiently and capitalize on market demand. With enhanced sales and marketing leadership in place, we’re accelerating organic growth and maximizing the value of our global brand and resources.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Periods Ended March 31, 2025 and March 31, 2024</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three-month period ending March 31, 2025 were $50,746, an increase of $8,819, or 21.0%, over $41,927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three-month period ended March 31, 2024. Overall, government/defense sales increased 18.6% and commercial sales decreased 8.7%, when excluding the 2025 sales of Electrochem.</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Battery &amp; Energy Products revenues increased $11,332, or 32.4%, from $34,989 for the three-month period ended March 31, 2024 to $46,321 for the three-month period ended March 31, 2025. The revenue growth was primarily attributable to the inclusion of Electrochem and organic growth of 10.6% driven by a 53.6% increase in government/defense sales reflecting strong demand from our U.S.-based global prime, partially offset by a 12.3% decrease in medical battery sales.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Communications Systems sales decreased $2,513, or 36.2%, from $6,938 for the three-month period ended March 31, 2024 to $4,425 for the three-month period ended March 31, 2025. The decrease was primarily attributable to shipments in the prior year of integrated systems of amplifiers and radio vehicle mounts to a major international defense contractor.</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$38,001 for the quarter ended March 31, 2025, an increase of $7,544, or 24.8%,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$30,457 reported for the same three-month period a year ago. Consolidated cost of products sold as a percentage of total revenue increased from 72.6% for the three-month period ended March 31, 2024 to 74.9% for the three-month period ended March 31, 2025. Correspondingly, consolidated gross margin decreased from 27.4% for the three-month period ended March 31, 2024, to 25.1% for the three-month period ended March 31, 2025, primarily reflecting unfavorable sales mix for both segments.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first quarter of 2025 was $11,440, an increase of $2,454 or 27.3% from gross profit of $8,986 for the first quarter of 2024. Battery &amp; Energy Products’ gross margin of 24.7% decreased by 100-basis points from the 25.7% gross margin for the year-earlier period, primarily due to sales mix reflecting the 12.3% decline in medical battery sales.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first quarter of 2025 was $1,305 or 29.5% of revenues, compared to gross profit of $2,484 or 35.8% of revenues for the first quarter of 2024. The 630-basis point decrease in gross margin was primarily due to unfavorable sales mix and the 36.2% revenue decline reducing factory volume.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three-month period ended March 31, 2025 were $9,346, an increase of $1,939 or 26.2% from the $7,407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three-month period ended March 31, 2024. The increase is primarily attributable to the inclusion of $1,060 for Electrochem, a 24.0% increase in new product development costs related to continued investment in our product offering, the strengthening of our sales and marketing leadership team to expedite organic growth and further leverage our global brand and resources, and certain one-time, non-recurring expenses which include costs related to our acquisition of Electrochem. Both periods reflected continued tight control over discretionary spending.</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Overall, operating expenses were 18.4% of revenue for the quarter ending March 31, 2025 compared to 17.7% of revenue for the quarter ended March 31, 2024. Amortization expense associated with intangible assets related to our acquisitions was $405 for the first quarter of 2025 ($376 in selling, general and administrative expenses and $29 in research and development costs), compared with $228 for the first quarter of 2024 ($203 in selling, general, and administrative expenses and $25 in research and development costs). Research and development costs were $2,403 for the three-month period ended March 31, 2025, an increase of $647 or 36.8%, from $1,756 for the three-month period ended March 31, 2024. The increase is attributable to the inclusion of Electrochem and a 24.0% increase in new product development costs related to continued investment in our product offering as we aggressively pursue both government/defense and commercial opportunities. Selling, general, and administrative expenses were $6,943 for the three-month period ended March 31, 2025, an increase of $1,292 or 22.9% from $5,651 for the first quarter of 2024. The period-over-period increase was primarily attributable to the inclusion of Electrochem, the strengthening of our sales and marketing leadership team to expedite organic growth and further leverage our global brand and resources, and certain one-time, non-recurring expenses which include costs related to our acquisition of Electrochem.</w:t>
      </w:r>
    </w:p>
    <w:p>
      <w:pPr>
        <w:spacing w:after="0" w:line="18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Other Expense. </w:t>
      </w:r>
      <w:r>
        <w:rPr>
          <w:rFonts w:ascii="Times New Roman" w:cs="Times New Roman" w:eastAsia="Times New Roman" w:hAnsi="Times New Roman"/>
          <w:sz w:val="18"/>
          <w:szCs w:val="18"/>
          <w:color w:val="auto"/>
        </w:rPr>
        <w:t>Other expense totaled $953 for the three-month period ended March 31, 2025 compared to $456 for the three-month period ended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2024. Interest and financing expense increased $512, or 98.5%, from $520 for the first quarter of 2024 to $1,032 for the comparable period in 2025 resulting from the financing of the Electrochem acquisition on October 31, 2024. Miscellaneous income amounted to $79 for the first quarter of 2025 compared to $64 for the first quarter of 2024, primarily attributable to interest income recognized in the 2025 period on the Employee Retention Credit under the Coronavirus Aid, Relief and Economic Security Act filed on June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2023 and approved for payment by the Internal Revenue Service on March 31, 2025 and foreign exchange gains and losses due to fluctuations in foreign currency exchange rates.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For the three-month period ended March 31, 2025, Ultralife recognized an income tax provision of $567, comprised of a current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$223 expected to be paid on income primarily in foreign jurisdictions and a deferred tax provision of $344 which primarily represents non-cash charges for U.S. taxes that we expect will be fully offset by net operating loss carryforwards and other tax credits for the foreseeable future. This compares to a provision of $703 comprised of a current provision of $53 and a deferred tax provision of $650 for the three-month period ended March 31, 2024. Our effective tax rate was 23.2% for the first quarter of 2025 as compared to 19.5% for the first quarter of 2024, primarily attributable to the geographic mix of our operating results. See Note 7 to the consolidated financial statements in Item 1 of Part I of this Form 10-Q for additional information regarding our income taxes.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Ultralife Corporation. </w:t>
      </w:r>
      <w:r>
        <w:rPr>
          <w:rFonts w:ascii="Times New Roman" w:cs="Times New Roman" w:eastAsia="Times New Roman" w:hAnsi="Times New Roman"/>
          <w:sz w:val="18"/>
          <w:szCs w:val="18"/>
          <w:color w:val="auto"/>
        </w:rPr>
        <w:t>Net income attributable to Ultralife Corporation was $1,865, or $0.11 per share – basic and diluted,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three-month period ended March 31, 2025, compared to $2,891, or $0.18 per share – basic and diluted, for the three-month period ended March 31, 2024. Adjusted EPS was $0.13 per share on a diluted basis for the first quarter of 2025, compared to an adjusted $0.21 per share for the 2024 period. Adjusted EPS for 2025 excludes the provision for deferred income taxes of $344 which represents non-cash charges primarily for U.S. income taxes that we expect will be fully offset by net operating loss carryforwards and other tax credits for the foreseeable future. Adjusted EPS for 2024 excludes the deferred income taxes of $650 which represents non-cash charges primarily for U.S. net operating losses and temporary tax differences which are expected to offset future U.S. taxable income. See section “Adjusted Earnings Per Share” on page 22 for a reconciliation of adjusted EPS to EPS. Weighted average shares outstanding used to compute diluted earnings per share increased from 16,518,389 for the first quarter of 2024 to 16,679,758 for the first quarter of 2025. The increase is attributable to the exercise of stock options and the vesting of restricted stock since the first quarter of 2024.</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income attributable to Ultralife Corporation before interest expense, provision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attributable to Ultralife Corporation, the most comparable financial measure under GAAP.</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income (loss). We believe that adjusted EBITDA permits a comparative assessment of our operating performance, relative to our performance based on our GAAP results, while eliminating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Corporation or other consolidated statement of operations data prepared in accordance with GAAP. Some of these limitations include, but are not limited to, the following:</w:t>
      </w:r>
    </w:p>
    <w:p>
      <w:pPr>
        <w:spacing w:after="0" w:line="181" w:lineRule="exact"/>
        <w:rPr>
          <w:sz w:val="20"/>
          <w:szCs w:val="20"/>
          <w:color w:val="auto"/>
        </w:rPr>
      </w:pPr>
    </w:p>
    <w:p>
      <w:pPr>
        <w:ind w:left="1100" w:right="40" w:hanging="327"/>
        <w:spacing w:after="0" w:line="259"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1" w:lineRule="exact"/>
        <w:rPr>
          <w:rFonts w:ascii="Times New Roman" w:cs="Times New Roman" w:eastAsia="Times New Roman" w:hAnsi="Times New Roman"/>
          <w:sz w:val="18"/>
          <w:szCs w:val="18"/>
          <w:color w:val="auto"/>
        </w:rPr>
      </w:pPr>
    </w:p>
    <w:p>
      <w:pPr>
        <w:ind w:left="1100" w:right="240" w:hanging="327"/>
        <w:spacing w:after="0" w:line="280"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1100" w:right="240" w:hanging="327"/>
        <w:spacing w:after="0" w:line="264"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6" w:lineRule="exact"/>
        <w:rPr>
          <w:rFonts w:ascii="Times New Roman" w:cs="Times New Roman" w:eastAsia="Times New Roman" w:hAnsi="Times New Roman"/>
          <w:sz w:val="18"/>
          <w:szCs w:val="18"/>
          <w:color w:val="auto"/>
        </w:rPr>
      </w:pPr>
    </w:p>
    <w:p>
      <w:pPr>
        <w:ind w:left="1100" w:hanging="327"/>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loss attributable to Ultralife Corporation.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is calculated as follows for the periods presented: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Three-month period</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540"/>
              <w:spacing w:after="0" w:line="200"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7"/>
                <w:szCs w:val="17"/>
                <w:color w:val="auto"/>
              </w:rPr>
            </w:pPr>
          </w:p>
        </w:tc>
        <w:tc>
          <w:tcPr>
            <w:tcW w:w="1260" w:type="dxa"/>
            <w:vAlign w:val="bottom"/>
          </w:tcPr>
          <w:p>
            <w:pPr>
              <w:jc w:val="right"/>
              <w:ind w:right="270"/>
              <w:spacing w:after="0" w:line="200"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6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2,891</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Severance costs for plant closure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other non-recurring costs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purchase accounting adjustments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6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Adjusted Earnings Per Share</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evaluating our business, we consider and use adjusted earnings per share (“EPS”), a non-GAAP financial measure, as a supplemental measure of our business performance. We define adjusted EPS as net income (loss) attributable to Ultralife Corporation excluding the provision (benefit) for deferred income taxes divided by our weighted average shares outstanding on both a basic and diluted basis. We believe that this information is useful in providing period-to-period comparisons of our results by reflecting the portion of our tax provision that will be predominantly offset by our U.S. net operating loss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(loss) attributable to Ultralife Corporation.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EPS is calculated as follows for the periods presented: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0"/>
              <w:spacing w:after="0" w:line="186" w:lineRule="exact"/>
              <w:rPr>
                <w:sz w:val="20"/>
                <w:szCs w:val="20"/>
                <w:color w:val="auto"/>
              </w:rPr>
            </w:pPr>
            <w:r>
              <w:rPr>
                <w:rFonts w:ascii="Times New Roman" w:cs="Times New Roman" w:eastAsia="Times New Roman" w:hAnsi="Times New Roman"/>
                <w:sz w:val="18"/>
                <w:szCs w:val="18"/>
                <w:b w:val="1"/>
                <w:bCs w:val="1"/>
                <w:color w:val="auto"/>
                <w:w w:val="96"/>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10"/>
              <w:spacing w:after="0" w:line="186" w:lineRule="exact"/>
              <w:rPr>
                <w:sz w:val="20"/>
                <w:szCs w:val="20"/>
                <w:color w:val="auto"/>
              </w:rPr>
            </w:pPr>
            <w:r>
              <w:rPr>
                <w:rFonts w:ascii="Times New Roman" w:cs="Times New Roman" w:eastAsia="Times New Roman" w:hAnsi="Times New Roman"/>
                <w:sz w:val="18"/>
                <w:szCs w:val="18"/>
                <w:b w:val="1"/>
                <w:bCs w:val="1"/>
                <w:color w:val="auto"/>
                <w:w w:val="96"/>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basic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diluted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basic</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diluted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6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6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income attributable to Ultralife</w:t>
            </w: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Corporation</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16,396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16,518</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cash totaled $8,719, an increase of $1,865 as compared to $6,854 of cash held at December 31, 2024.</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three-month period ended March 31, 2025, cash generated from operations was $3,368, as compared to $81 cash used for the three-month period ended March 31, 2024. For the 2025 period, cash generated from operations was comprised of net income of $1,879, plus non-cash items totaling $1,991 for depreciation, amortization, stock-based compensation, and deferred taxes, less $502 attributable to changes in working capital.</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2025 was $895 for capital expenditures, primarily reflecting investments in equipment for new products transitioning to high-volume manufacturing.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2025 was $687, representing principle payments due on our term loan.</w:t>
      </w:r>
    </w:p>
    <w:p>
      <w:pPr>
        <w:spacing w:after="0" w:line="22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We continue to have significant U.S. net operating loss carryforwards available to utilize as an offset to future taxable income. See Note 7 to the consolidated financial statements in Item 1 of Part 1 of this Form 10-Q for additional information.</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Going forward, we expect positive operating cash flow and the availability of borrowings under our Revolving Credit Facility will be sufficient to meet our general funding requirements for the foreseeable future.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provide flexibility in accessing the capital markets, on March 30, 2021, the Company filed a shelf registration statement on Form S-3 (File No. 333-254846) (the “Prior Registration Statement”) registering securities in an aggregate amount of $100,000,000. None of the $100,000,000 of registered securities were sold under the Prior Registration Statement (the “Unsold Securities”). Under the rules of the Securities and Exchange Commission (the “SEC”) the Prior Registration Statement was set to expire on April 2, 2024. Therefore, on March 29, 2024, the Company filed a new shelf registration statement on Form S-3 (File No. 333-278360) (the “New Registration Statement”) to replace the Prior Registration Statement. The New Registration Statement includes all $100,000,000 of the Unsold Securities registered on the Prior Registration Statement. The SEC declared the New Registration Statement effective May 7, 2024. Pursuant to Rule 415(a)(6) under Securities Act of 1933, as amended (the “Securities Act”), the offering of the Unsold Securities under the Prior Registration Statement was deemed terminated as of the date of effectiveness of the New Registration Statement. Upon the filing of an appropriate prospectus supplement or supplements under the New Registration Statement, we may offer and sell our securities from time to time in one or more offerings, at our discretion. We intend to use the net proceeds resulting from any sales of these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 differentiated products for attractive growth markets.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As of March 31, 2025, the Company had $54,313 outstanding on the Term Loan and no amounts outstanding on the Revolving Credit Facility. The Company is in full compliance with its debt covenants under the Credit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have made commitments to purchase approximately $828 of production machinery and equipment.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to the consolidated financial statements in our 2024 Annual Report on Form 10-K should be reviewed for a greater understanding of how our financial performance is recorded and reported.</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During the first three months of 2025, there were no significant changes in the manner in which our significant accounting policies were applied or in which related assumptions and estimates were developed.</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President and Chief Executive Officer (principal executive officer) and our Chief Financial Officer and Treasurer (principal financial officer), has evaluated the effectiveness of our disclosure controls and procedures (as defined in Rule 13a-15(e) of the Exchange Act) as of the end of the period covered by this quarterly report. Management has concluded that our disclosure control and procedures were not effective as of March 31, 2025 because of the existing material weakness in our internal control over financial reporting as previously reported in our Annual Report on Form 10-K for the year ended December 31, 2024.</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Notwithstanding the material weakness identified, management believes that the Consolidated Financial Statements included in this Quarterly Report on Form 10-Q are fairly stated in all material respects in accordance with U.S. generally accepted accounting principles for each of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Remediation Efforts to Address Material Weaknesses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2024, using the criteria set forth by the Committee of Sponsoring Organizations of the Treadway Commission (“COSO”) in Internal Control - Integrated Framework (2013). Based on our evaluation, management concluded that there is a material weakness in our internal control over financial reporting attributable to our need for additional accounting personnel to provide a full complement of accounting and reporting expertise commensurate with the growth of the Company both organic and through acquisitions. As a result of the material weakness identified, management concluded that our internal control over financial reporting was not effective as of December 31, 2024. The material weakness was not yet fully remediated as of March 31, 2025.</w:t>
      </w:r>
    </w:p>
    <w:p>
      <w:pPr>
        <w:spacing w:after="0" w:line="18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has already taken steps to remediate our identified material weakness and will continue to take further steps until the remediation is complete. The Company is currently seeking to hire additional personnel including certified public accountants to augment the experience and expertise of our accounting team and provide for a full complement of resources commensurate with the Company’s continued growth. During the fourth quarter of 2024, we hired a highly experienced individual as VP of Financial Growth, Transition &amp; Efficiency and in the first quarter of 2025 we hired a Controller for Electrochem. Until all of the necessary resources are in place, expected to occur in 2025, the current members of our accounting team will continue their best efforts to provide additional oversight. We believe that with this interim additional oversight, coupled with the additional personnel we are in the process of recruiting and hiring, will allow us to execute business process controls more quickly and ensure a greater level of monitoring whether controls are present and functioning.</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Remediation will be deemed complete once our corrective actions are fully implemented and further evaluation is performed, including testing, to conclude that our internal control over financial reporting is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6" w:name="page27"/>
    <w:bookmarkEnd w:id="26"/>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1"/>
        </w:trPr>
        <w:tc>
          <w:tcPr>
            <w:tcW w:w="66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3"/>
        </w:trPr>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320" w:type="dxa"/>
            <w:vAlign w:val="bottom"/>
          </w:tcPr>
          <w:p>
            <w:pPr>
              <w:spacing w:after="0"/>
              <w:rPr>
                <w:sz w:val="20"/>
                <w:szCs w:val="20"/>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Incorporated by Reference from</w:t>
            </w:r>
          </w:p>
        </w:tc>
      </w:tr>
      <w:tr>
        <w:trPr>
          <w:trHeight w:val="168"/>
        </w:trPr>
        <w:tc>
          <w:tcPr>
            <w:tcW w:w="660" w:type="dxa"/>
            <w:vAlign w:val="bottom"/>
          </w:tcPr>
          <w:p>
            <w:pPr>
              <w:spacing w:after="0"/>
              <w:rPr>
                <w:sz w:val="14"/>
                <w:szCs w:val="14"/>
                <w:color w:val="auto"/>
              </w:rPr>
            </w:pPr>
          </w:p>
        </w:tc>
        <w:tc>
          <w:tcPr>
            <w:tcW w:w="12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14"/>
                <w:szCs w:val="14"/>
                <w:color w:val="auto"/>
              </w:rPr>
            </w:pPr>
          </w:p>
        </w:tc>
        <w:tc>
          <w:tcPr>
            <w:tcW w:w="3340" w:type="dxa"/>
            <w:vAlign w:val="bottom"/>
            <w:tcBorders>
              <w:top w:val="single" w:sz="8" w:color="auto"/>
              <w:bottom w:val="single" w:sz="8" w:color="0000EE"/>
            </w:tcBorders>
            <w:gridSpan w:val="3"/>
          </w:tcPr>
          <w:p>
            <w:pPr>
              <w:spacing w:after="0" w:line="168" w:lineRule="exact"/>
              <w:rPr>
                <w:sz w:val="20"/>
                <w:szCs w:val="20"/>
                <w:color w:val="auto"/>
              </w:rPr>
            </w:pPr>
            <w:r>
              <w:rPr>
                <w:rFonts w:ascii="Times New Roman" w:cs="Times New Roman" w:eastAsia="Times New Roman" w:hAnsi="Times New Roman"/>
                <w:sz w:val="18"/>
                <w:szCs w:val="18"/>
                <w:color w:val="0000EE"/>
                <w:w w:val="98"/>
              </w:rPr>
              <w:t>Rule 13a-14(a) / 15d-14(a) CEO Certifications</w:t>
            </w:r>
          </w:p>
        </w:tc>
        <w:tc>
          <w:tcPr>
            <w:tcW w:w="20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6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8"/>
                <w:szCs w:val="18"/>
                <w:color w:val="auto"/>
              </w:rPr>
              <w:t>Filed herewith</w:t>
            </w:r>
          </w:p>
        </w:tc>
      </w:tr>
      <w:tr>
        <w:trPr>
          <w:trHeight w:val="195"/>
        </w:trPr>
        <w:tc>
          <w:tcPr>
            <w:tcW w:w="1860" w:type="dxa"/>
            <w:vAlign w:val="bottom"/>
            <w:gridSpan w:val="2"/>
          </w:tcPr>
          <w:p>
            <w:pPr>
              <w:ind w:left="660"/>
              <w:spacing w:after="0" w:line="195" w:lineRule="exact"/>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16"/>
                <w:szCs w:val="16"/>
                <w:color w:val="auto"/>
              </w:rPr>
            </w:pPr>
          </w:p>
        </w:tc>
        <w:tc>
          <w:tcPr>
            <w:tcW w:w="536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rPr>
              <w:t>Rule 13a-14(a) / 15d-14(a) CFO Certifications</w:t>
            </w:r>
          </w:p>
        </w:tc>
        <w:tc>
          <w:tcPr>
            <w:tcW w:w="3780" w:type="dxa"/>
            <w:vAlign w:val="bottom"/>
            <w:gridSpan w:val="2"/>
          </w:tcPr>
          <w:p>
            <w:pPr>
              <w:ind w:left="320"/>
              <w:spacing w:after="0" w:line="195" w:lineRule="exact"/>
              <w:rPr>
                <w:sz w:val="20"/>
                <w:szCs w:val="20"/>
                <w:color w:val="auto"/>
              </w:rPr>
            </w:pPr>
            <w:r>
              <w:rPr>
                <w:rFonts w:ascii="Times New Roman" w:cs="Times New Roman" w:eastAsia="Times New Roman" w:hAnsi="Times New Roman"/>
                <w:sz w:val="18"/>
                <w:szCs w:val="18"/>
                <w:color w:val="auto"/>
              </w:rPr>
              <w:t>Filed herewith</w:t>
            </w:r>
          </w:p>
        </w:tc>
      </w:tr>
      <w:tr>
        <w:trPr>
          <w:trHeight w:val="195"/>
        </w:trPr>
        <w:tc>
          <w:tcPr>
            <w:tcW w:w="1860" w:type="dxa"/>
            <w:vAlign w:val="bottom"/>
            <w:gridSpan w:val="2"/>
          </w:tcPr>
          <w:p>
            <w:pPr>
              <w:ind w:left="660"/>
              <w:spacing w:after="0" w:line="195" w:lineRule="exact"/>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6"/>
                <w:szCs w:val="16"/>
                <w:color w:val="auto"/>
              </w:rPr>
            </w:pPr>
          </w:p>
        </w:tc>
        <w:tc>
          <w:tcPr>
            <w:tcW w:w="1960" w:type="dxa"/>
            <w:vAlign w:val="bottom"/>
            <w:tcBorders>
              <w:top w:val="single" w:sz="8" w:color="0000EE"/>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0000EE"/>
                <w:w w:val="98"/>
              </w:rPr>
              <w:t>Section 1350 Certifications</w:t>
            </w:r>
          </w:p>
        </w:tc>
        <w:tc>
          <w:tcPr>
            <w:tcW w:w="1360" w:type="dxa"/>
            <w:vAlign w:val="bottom"/>
            <w:tcBorders>
              <w:top w:val="single" w:sz="8" w:color="0000EE"/>
            </w:tcBorders>
          </w:tcPr>
          <w:p>
            <w:pPr>
              <w:spacing w:after="0"/>
              <w:rPr>
                <w:sz w:val="16"/>
                <w:szCs w:val="16"/>
                <w:color w:val="auto"/>
              </w:rPr>
            </w:pPr>
          </w:p>
        </w:tc>
        <w:tc>
          <w:tcPr>
            <w:tcW w:w="2040" w:type="dxa"/>
            <w:vAlign w:val="bottom"/>
            <w:gridSpan w:val="2"/>
          </w:tcPr>
          <w:p>
            <w:pPr>
              <w:spacing w:after="0"/>
              <w:rPr>
                <w:sz w:val="16"/>
                <w:szCs w:val="16"/>
                <w:color w:val="auto"/>
              </w:rPr>
            </w:pPr>
          </w:p>
        </w:tc>
        <w:tc>
          <w:tcPr>
            <w:tcW w:w="3780" w:type="dxa"/>
            <w:vAlign w:val="bottom"/>
            <w:gridSpan w:val="2"/>
          </w:tcPr>
          <w:p>
            <w:pPr>
              <w:ind w:left="320"/>
              <w:spacing w:after="0" w:line="195"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17"/>
        </w:trPr>
        <w:tc>
          <w:tcPr>
            <w:tcW w:w="6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2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5"/>
        </w:trPr>
        <w:tc>
          <w:tcPr>
            <w:tcW w:w="6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2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5"/>
        </w:trPr>
        <w:tc>
          <w:tcPr>
            <w:tcW w:w="6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2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5"/>
        </w:trPr>
        <w:tc>
          <w:tcPr>
            <w:tcW w:w="6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2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5"/>
        </w:trPr>
        <w:tc>
          <w:tcPr>
            <w:tcW w:w="6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2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5"/>
        </w:trPr>
        <w:tc>
          <w:tcPr>
            <w:tcW w:w="6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2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5"/>
        </w:trPr>
        <w:tc>
          <w:tcPr>
            <w:tcW w:w="1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(formatted as Inline XBRL and contained</w:t>
            </w: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320" w:type="dxa"/>
            <w:vAlign w:val="bottom"/>
          </w:tcPr>
          <w:p>
            <w:pPr>
              <w:spacing w:after="0"/>
              <w:rPr>
                <w:sz w:val="20"/>
                <w:szCs w:val="20"/>
                <w:color w:val="auto"/>
              </w:rPr>
            </w:pPr>
          </w:p>
        </w:tc>
        <w:tc>
          <w:tcPr>
            <w:tcW w:w="3460" w:type="dxa"/>
            <w:vAlign w:val="bottom"/>
          </w:tcPr>
          <w:p>
            <w:pPr>
              <w:spacing w:after="0"/>
              <w:rPr>
                <w:sz w:val="20"/>
                <w:szCs w:val="20"/>
                <w:color w:val="auto"/>
              </w:rPr>
            </w:pPr>
          </w:p>
        </w:tc>
      </w:tr>
    </w:tbl>
    <w:p>
      <w:pPr>
        <w:spacing w:after="0" w:line="196" w:lineRule="exact"/>
        <w:rPr>
          <w:sz w:val="20"/>
          <w:szCs w:val="20"/>
          <w:color w:val="auto"/>
        </w:rPr>
      </w:pPr>
    </w:p>
    <w:p>
      <w:pPr>
        <w:jc w:val="both"/>
        <w:ind w:left="660" w:right="80"/>
        <w:spacing w:after="0" w:line="256"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March 31, 2025 and December 31, 2024, (ii) Consolidated Statements of Income and Comprehensive Income for the three months ended March 31, 2025 and 2024, (iii) Consolidated Statements of Cash Flows for the three months ended March 31, 2025 and 2024, (iv) Consolidated Statements of Changes in Stockholders’ Equity for the three months ended March 31, 2025 and 2024, and (v) Notes to Consolidated Financial Statements.</w:t>
      </w:r>
    </w:p>
    <w:p>
      <w:pPr>
        <w:spacing w:after="0" w:line="1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20"/>
          </w:cols>
          <w:pgMar w:left="320" w:top="816" w:right="25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ULTRALIFE CORPORATION</w:t>
            </w:r>
          </w:p>
        </w:tc>
        <w:tc>
          <w:tcPr>
            <w:tcW w:w="1200" w:type="dxa"/>
            <w:vAlign w:val="bottom"/>
          </w:tcPr>
          <w:p>
            <w:pPr>
              <w:spacing w:after="0"/>
              <w:rPr>
                <w:sz w:val="17"/>
                <w:szCs w:val="17"/>
                <w:color w:val="auto"/>
              </w:rPr>
            </w:pPr>
          </w:p>
        </w:tc>
      </w:tr>
      <w:tr>
        <w:trPr>
          <w:trHeight w:val="236"/>
        </w:trPr>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2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389"/>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17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20"/>
        </w:trPr>
        <w:tc>
          <w:tcPr>
            <w:tcW w:w="4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0"/>
        </w:trPr>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20" w:type="dxa"/>
            <w:vAlign w:val="bottom"/>
            <w:gridSpan w:val="3"/>
          </w:tcPr>
          <w:p>
            <w:pPr>
              <w:ind w:left="320"/>
              <w:spacing w:after="0" w:line="190" w:lineRule="exact"/>
              <w:rPr>
                <w:sz w:val="20"/>
                <w:szCs w:val="20"/>
                <w:color w:val="auto"/>
              </w:rPr>
            </w:pPr>
            <w:r>
              <w:rPr>
                <w:rFonts w:ascii="Times New Roman" w:cs="Times New Roman" w:eastAsia="Times New Roman" w:hAnsi="Times New Roman"/>
                <w:sz w:val="18"/>
                <w:szCs w:val="18"/>
                <w:color w:val="auto"/>
              </w:rPr>
              <w:t>Michael E. Manna</w:t>
            </w:r>
          </w:p>
        </w:tc>
      </w:tr>
      <w:tr>
        <w:trPr>
          <w:trHeight w:val="215"/>
        </w:trPr>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89"/>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17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20"/>
        </w:trPr>
        <w:tc>
          <w:tcPr>
            <w:tcW w:w="4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0"/>
        </w:trPr>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20" w:type="dxa"/>
            <w:vAlign w:val="bottom"/>
            <w:gridSpan w:val="3"/>
          </w:tcPr>
          <w:p>
            <w:pPr>
              <w:ind w:left="320"/>
              <w:spacing w:after="0" w:line="190" w:lineRule="exact"/>
              <w:rPr>
                <w:sz w:val="20"/>
                <w:szCs w:val="20"/>
                <w:color w:val="auto"/>
              </w:rPr>
            </w:pPr>
            <w:r>
              <w:rPr>
                <w:rFonts w:ascii="Times New Roman" w:cs="Times New Roman" w:eastAsia="Times New Roman" w:hAnsi="Times New Roman"/>
                <w:sz w:val="18"/>
                <w:szCs w:val="18"/>
                <w:color w:val="auto"/>
              </w:rPr>
              <w:t>Philip A. Fain</w:t>
            </w:r>
          </w:p>
        </w:tc>
      </w:tr>
      <w:tr>
        <w:trPr>
          <w:trHeight w:val="215"/>
        </w:trPr>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5"/>
        </w:trPr>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0"/>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26</w:t>
            </w:r>
          </w:p>
        </w:tc>
        <w:tc>
          <w:tcPr>
            <w:tcW w:w="24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160"/>
          </w:cols>
          <w:pgMar w:left="320" w:top="574" w:right="41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Manna, certify that:</w:t>
      </w:r>
    </w:p>
    <w:p>
      <w:pPr>
        <w:spacing w:after="0" w:line="223" w:lineRule="exact"/>
        <w:rPr>
          <w:sz w:val="20"/>
          <w:szCs w:val="20"/>
          <w:color w:val="auto"/>
        </w:rPr>
      </w:pPr>
    </w:p>
    <w:p>
      <w:pPr>
        <w:ind w:left="660" w:hanging="65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2" w:lineRule="exact"/>
        <w:rPr>
          <w:rFonts w:ascii="Times New Roman" w:cs="Times New Roman" w:eastAsia="Times New Roman" w:hAnsi="Times New Roman"/>
          <w:sz w:val="18"/>
          <w:szCs w:val="18"/>
          <w:color w:val="auto"/>
        </w:rPr>
      </w:pPr>
    </w:p>
    <w:p>
      <w:pPr>
        <w:jc w:val="both"/>
        <w:ind w:left="660" w:hanging="653"/>
        <w:spacing w:after="0" w:line="26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3"/>
        <w:spacing w:after="0" w:line="28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3"/>
        <w:spacing w:after="0" w:line="26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0" w:hanging="653"/>
        <w:spacing w:after="0" w:line="28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Date: May 12, 2025</w:t>
            </w:r>
          </w:p>
        </w:tc>
        <w:tc>
          <w:tcPr>
            <w:tcW w:w="498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17"/>
        </w:trPr>
        <w:tc>
          <w:tcPr>
            <w:tcW w:w="4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Michael E. Manna</w:t>
            </w:r>
          </w:p>
        </w:tc>
        <w:tc>
          <w:tcPr>
            <w:tcW w:w="52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3" w:lineRule="exact"/>
        <w:rPr>
          <w:sz w:val="20"/>
          <w:szCs w:val="20"/>
          <w:color w:val="auto"/>
        </w:rPr>
      </w:pPr>
    </w:p>
    <w:p>
      <w:pPr>
        <w:ind w:left="660" w:hanging="65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22" w:lineRule="exact"/>
        <w:rPr>
          <w:rFonts w:ascii="Times New Roman" w:cs="Times New Roman" w:eastAsia="Times New Roman" w:hAnsi="Times New Roman"/>
          <w:sz w:val="18"/>
          <w:szCs w:val="18"/>
          <w:color w:val="auto"/>
        </w:rPr>
      </w:pPr>
    </w:p>
    <w:p>
      <w:pPr>
        <w:jc w:val="both"/>
        <w:ind w:left="660" w:hanging="653"/>
        <w:spacing w:after="0" w:line="26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3"/>
        <w:spacing w:after="0" w:line="28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3"/>
        <w:spacing w:after="0" w:line="26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5"/>
        <w:spacing w:after="0" w:line="264"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0" w:hanging="653"/>
        <w:spacing w:after="0" w:line="28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Date: May 12, 2025</w:t>
            </w:r>
          </w:p>
        </w:tc>
        <w:tc>
          <w:tcPr>
            <w:tcW w:w="494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7"/>
        </w:trPr>
        <w:tc>
          <w:tcPr>
            <w:tcW w:w="4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20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Philip A. Fain</w:t>
            </w:r>
          </w:p>
        </w:tc>
        <w:tc>
          <w:tcPr>
            <w:tcW w:w="80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Chief Financial Officer and Treasurer</w:t>
            </w:r>
          </w:p>
        </w:tc>
      </w:tr>
    </w:tbl>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Quarterly Report on Form 10-Q for the quarter ended March 31, 2025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46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17"/>
        </w:trPr>
        <w:tc>
          <w:tcPr>
            <w:tcW w:w="4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Michael E. Manna</w:t>
            </w:r>
          </w:p>
        </w:tc>
        <w:tc>
          <w:tcPr>
            <w:tcW w:w="5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389"/>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46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17"/>
        </w:trPr>
        <w:tc>
          <w:tcPr>
            <w:tcW w:w="4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Philip A. Fain</w:t>
            </w:r>
          </w:p>
        </w:tc>
        <w:tc>
          <w:tcPr>
            <w:tcW w:w="840" w:type="dxa"/>
            <w:vAlign w:val="bottom"/>
            <w:gridSpan w:val="2"/>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7"/>
    </w:lvl>
  </w:abstractNum>
  <w:abstractNum w:abstractNumId="8">
    <w:nsid w:val="1190CDE7"/>
    <w:multiLevelType w:val="hybridMultilevel"/>
    <w:lvl w:ilvl="0">
      <w:lvlJc w:val="left"/>
      <w:lvlText w:val="%1."/>
      <w:numFmt w:val="decimal"/>
      <w:start w:val="8"/>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2025-05-12T15:44:41Z</dcterms:created>
  <dcterms:modified xsi:type="dcterms:W3CDTF">2025-05-12T15:44:41Z</dcterms:modified>
</cp:coreProperties>
</file>