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05" w:lineRule="exact"/>
        <w:rPr>
          <w:sz w:val="24"/>
          <w:szCs w:val="24"/>
          <w:color w:val="auto"/>
        </w:rPr>
      </w:pPr>
    </w:p>
    <w:p>
      <w:pPr>
        <w:ind w:left="3340" w:right="1980" w:hanging="3332"/>
        <w:spacing w:after="0" w:line="282" w:lineRule="auto"/>
        <w:tabs>
          <w:tab w:leader="none" w:pos="57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ULTRALIFE CORPORATION</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20"/>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9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12"/>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3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20"/>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(315) 332-7100</w:t>
            </w:r>
          </w:p>
        </w:tc>
      </w:tr>
      <w:tr>
        <w:trPr>
          <w:trHeight w:val="234"/>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16"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1116" w:right="339" w:bottom="1440" w:gutter="0" w:footer="0" w:header="0"/>
          <w:type w:val="continuous"/>
        </w:sectPr>
      </w:pPr>
    </w:p>
    <w:p>
      <w:pPr>
        <w:spacing w:after="0" w:line="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6"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9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16"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16" w:right="339" w:bottom="1440" w:gutter="0" w:footer="0" w:header="0"/>
          <w:type w:val="continuous"/>
        </w:sectPr>
      </w:pPr>
    </w:p>
    <w:p>
      <w:pPr>
        <w:spacing w:after="0" w:line="37" w:lineRule="exact"/>
        <w:rPr>
          <w:sz w:val="24"/>
          <w:szCs w:val="24"/>
          <w:color w:val="auto"/>
        </w:rPr>
      </w:pPr>
    </w:p>
    <w:p>
      <w:pPr>
        <w:ind w:left="5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116" w:right="339" w:bottom="1440" w:gutter="0" w:footer="0" w:header="0"/>
          <w:type w:val="continuous"/>
        </w:sectPr>
      </w:pPr>
    </w:p>
    <w:p>
      <w:pPr>
        <w:spacing w:after="0" w:line="26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October 24, 2022, the registrant had 16,133,618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90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90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8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Balance Sheets as of September 30, 2022 and December 31, 2021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0" w:type="dxa"/>
            <w:vAlign w:val="bottom"/>
            <w:shd w:val="clear" w:color="auto" w:fill="CCEEFF"/>
          </w:tcPr>
          <w:p>
            <w:pPr>
              <w:spacing w:after="0"/>
              <w:rPr>
                <w:sz w:val="17"/>
                <w:szCs w:val="17"/>
                <w:color w:val="auto"/>
              </w:rPr>
            </w:pPr>
          </w:p>
        </w:tc>
        <w:tc>
          <w:tcPr>
            <w:tcW w:w="99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Statements of (Loss) Income and Comprehensive (Loss) Income for the Three and Nine-Month Periods Ended September</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20" w:type="dxa"/>
            <w:vAlign w:val="bottom"/>
            <w:shd w:val="clear" w:color="auto" w:fill="CCEEFF"/>
          </w:tcPr>
          <w:p>
            <w:pPr>
              <w:spacing w:after="0"/>
              <w:rPr>
                <w:sz w:val="20"/>
                <w:szCs w:val="20"/>
                <w:color w:val="auto"/>
              </w:rPr>
            </w:pP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 2022 and September 30, 2021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Statements of Cash Flows for the Nine-Month Periods Ended September 30, 2022 and September 30, 2021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0" w:type="dxa"/>
            <w:vAlign w:val="bottom"/>
            <w:shd w:val="clear" w:color="auto" w:fill="CCEEFF"/>
          </w:tcPr>
          <w:p>
            <w:pPr>
              <w:spacing w:after="0"/>
              <w:rPr>
                <w:sz w:val="17"/>
                <w:szCs w:val="17"/>
                <w:color w:val="auto"/>
              </w:rPr>
            </w:pPr>
          </w:p>
        </w:tc>
        <w:tc>
          <w:tcPr>
            <w:tcW w:w="99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Nine-Month Periods Ended September 30, 2022 and</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20" w:type="dxa"/>
            <w:vAlign w:val="bottom"/>
            <w:shd w:val="clear" w:color="auto" w:fill="CCEEFF"/>
          </w:tcPr>
          <w:p>
            <w:pPr>
              <w:spacing w:after="0"/>
              <w:rPr>
                <w:sz w:val="20"/>
                <w:szCs w:val="20"/>
                <w:color w:val="auto"/>
              </w:rPr>
            </w:pP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30, 2021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Signatures</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18"/>
                <w:szCs w:val="18"/>
                <w:color w:val="auto"/>
              </w:rPr>
            </w:pPr>
          </w:p>
        </w:tc>
      </w:tr>
      <w:tr>
        <w:trPr>
          <w:trHeight w:val="790"/>
        </w:trPr>
        <w:tc>
          <w:tcPr>
            <w:tcW w:w="82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$305 and $346, respectively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78,937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66,524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167,940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159,538</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20,568,210 shares at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2022 and 20,522,427 shares at December 31, 2021; outstanding – 16,133,618 shares at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2022 and 16,089,832 shares at December 31, 2021</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(47,832)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 at cost; 4,434,592 shares at September 30, 2022 and 4,432,595 shares at December 31,</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2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117,743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INCOME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95,733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26,519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55,151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Ultralife Corporation</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Ultralife Corporation</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stockholders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stockholders </w:t>
            </w: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common shares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16,133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8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(1,377)</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8,462</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term loan facility</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20" w:type="dxa"/>
            <w:vAlign w:val="bottom"/>
            <w:gridSpan w:val="5"/>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80" w:type="dxa"/>
            <w:vAlign w:val="bottom"/>
          </w:tcPr>
          <w:p>
            <w:pPr>
              <w:spacing w:after="0"/>
              <w:rPr>
                <w:sz w:val="13"/>
                <w:szCs w:val="13"/>
                <w:color w:val="auto"/>
              </w:rPr>
            </w:pPr>
          </w:p>
        </w:tc>
        <w:tc>
          <w:tcPr>
            <w:tcW w:w="162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in Excess</w:t>
            </w:r>
          </w:p>
        </w:tc>
        <w:tc>
          <w:tcPr>
            <w:tcW w:w="180" w:type="dxa"/>
            <w:vAlign w:val="bottom"/>
          </w:tcPr>
          <w:p>
            <w:pPr>
              <w:spacing w:after="0"/>
              <w:rPr>
                <w:sz w:val="13"/>
                <w:szCs w:val="13"/>
                <w:color w:val="auto"/>
              </w:rPr>
            </w:pPr>
          </w:p>
        </w:tc>
        <w:tc>
          <w:tcPr>
            <w:tcW w:w="9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8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of Par</w:t>
            </w: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80" w:type="dxa"/>
            <w:vAlign w:val="bottom"/>
            <w:gridSpan w:val="3"/>
          </w:tcPr>
          <w:p>
            <w:pPr>
              <w:jc w:val="right"/>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92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6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2020</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20,373,519</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185,464</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(47,598)</w:t>
            </w: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(21,321)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116,923</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127,324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-restricted stock</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2021</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20,513,344</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2,051</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186,360</w:t>
            </w:r>
          </w:p>
        </w:tc>
        <w:tc>
          <w:tcPr>
            <w:tcW w:w="20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(1,819)</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(46,701)</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(21,469</w:t>
            </w:r>
          </w:p>
        </w:tc>
        <w:tc>
          <w:tcPr>
            <w:tcW w:w="120" w:type="dxa"/>
            <w:vAlign w:val="bottom"/>
            <w:tcBorders>
              <w:top w:val="single" w:sz="8" w:color="CCEEFF"/>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118,546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2021</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20,522,427</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2,052</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186,518</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(1,653)</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(47,832)</w:t>
            </w: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(21,469)</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117,743</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39,119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-restricted stock</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(3,189)</w:t>
            </w:r>
          </w:p>
        </w:tc>
        <w:tc>
          <w:tcPr>
            <w:tcW w:w="0" w:type="dxa"/>
            <w:vAlign w:val="bottom"/>
          </w:tcPr>
          <w:p>
            <w:pPr>
              <w:spacing w:after="0"/>
              <w:rPr>
                <w:sz w:val="1"/>
                <w:szCs w:val="1"/>
                <w:color w:val="auto"/>
              </w:rPr>
            </w:pPr>
          </w:p>
        </w:tc>
      </w:tr>
      <w:tr>
        <w:trPr>
          <w:trHeight w:val="182"/>
        </w:trPr>
        <w:tc>
          <w:tcPr>
            <w:tcW w:w="37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2022</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20,568,210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2,057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187,181</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(4,842)</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(47,727)</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(21,480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115,316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June 30, 2021</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20,474,676</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186,138</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(46,116)</w:t>
            </w: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(21,388)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119,237</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38,668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-restricted stock</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2021</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20,513,344</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2,051</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186,360</w:t>
            </w:r>
          </w:p>
        </w:tc>
        <w:tc>
          <w:tcPr>
            <w:tcW w:w="20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(1,819)</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(46,701)</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(21,469</w:t>
            </w:r>
          </w:p>
        </w:tc>
        <w:tc>
          <w:tcPr>
            <w:tcW w:w="120" w:type="dxa"/>
            <w:vAlign w:val="bottom"/>
            <w:tcBorders>
              <w:top w:val="single" w:sz="8" w:color="CCEEFF"/>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118,546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June 30, 2022</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20,567,460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2,057</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186,999</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(3,151)</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(47,488)</w:t>
            </w: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(21,480)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117,067</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-restricted stock</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0" w:type="dxa"/>
            <w:vAlign w:val="bottom"/>
          </w:tcPr>
          <w:p>
            <w:pPr>
              <w:spacing w:after="0"/>
              <w:rPr>
                <w:sz w:val="1"/>
                <w:szCs w:val="1"/>
                <w:color w:val="auto"/>
              </w:rPr>
            </w:pPr>
          </w:p>
        </w:tc>
      </w:tr>
      <w:tr>
        <w:trPr>
          <w:trHeight w:val="182"/>
        </w:trPr>
        <w:tc>
          <w:tcPr>
            <w:tcW w:w="37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2022</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20,568,210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2,057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187,181</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(4,842)</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(47,727)</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(21,480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115,316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2021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of our accounting policies and make modifications as necessary to align with new accounting standards and changing business conditions. Accordingly, the accounting policies below have been updated during the current year. Reference should be made to Note 1 to the consolidated financial statements in our 2021 Annual Report on Form 10-K for all other of the Company’s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products.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customer contracts with an original expected duration of less than one year, we apply the practical expedient with respect to disclosure of the deferral and future expected timing of revenue recognition for transaction price allocated to remaining performance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offer standard warranties against product defects.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13, 2021, the Company acquired all the outstanding shares of Excell (as defined below) for an aggregate net purchase price of $23,519 in cash.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2021, 1336889 B.C. Unlimited Liability Company, a British Columbia unlimited liability company and wholly-owned subsidiary of Ultralife Canada Holding Corp., a Delaware corporation (“UCHC”) and wholly-owned subsidiary of Ultralife Excell Holding Corp., a Delaware corporation (“UEHC”) and wholly-owned subsidiary of Ultralife Corporation, completed the acquisition of all issued and outstanding shares of Excell Battery Canada Inc., a British Columbia corporation (“Excell Canada”) (the “Excell Canada Acquisition”), and, concurrently, 1336902 B.C. Unlimited Liability Company, a British Columbia unlimited liability company and wholly-owned subsidiary of UCHC, completed the acquisition of all issued and outstanding shares of 656700 B.C. LTD, a British Columbia corporation and sole owner of all issued and outstanding shares of Excell Battery Corporation USA, a Texas corporation (“Excell USA”, and together with Excell Canada, “Excell Battery Group” or “Excell”) (the “Excell USA Acquisition”, and together with the Excell Canada Acquisition, the “Excell Acquisition”).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in Canada with U.S. operations, Excell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The Excell Canada Acquisition was completed pursuant to a Share Purchase Agreement dated December 13, 2021 (the “Excell Canada Acquisition Agreement”) by and among 1336889 B.C. Unlimited Liability Company, Mark Kroeker, Randolph Peters, Brian Larsen, M. &amp; W. Holdings Ltd., Karen Kroeker, Heather Peterson, Michael Kroeker, Nicholas Kroeker, Brentley Peters, Craig Peters, Kurtis Peters, Heather Larsen, Ian Kane, Carol Peters, and 0835205 B.C. LTD (the “Excell Canada Sellers”), Mark Kroeker in his capacity as the Excell Canada Sellers’ Representative, and Excell Canada. The Excell USA Acquisition was completed pursuant to a Share Purchase Agreement dated December 13, 2021 (the “Excell USA Acquisition Agreement”, and together with the Excell Canada Acquisition Agreement, the “Excell Acquisition Agreements”) by and among 1336902 B.C. Unlimited Liability Company, M. &amp; W. Holdings Ltd., Ian Kane, Sanford Capital Ltd., Arcee Enterprises Inc., and 0835205 B.C. Ltd. (the “Excell USA Sellers”, and together with the Excell Canada Sellers, the “Sellers”), Mark Kroeker in his capacity as the Excell USA Sellers’ Representative, and 656700 B.C. LTD. The Excell Acquisition Agreements contain customary terms and conditions including representations, warranties and indemnification provisions. A portion of the consideration paid to the Sellers is being held in escrow for indemnification purposes for a period of twelve months from the closing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Excell Acquisition was funded by the Company through a combination of cash on hand and borrowings under the Amended Credit Facilities (Note 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Excell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 The purchase price allocation is subject to change should additional information existing as of the acquisition date about the fair value of the assets acquired and liabilities assumed becomes known. The final purchase price allocation may reflect material changes in the valuation of assets acquired and liabilities assumed, including but not limited to intangible assets, fixed assets, deferred taxes, and residual goodwill.</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r>
      <w:tr>
        <w:trPr>
          <w:trHeight w:val="209"/>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allocation was adjusted during the nine-month period ended September 30, 2022 to reflect a change in the estimated fair value of certain other intangible assets acquired. The measurement period adjustment resulted in a $40 increase in other intangible assets acquired, a $10 increase in deferred tax liabilities and a $30 decrease to goodwill. The adjusted purchase price allocation is reflected in the consolidated balance sheet as of September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Excell’s assembled and trained workforce, the incremental value that Excell engineering and technology is expected to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Annual Amortization</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Indefinite</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right-of-use assets and assumed lease liabilities of $960 for Excell’s operating facilities. Right-of-use assets are classified as other noncurrent assets, and current and long-term lease liabilities are classified as accrued expenses and other current liabilities and other noncurrent liabilities, respectively, on the Company’s consolidated balance sheet.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results and cash flows of Excell are reflected in the Company’s consolidated financial statements from the date of acquisition. Excell is included in the Battery &amp; Energy Products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Excell contributed revenue of $6,871 and net income of $398, inclusive of amortization expense of $181 on acquired identifiable intangible assets. For the nine months ended September 30, 2022, Excell contributed revenue of $19,898 and net income of $1,112, inclusive of amortization expense of $545 on acquired identifiable intangible assets and $55 in cost of products sold attributable to the fair market value step-up of acquired inventory sold during the period.</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2021, Ultralife, Southwest Electronic Energy Corporation, a Texas corporation (“SWE”), CLB, INC., a Texas corporation and wholly owned subsidiary of SWE (“CLB”), UEHC, UCHC and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and together with the Second Amendment Agreement, the “Amended Credit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$8,667 outstanding principal on the Term Loan Facility, $2,000 of which is included in current portion of long-term debt on the consolidated balance sheet, and $14,330 outstanding on the Revolving Credit Facility. As of September 30, 2022, total unamortized debt issuance costs of $123,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Revolving Credit Facility is subject to certain borrowing base limits based on trade receivables and 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Amended Credit Facilities are secured by substantially all the assets of the Company and its subsidiaries.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Amended Credit Facilities at the Base Rate or the Overnight LIBOR Rate, as selected by the Company, plus the applicable margin. The Base Rate is the highest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 The Second Amendment Agreement includes standard market provisions permitting the Bank to transition from LIBOR to a SOFR based rate, in its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pay a fee of 0.15% to 0.25%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three-month period ended September 30, 2022, there were no outstanding stock awards included in the calculation of diluted weighted average shares outstanding and no potential common shares included in the calculation of diluted EPS, as no securities were dilutive. There were 1,202,076 outstanding stock options and 5,000 restricted stock awards not included in the calculation of diluted EPS for the three-month period ended September 30, 2022, as the effect would be antidilutive.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comparable three-month period ended September 30, 2021, there were no outstanding stock awards included in the calculation of diluted weighted average shares outstanding and no potential common shares included in the calculation of diluted EPS, as no securities were dilutive. There were 1,064,656 outstanding stock options and 14,164 restricted stock awards not included in the calculation of diluted EPS for the three-month period ended September 30, 2021, as the effect would be antidilutive.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nine-month period ended September 30, 2022, there were 128,665 outstanding stock options and 5,000 outstanding restricted stock awards included in the calculation of diluted weighted average shares outstanding, as such securities were dilutive, resulting in 22,203 potential common shares included in the calculation of diluted EPS. For the comparable nine-month period ended September 30, 2021, there were 598,489 outstanding stock options and 14,164 outstanding restricted stock awards included in the calculation of diluted weighted average shares outstanding, as such securities were dilutive, resulting in 179,951 potential common shares included in the calculation of diluted EPS. There were 1,073,411 and 466,167 outstanding stock options not included in the calculation of diluted weighted average shares outstanding for the nine-month periods ended September 30, 2022 and September 30, 2021, respectively, as the effect would be antidilutive.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right="6480" w:firstLine="8"/>
        <w:spacing w:after="0" w:line="503" w:lineRule="auto"/>
        <w:tabs>
          <w:tab w:leader="none" w:pos="486"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September 30, 2022 and December 31, 2021. The fair value of cash, accounts receivable, accounts payable, accrued liabilities, and the current portion of long-term debt approximates carrying value due to the short-term nature of these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8,329</w:t>
            </w: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r>
      <w:tr>
        <w:trPr>
          <w:trHeight w:val="20"/>
        </w:trPr>
        <w:tc>
          <w:tcPr>
            <w:tcW w:w="66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restricted cash included $73and $84,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28,485</w:t>
            </w:r>
          </w:p>
        </w:tc>
        <w:tc>
          <w:tcPr>
            <w:tcW w:w="7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40,769</w:t>
            </w:r>
          </w:p>
        </w:tc>
        <w:tc>
          <w:tcPr>
            <w:tcW w:w="7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7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15,483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63,724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91,897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91,423</w:t>
            </w: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(69,999)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21,898</w:t>
            </w:r>
          </w:p>
        </w:tc>
        <w:tc>
          <w:tcPr>
            <w:tcW w:w="7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tcBorders>
              <w:left w:val="single" w:sz="8" w:color="CCEEFF"/>
            </w:tcBorders>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80" w:type="dxa"/>
            <w:vAlign w:val="bottom"/>
          </w:tcPr>
          <w:p>
            <w:pPr>
              <w:spacing w:after="0"/>
              <w:rPr>
                <w:sz w:val="24"/>
                <w:szCs w:val="24"/>
                <w:color w:val="auto"/>
              </w:rPr>
            </w:pPr>
          </w:p>
        </w:tc>
        <w:tc>
          <w:tcPr>
            <w:tcW w:w="254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gridSpan w:val="5"/>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120" w:type="dxa"/>
            <w:vAlign w:val="bottom"/>
            <w:tcBorders>
              <w:top w:val="single" w:sz="8" w:color="auto"/>
            </w:tcBorders>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nine-month period ended September 30, 2022.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r>
      <w:tr>
        <w:trPr>
          <w:trHeight w:val="216"/>
        </w:trPr>
        <w:tc>
          <w:tcPr>
            <w:tcW w:w="34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Measurement period adjustment (1)</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(972)</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37,066</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Change for measurement period adjustment related to Excell Acquisition (Note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September 30, 2022</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5,757</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7,024</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5,092</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16,095</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7,730</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5,126</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17,390</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the cost of total intangible assets from December 31, 2021 to September 30, 2022 is a result of measurement period adjustments for the Excell Acquisition (Note 2) and the effect of foreign currency translations.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5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4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September 30, 2022, there was $393 of total unrecognized compensation cost related to outstanding stock options, which is expected to be recognized over a weighted average period of 1.0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nine-month period ended September 30, 2022:</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5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1,306,824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1,202,076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1,119,892</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7.04</w:t>
            </w:r>
          </w:p>
        </w:tc>
        <w:tc>
          <w:tcPr>
            <w:tcW w:w="1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13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803,774</w:t>
            </w:r>
          </w:p>
        </w:tc>
        <w:tc>
          <w:tcPr>
            <w:tcW w:w="2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7.22</w:t>
            </w:r>
          </w:p>
        </w:tc>
        <w:tc>
          <w:tcPr>
            <w:tcW w:w="14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September 30, 2022 and September 30, 2021 was $3 and $84, respectively. Cash received from stock option exercises under our stock-based compensation plans for the nine-month periods ended September 30, 2022 and September 30, 2021 was $116 and $398,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restricted shares vest in equal annual installments over three (3) years. There were 5,000 unvested restricted shares outstanding as of September 30, 2022. Unrecognized compensation cost related to these restricted shares was $4 at September 30, 2022, which is expected to be recognized over a weighted average period of 1.1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nine-month periods ended September 30, 2022 and September 30, 2021 was 259.1% and 24.4%, respectively. The period-over-period change was primarily attributable to the geographic mix of our operating results and the larger effect of permanent and discrete adjustments in the current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we have domestic net operating loss (“NOL”) carryforwards of $44,716, which expire 2022 thru 2037, and domestic tax credits of $2,239, which expire 2028 thru 2039, available to reduce future taxable income. As of September 30, 2022, management has concluded it is more likely than not that these domestic NOL and credit carryforwards will be fully utilized.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have not recognized a valuation allowance against our other foreign deferred tax assets, as realization is considered to be more likely than not.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maintains its assertion that all foreign earnings will be indefinitely reinvested in those operations, other than earnings generated in the U.K.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September 30, 2022 and December 31,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2019-2021 remain subject to IRS examination. Our U.S. tax matters for 2002, 2005-2007 and 2011-2015 also remain subject to IRS examination due to the remaining availability of NOL carryforwards generated in those years. Our U.S. tax matters for 2002, 2005-2007 and 2011-2021 remain subject to examination by various state and local tax jurisdictions. Our tax matters for the years 2011 through 2021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September 30, 2022, the remaining lease terms on our operating leases range from approximately one (1) year to ten (10)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80" w:type="dxa"/>
            <w:vAlign w:val="bottom"/>
          </w:tcPr>
          <w:p>
            <w:pPr>
              <w:spacing w:after="0"/>
              <w:rPr>
                <w:sz w:val="20"/>
                <w:szCs w:val="20"/>
                <w:color w:val="auto"/>
              </w:rPr>
            </w:pPr>
          </w:p>
        </w:tc>
      </w:tr>
      <w:tr>
        <w:trPr>
          <w:trHeight w:val="187"/>
        </w:trPr>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48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11"/>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280" w:type="dxa"/>
            <w:vAlign w:val="bottom"/>
          </w:tcPr>
          <w:p>
            <w:pPr>
              <w:spacing w:after="0"/>
              <w:rPr>
                <w:sz w:val="20"/>
                <w:szCs w:val="20"/>
                <w:color w:val="auto"/>
              </w:rPr>
            </w:pPr>
          </w:p>
        </w:tc>
      </w:tr>
      <w:tr>
        <w:trPr>
          <w:trHeight w:val="187"/>
        </w:trPr>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8"/>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7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6"/>
        </w:trPr>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28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5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30, 2022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8"/>
        </w:trPr>
        <w:tc>
          <w:tcPr>
            <w:tcW w:w="16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352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2"/>
        </w:trPr>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Future minimum lease payments as of September 30, 2022 are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300" w:type="dxa"/>
            <w:vAlign w:val="bottom"/>
            <w:gridSpan w:val="2"/>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2022</w:t>
            </w:r>
          </w:p>
        </w:tc>
        <w:tc>
          <w:tcPr>
            <w:tcW w:w="3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2023</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2024</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2025</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2026</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gridSpan w:val="2"/>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2027</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240" w:type="dxa"/>
            <w:vAlign w:val="bottom"/>
            <w:tcBorders>
              <w:top w:val="single" w:sz="8" w:color="auto"/>
              <w:bottom w:val="single" w:sz="8" w:color="auto"/>
            </w:tcBorders>
          </w:tcPr>
          <w:p>
            <w:pPr>
              <w:spacing w:after="0"/>
              <w:rPr>
                <w:sz w:val="18"/>
                <w:szCs w:val="18"/>
                <w:color w:val="auto"/>
              </w:rPr>
            </w:pPr>
          </w:p>
        </w:tc>
        <w:tc>
          <w:tcPr>
            <w:tcW w:w="3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r>
      <w:tr>
        <w:trPr>
          <w:trHeight w:val="425"/>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ind w:right="7420" w:firstLine="8"/>
        <w:spacing w:after="0" w:line="503" w:lineRule="auto"/>
        <w:tabs>
          <w:tab w:leader="none" w:pos="486"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rPr>
          <w:sz w:val="20"/>
          <w:szCs w:val="20"/>
          <w:color w:val="auto"/>
        </w:rPr>
      </w:pPr>
      <w:r>
        <w:rPr>
          <w:rFonts w:ascii="Times New Roman" w:cs="Times New Roman" w:eastAsia="Times New Roman" w:hAnsi="Times New Roman"/>
          <w:sz w:val="18"/>
          <w:szCs w:val="18"/>
          <w:color w:val="auto"/>
        </w:rPr>
        <w:t>As of September 30, 2022, we have made commitments to purchase approximately $624 of production machinery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offer standard warranties against product defects.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Nine-month period ended September 30,</w:t>
            </w:r>
          </w:p>
        </w:tc>
      </w:tr>
      <w:tr>
        <w:trPr>
          <w:trHeight w:val="210"/>
        </w:trPr>
        <w:tc>
          <w:tcPr>
            <w:tcW w:w="67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deferred revenue on extended warranty contracts of $592 in other noncurrent liabilities and $119 in accrued expenses and other current liabilities on our consolidated balance sheet. As of December 31, 2021, the Company had no extended warranty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(2) operating segments: Battery &amp; Energy Products and Communications Systems. The Battery &amp; Energy Products segment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We report operating expenses as Corporate charges.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2022:</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33,234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414"/>
        </w:trPr>
        <w:tc>
          <w:tcPr>
            <w:tcW w:w="460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2021:</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r>
      <w:tr>
        <w:trPr>
          <w:trHeight w:val="414"/>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87,873</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95,733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(21,407)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414"/>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2021:</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64,994</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r>
      <w:tr>
        <w:trPr>
          <w:trHeight w:val="414"/>
        </w:trPr>
        <w:tc>
          <w:tcPr>
            <w:tcW w:w="460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28,583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5,705</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4,651</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4,651</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33,234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10,356</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69%</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31%</w:t>
            </w: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2021:</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5,182</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76%</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24%</w:t>
            </w: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17,719</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7,860</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95,733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25,579</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73%</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w:t>
            </w: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2021:</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64,994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18,059</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9,510</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9,510</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74,504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27,569</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63%</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37%</w:t>
            </w:r>
          </w:p>
        </w:tc>
      </w:tr>
      <w:tr>
        <w:trPr>
          <w:trHeight w:val="412"/>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U.S. and Non-U.S. Revenue Information</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u w:val="single" w:color="auto"/>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September 30, 2022: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United</w:t>
            </w:r>
          </w:p>
        </w:tc>
        <w:tc>
          <w:tcPr>
            <w:tcW w:w="18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States</w:t>
            </w: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28,583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13,433</w:t>
            </w:r>
          </w:p>
        </w:tc>
        <w:tc>
          <w:tcPr>
            <w:tcW w:w="2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15,150</w:t>
            </w:r>
          </w:p>
        </w:tc>
        <w:tc>
          <w:tcPr>
            <w:tcW w:w="1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3,547</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1,104</w:t>
            </w:r>
          </w:p>
        </w:tc>
      </w:tr>
      <w:tr>
        <w:trPr>
          <w:trHeight w:val="209"/>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51%</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r>
      <w:tr>
        <w:trPr>
          <w:trHeight w:val="82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United</w:t>
            </w:r>
          </w:p>
        </w:tc>
        <w:tc>
          <w:tcPr>
            <w:tcW w:w="18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States</w:t>
            </w: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20,008</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7,941</w:t>
            </w:r>
          </w:p>
        </w:tc>
        <w:tc>
          <w:tcPr>
            <w:tcW w:w="2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12,067</w:t>
            </w:r>
          </w:p>
        </w:tc>
        <w:tc>
          <w:tcPr>
            <w:tcW w:w="1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w:t>
            </w:r>
          </w:p>
        </w:tc>
      </w:tr>
      <w:tr>
        <w:trPr>
          <w:trHeight w:val="209"/>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42%</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58%</w:t>
            </w:r>
          </w:p>
        </w:tc>
      </w:tr>
      <w:tr>
        <w:trPr>
          <w:trHeight w:val="82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United</w:t>
            </w:r>
          </w:p>
        </w:tc>
        <w:tc>
          <w:tcPr>
            <w:tcW w:w="18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States</w:t>
            </w: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87,873</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41,303</w:t>
            </w:r>
          </w:p>
        </w:tc>
        <w:tc>
          <w:tcPr>
            <w:tcW w:w="2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46,570</w:t>
            </w:r>
          </w:p>
        </w:tc>
        <w:tc>
          <w:tcPr>
            <w:tcW w:w="1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6,609</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1,251</w:t>
            </w: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95,733</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50%</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r>
      <w:tr>
        <w:trPr>
          <w:trHeight w:val="82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United</w:t>
            </w:r>
          </w:p>
        </w:tc>
        <w:tc>
          <w:tcPr>
            <w:tcW w:w="18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States</w:t>
            </w: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64,994</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32,344</w:t>
            </w:r>
          </w:p>
        </w:tc>
        <w:tc>
          <w:tcPr>
            <w:tcW w:w="2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32,650</w:t>
            </w:r>
          </w:p>
        </w:tc>
        <w:tc>
          <w:tcPr>
            <w:tcW w:w="1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4,670</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4,840</w:t>
            </w: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50%</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-4427220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-4144010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-3149600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-2867025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-1872615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-1589405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-594995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-312420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5540" w:space="720"/>
            <w:col w:w="4960"/>
          </w:cols>
          <w:pgMar w:left="320" w:top="580" w:right="359" w:bottom="1440" w:gutter="0" w:footer="0" w:header="0"/>
        </w:sectPr>
      </w:pPr>
    </w:p>
    <w:p>
      <w:pPr>
        <w:ind w:left="5540" w:right="2120" w:hanging="5532"/>
        <w:spacing w:after="0" w:line="372" w:lineRule="auto"/>
        <w:tabs>
          <w:tab w:leader="none" w:pos="126"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continued impact of COVID-19 and the related supply chain disruptions on our business, operating results and financial condition; our reliance on certain key customers; reduced U.S. and foreign military spending including the uncertainty associated with government budget approvals; our efforts to develop new commercial applications for our products; fluctuations in the price of oil and the resulting impact on the demand for downhole drilling; the unique risks associated with our China operations; potential disruptions in our supply of raw materials and components; our ability to retain top management and key personnel; possible breaches in information systems security and other disruptions in our information technology systems; our resources being overwhelmed by our growth; possible future declines in demand for the products that use our batteries or communications systems; potential costs attributable to the warranties we supply with our products and services; safety risks related to the nature of our products, including the risk of fire; variability in our quarterly and annual results and the price of our common stock; our entrance into new end-markets which could lead to additional financial exposure; our inability to comply with changes to the regulations for the shipment of our products; our customers’ demand falling short of volume expectations in our supply agreements; our exposure to foreign currency fluctuations; negative publicity concerning Lithium-ion batteries; possible impairments of our goodwill and other intangible assets; our ability to utilize our net operating loss carryforwards;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by our competitors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2021.</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Form 10-Q or our Annual Report on Form 10-K for the year ended December 31, 2021 to reflect new information or risks, future events or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penetration of new markets and territories by our sales force, as well as seeking opportunities to expand through acquisitions.</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 ACCUPRO™, ENTELLION™, SWE Southwest Electronic Energy Group™, SWE DRILL-DATA™, SWE SEASAFE™, Excell Battery Group and Criterion Gauge brands. We have sales, operations and product development facilities in North America, Europe and Asia.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to the consolidated financial statements of this Form 10-Q for further information.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COVID-19</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following the protocols established by public health officials and on meeting the demand of our customers. We have maintained normal business operations at all our facilities with the exception of the well-publicized shutdowns in China which impacted our Shenzhen facility in the first quarter of 2022. The COVID-19 related supply chain disruptions including increased lead times on key components experienced within our business and by our customers, impacted our work schedules and timing of shipments. The continuing impact of these conditions on our business is uncertain and will depend on many evolving factors which we continue to monitor but cannot predict, including the duration, severity and scope of the pandemic and its variants, the resulting actions taken by governments, businesses and individuals, and the flow-through impact on operations and supply chains. Potential ramifications from COVID-19 that may continue to adversely impact our future business include limited availability and/or increased cost of raw materials and components used in our products, reduced demand and/or pricing for our products, inability of our customers to pay for our products or remain solvent, and reduced availability of our workforce. Prolonged adverse effects of COVID-19 on our business could result in the impairment of long-lived assets including goodwill and other intangible assets. Further, we cannot predict all possible adverse effects the COVID-19 pandemic may cause. Consequently, there may be adverse effects in addition to those described above. We will continue to closely monitor the developments surrounding COVID-19 and take actions when possible to mitigate the business risks involved and the potential effects of COVID-19 on our business.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revenues of $33,234 for the three-month period ended September 30, 2022, increased by $11,473 or 52.7%, over $21,761 for the three-month period ended September 30, 2021, reflecting the revenues of Excell Battery Group (“Excell”) acquired on December 13, 2021, and increased sales in our government/defense, oil &amp; gas and industrial battery markets, partially offset by lower revenues for medical which was due to delayed sales caused by component shortages. Government/defense revenues of $10,356 increased $5,174 or 99.8% over the 2021 period, and excluding Excell, commercial revenues of $16,007 for the quarter ended September 30, 2022 decreased $572 or 3.5% from the year-earlier period. Including the operations of Excell, commercial revenues were $22,878.</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$6,715, or 20.2% of revenue, for the three-month period ended September 30, 2022, compared to $5,108, or 23.5% of revenue, for the same quarter a year ago. The 330-basis point decline primarily reflects incremental costs in 2022 associated with supply chain disruptions including component cost inflation, manufacturing inefficiencies resulting from prolonged lead times and logistics delays, and the transitioning of new products to high volume production.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to $7,301 for the three-month period ended September 30, 2022, compared to $5,887 for the three-month period ended September 30, 2021. The increase of $1,414 or 24.0% was primarily attributable to our acquisition of Excell which contributed operating expenses of $1,115. Excluding Excell, operating expenses increased by $299 or 5.1% reflecting increased new product development costs, travel expenses and sales commissions, as well as inflationary cost increases. Operating expenses as a percentage of sales decreased 500 basis points from 27.0% for the third quarter of 2021 to 22.0% for the current quarter highlighting our continued control over discretionary spending and positive sales leverage.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loss for the three-month period ended September 30, 2022 was $586, compared to a loss of $779, for the year-earlier period. The decrease in the operating loss resulted from higher sales from both of our business segments, offset in large part by a reduction in gross margin due to increased costs resulting from supply chain disruptions, including inflationary cost pressures and prolonged component lead times and logistical delays causing manufacturing inefficiencies.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Ultralife was $239, or ($0.01) per share – basic and diluted, for the three-month period ended September 30, 2022, compared to net loss attributable to Ultralife of $585, or ($0.04) per share – basic and diluted, for the three-month period ended September 30, 2021. The reduction of net loss resulted from higher revenues in the 2022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$1,255, or 3.8% of revenues for the third quarter of 2022, compared to $283, or 1.3% of revenues, for the third quarter of 2021. See the section “Adjusted EBITDA” beginning on Page 26 for a reconciliation of adjusted EBITDA to net income attributable to Ultralife.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backlog now over $100,000, we are positioned well for near-term revenue increases and remain committed to advancing several transformational projects and new product opportunities to drive long-term revenue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September 30, 2022 and September 30, 2021</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September 30, 2022 were $33,234, an increase of $11,473, or 52.7%, over $21,761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three-month period ended September 30, 2021. Overall, government/defense sales increased 99.8%, or $5,174, and commercial sales increased 38.0%, or $6,299, from the 2021 period. Revenues for the 2022 period include the results of Excell which was acquired by the Company on December 13, 2021. Our revenue backlog, consisting of committed firm orders, was $106,200 at September 30, 2022, an increase of 34.1% over the backlog at June 30, 2022 and 154% over the backlog at September 30, 2021.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Battery &amp; Energy Products revenues increased $8,575, or 42.9%, from $20,008 for the three-month period ended September 30, 2021 to $28,583 for the three-month period ended September 30, 2022. The increase was attributable to the $6,870 revenue contribution from the acquisition of Excell, coupled with a 66.4%, or $2,276, increase in government/defense sales, a 7.4%, or $318, increase in oil &amp; gas market sales and a 2.4%, or $116, increase in industrial market sales, partially offset by a 12.1%, or $904, decrease in medical sales. Net sales for this segment, excluding the results of Excell, increased 8.5%, or $1,706. The increase in government/defense sales primarily resulted from strong order flow from a large global defense prime contractor. The increase in oil &amp; gas market sales was driven by higher demand for our battery packs for downhole drilling in both U.S. and international markets. The decline in medical sales resulted from component shortages in the current quarter to fulfill the increased demand for our products. The revenue backlog for this segment is now at its highest level in our Company’s history.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Systems revenues increased $2,898, or 165.3%, from $1,753 for the three-month period ended September 30, 2021 to $4,651 for the three-month period ended September 30, 2022. This increase is primarily attributable to our receipt of components to commence the fulfillment of modest shipments under various large program awards.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Consolidated cost of products sold totaled $26,519 for the quarter ended September 30, 2022,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$9,866, or 59.2%, from the $16,653 reported for the same three-month period a year ago. Consolidated cost of products sold as a percentage of total revenue increased from 76.5% for the three-month period ended September 30, 2021 to 79.8% for the three-month period ended September 30, 2022. Correspondingly, consolidated gross margin decreased from 23.5% for the three-month period ended September 30, 2021, to 20.2% for the three-month period ended September 30, 2022, primarily reflecting increased costs attributable to ongoing component cost inflation, manufacturing inefficiencies related to prolonged lead times and logistics delays, and the incremental costs of transitioning new products to higher volume production.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third quarter of 2022 was $5,345, an increase of $553 or 11.5% over gross profit of $4,792 for the third quarter of 2021. Battery &amp; Energy Products’ gross margin of 18.7% decreased by 530 basis points from the 24.0% gross margin for the year-earlier period, reflecting rapid cost inflation on components not fully aligned with customer price increases, manufacturing inefficiencies associated with component availability, prolonged lead times and related logistics delays impacting timely deliveries, and incremental costs associated with the transition of new products to higher volume production.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third quarter of 2022 was $1,370 or 29.5% of revenues, compared to gross profit of $316 or 18.0% of revenues, for the third quarter of 2021. The increase was primarily due to higher factory volume and favorable sales mix.</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Consolidated operating expenses for the three-month period ended September 30, 2022 were $7,301, an increase of $1,414 or 24.0%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$5,887 for the three-month period ended September 30, 2021. The increase is primarily attributable to the acquisition of Excell, which contributed operating expenses of $1,115 in the third quarter, including $181 of intangible asset amortization. Excluding Excell, operating expenses increased $299 or 5.1% due to increased new product development, travel, and sales commissions, as well as inflationary cost increases. Both periods reflected continued tight control over discretionary spending.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22.0% for the quarter ended September 30, 2022 compared to 27.1% for the quarter ended September 30, 2021 resulting from sales leverage and control over discretionary spending. Amortization expense associated with intangible assets related to our acquisitions was $318 for the third quarter of 2022 ($295 in selling, general and administrative expenses and $23 in research and development costs), compared with $148 for the third quarter of 2021 ($121 in selling, general, and administrative expenses and $27 in research and development costs). Research and development costs were $1,896 for the three-month period ended September 30, 2022, an increase of $173 or 10.0%, from $1,723 for the three-months ended September 30, 2021. The increase is largely attributable to the operations of Excell, acquired in December 2021, and increased investments in our Communications Systems business to develop new products expanding the business into select commercial markets. Selling, general, and administrative expenses increased $1,241 or 29.8%, to $5,405 for the third quarter of 2022 from $4,164 for the third quarter of 2021. The increase is mostly attributable to the operations of Excell which contributed $1,026 of selling, general and administrative expenses, including intangible asset amortization of $181, for the third quarter of 2022, with the remainder reflecting inflationary cost increases.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September 30, 2022, Ultralife recognized an income tax benefit of $90, comprised of a $218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for taxes expected to be paid on income primarily from our non-U.S. operations, and a $308 deferred benefit, compared to an income tax benefit of $175 for the three-month period ended September 30, 2021, comprised of a $43 current provision and a $218 deferred benefit. Our effective tax rate was 27.1% for the third quarter of 2022 as compared to 22.5% for the third quarter of 2021, primarily attributable to the geographic mix of our operating results, including income generated in Canada by Excell for the current year. See Note 7 to the consolidated financial statements in Item 1 of Part I of this Form 10-Q for further information.</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Ultralife. </w:t>
      </w:r>
      <w:r>
        <w:rPr>
          <w:rFonts w:ascii="Times New Roman" w:cs="Times New Roman" w:eastAsia="Times New Roman" w:hAnsi="Times New Roman"/>
          <w:sz w:val="18"/>
          <w:szCs w:val="18"/>
          <w:color w:val="auto"/>
        </w:rPr>
        <w:t>Net loss attributable to Ultralife was $239, or ($0.01) per share – basic and diluted, for the three-month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compared to net loss attributable to Ultralife of $585, or ($0.04) per share – basic and diluted, for the three-month period ended September 30, 2021. The reduction in net loss is primarily attributable to higher sales for the 2022 quarter. Weighted average shares outstanding used to compute diluted earnings per share increased from 16,065,412 for the third quarter of 2021 to 16,133,069 for the third quarter of 2022 as a result of stock option exercises since the third quarter of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Periods Ended September 30, 2022 and September 30, 2021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nine-month period ended September 30, 2022 were $95,733, an increase of $21,229, or 28.5%, over $74,504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nine-month period ended September 30, 2021. Overall, commercial sales increased 49.5% while government/defense sales decreased 7.2% from the 2021 period. Revenues for the 2022 period include the operations of Excell which was acquired by the Company on December 13, 2021.</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Battery &amp; Energy Products revenues increased $22,879, or 35.2%, from $64,994 for the nine-month period ended September 30, 2021 to $87,873 for the nine-month period ended September 30, 2022. The increase was attributable to the $19,898 revenue contribution from the operations of Excell, and a 7.1% increase in commercial sales excluding Excell, partially offset by a 1.9% reduction in government/defense sales. The increase in commercial sales, excluding Excell, was driven by a 11.0% increase in oil &amp; gas market sales reflecting the rebound in the energy sector, a 9.6% increase in industrial market sales including our new Thionyl Chloride and thin cell battery cells, and a 3.9% increase in medical battery sales due to the high demand for our batteries used in ventilators, respirators, infusion pumps and other medical devices. The decline in government/defense sales was primarily due to supply chain disruptions experienced internally and by our customers which pushed out sales to future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Systems revenues decreased $1,650, or 17.4%, from $9,510 for the nine-month period ended September 30, 2021 to $7,860 for the nine-month period ended September 30, 2022. This decrease is primarily attributable to supply chain disruptions including extended lead times for components causing delays in our shipments to customers, and the push out of certain orders by our customers to future periods.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Consolidated cost of products sold totaled $74,414 for the nine-month period ended September 30, 2022,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$19,263, or 34.9%, from the $55,151 reported for the same nine-month period a year ago. Consolidated cost of products sold as a percentage of total revenue increased from 74.0% for the nine-month period ended September 30, 2021 to 77.7% for the nine-month period ended September 30, 2022. Correspondingly, consolidated gross margin decreased from 26.0% for the nine-month period ended September 30, 2021, to 22.3% for the nine-month period ended September 30, 2022, primarily reflecting lower factory volume for our Communications Systems segment, incremental costs in 2022 associated with supply chain disruptions, including rapid and continuous increases in the cost of some key components, manufacturing inefficiencies caused by component availability, extended lead times and logistical delays impacting timely deliveries, and the transition of new products to higher volume production.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nine months of 2022 was $19,217, an increase of $2,973 or 18.3% over gross profit of $16,244 for the comparable 2021 period. Battery &amp; Energy Products’ gross margin of 21.9% decreased by 310 basis points from the 25.0% gross margin for the year-earlier period, reflecting rapid cost inflation on components not fully aligned with customer price increases, manufacturing inefficiencies associated with component availability, lead times and related logistics impacting timely deliveries, and incremental costs associated with the transition of new products to higher volume production.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nine months of 2022 was $2,102 or 26.7% of revenues, compared to gross profit of $3,109 or 32.7% of revenues, for the comparable 2021 period. The decline was primarily due to lower factory volume resulting in the under-absorption of factory costs and unfavorable sales mix experienced during the first nine months of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Consolidated operating expenses for the nine-month period ended September 30, 2022 were $21,407, an increase of $3,318 or 18.3%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$18,089 for the nine-month period ended September 30, 2021. The increase is primarily attributable to the acquisition of Excell, which contributed operating expenses of $3,258 for the first nine months of 2022, including $545 of intangible asset amortization and one-time acquisition costs of $70. Excluding Excell, operating expenses increased $60 or 0.3%. Both periods reflected continued tight control over discretionary spending.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22.4% for the nine-month period ended September 30, 2022 compared to 24.3% for the nine-month period ended September 30, 2021. Amortization expense associated with intangible assets related to our acquisitions was $969 for the first nine months of 2022 ($895 in selling, general and administrative expenses and $74 in research and development costs), compared with $458 for the first nine months of 2021 ($365 in selling, general, and administrative expenses and $93 in research and development costs). Research and development costs were $5,425 for the nine-month period ended September 30, 2022, an increase of $202 or 3.9%, from $5,223 for the nine-months ended September 30, 2021. The increase is attributable to our acquisition of Excell. Selling, general, and administrative expenses increased $3,116 or 24.2%, to $15,982 for the first nine months of 2022 from $12,866 for the comparable 2021 period. The increase is attributable to the December 2021 acquisition of Excell which contributed $3,011 of selling, general and administrative expenses, including intangible asset amortization of $545, for the 2022 period.</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Other income totaled $22 for the nine-month period ended September 30, 2022 compared to other expense of $76 for the nine-month period ended September 30, 2021. Interest and financing expense increased $419, or 255.5%, from $164 for the first nine months of 2021 to $583 for the first nine months of 2022. The increase is primarily due to the financing of the Excell Acquisition. Miscellaneous income amounted to $605 for the first nine months of 2022 compared with $88 for the 2021 period, primarily representing foreign currency exchange gains on U.S.-denominated transactions and balances of our non-U.S. businesses.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nine-month period ended September 30, 2022, Ultralife recognized an income tax benefit of $171, comprised of a $512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for income taxes expected to be paid on income primarily from our non-U.S. operations, and a $683 deferred benefit, compared to an income tax provision of $290 for the prior year same period, comprised of a $163 current provision and a $127 deferred provision. Our effective tax rate was 259.1% for the first nine months of 2022 as compared to 24.4% for the first nine months of 2021 primarily attributable to the geographic mix of our operating results, including income generated in Canada by Excell and the larger effect of permanent and discrete adjustments for the current year. See Note 7 to the consolidated financial statements in Item 1 of Part I of this Form 10-Q for further information.</w:t>
      </w:r>
    </w:p>
    <w:p>
      <w:pPr>
        <w:spacing w:after="0" w:line="18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$105, or $0.01 per share – basic and diluted, for the nine-month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2022, compared to $897, or $0.06 per share – basic and diluted, for the nine-month period ended September 30, 2021. Weighted average shares outstanding used to compute diluted earnings per share decreased from 16,199,693 for the 2021 period to 16,144,165 for the 2022 period. The decrease is attributable to stock option exercises since the third quarter of 2021 offset by the anti-dilutive effect of the decrease in the average stock price used to compute diluted shares from $7.94 for the first nine months of 2021 to $5.00 for the first nine months of 2022. Accordingly, potential common shares used to compute diluted earnings per share decreased from 179,951 for the 2021 period to 22,203 for the 2022 period.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5" w:lineRule="exact"/>
        <w:rPr>
          <w:rFonts w:ascii="Times New Roman" w:cs="Times New Roman" w:eastAsia="Times New Roman" w:hAnsi="Times New Roman"/>
          <w:sz w:val="18"/>
          <w:szCs w:val="18"/>
          <w:color w:val="auto"/>
        </w:rPr>
      </w:pPr>
    </w:p>
    <w:p>
      <w:pPr>
        <w:ind w:left="1100" w:hanging="323"/>
        <w:spacing w:after="0" w:line="282"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(loss) attributable to Ultralife.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4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Ultralife Corporation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cash on hand totaled $5,051 (including restricted cash of $73), a decrease of $3,362 as compared to $8,413 as of December 31, 2021, primarily attributable to the procurement of inventory to enhance our ability to service orders requested by customers to ship in 2022 amidst challenging supply chain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nine-month period ended September 30, 2022, cash used in operations was $3,827, as compared to $8,462 generated from operations for the nine-month period ended September 30, 2021. For the 2022 period, we used cash of $8,714 to procure inventory to proactively manage our supply chain, reduce lead times and the impact of potential cost increases on components and raw materials, and enhance our position to service customer orders. The increase in inventory and the timing of sales, collections and disbursements resulted in net cash of $7,245 used for working capital, which was partially offset by net income of $105 and non-cash net expenses totaling $3,313 for depreciation, amortization, stock-based compensation, and deferred taxes.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2022 was $1,396 for capital expenditures, reflecting investments in equipment for new products transitioning to high-volume manufacturing.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2022 was $2,097, primarily consisting of draws from our credit facility for the purchase of certain critical raw materials requiring cash-in-advance payment terms by the vendors, plus $105 in net proceeds on stock-based awards, partially offset by $1,333 of principle payments on our term loan.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7 to the consolidated financial statements of this Form 10-Q for additional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(1)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$14,330 outstanding borrowings on the Revolving Credit Facility and $8,667 on the Term Loan Facility. The Company was in full compliance with all covenants under the Credit Facilities as of September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had made commitments to purchase approximately $624 of production machinery and equipment.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2021 Annual Report on Form 10-K and Note 1 to the consolidated financial statements in Part I of this Form 10-Q should be reviewed for a greater understanding of how our financial performance is recorded and reported.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2022, there were no significant changes in the manner in which our significant accounting policies were applied or in which related assumptions and estimates were developed.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addition to the Risk Factors set forth in Item 1A of our Form 10-K for the year ended December 31, 2021, as filed on March 8, 2022, you should carefully consider the following Risk Factors that we believe are material to our business:</w:t>
      </w:r>
    </w:p>
    <w:p>
      <w:pPr>
        <w:spacing w:after="0" w:line="162" w:lineRule="exact"/>
        <w:rPr>
          <w:sz w:val="20"/>
          <w:szCs w:val="20"/>
          <w:color w:val="auto"/>
        </w:rPr>
      </w:pPr>
    </w:p>
    <w:p>
      <w:pPr>
        <w:ind w:left="660" w:right="3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 rising interest rates, volatile equity capital markets and ongoing supply chain disruptions, have affected and may continue to affect our business, revenues and earnings adversely.</w:t>
      </w:r>
    </w:p>
    <w:p>
      <w:pPr>
        <w:spacing w:after="0" w:line="16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have increased and may continue to rise. Our suppliers have raised their prices and may continue to raise prices that we may not be able to pass on to our customers on a timely manner consistent with the price increases. This affected and may continue to affect our business and profit margins adversely.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will increase the cost of our variable borrowing rates, may affect our earnings adversely.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30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9"/>
        </w:trPr>
        <w:tc>
          <w:tcPr>
            <w:tcW w:w="180" w:type="dxa"/>
            <w:vAlign w:val="bottom"/>
          </w:tcPr>
          <w:p>
            <w:pPr>
              <w:spacing w:after="0"/>
              <w:rPr>
                <w:sz w:val="14"/>
                <w:szCs w:val="14"/>
                <w:color w:val="auto"/>
              </w:rPr>
            </w:pPr>
          </w:p>
        </w:tc>
        <w:tc>
          <w:tcPr>
            <w:tcW w:w="1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34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8"/>
              </w:rPr>
              <w:t>Rule 13a-14(a) / 15d-14(a) CEO Certifications</w:t>
            </w:r>
          </w:p>
        </w:tc>
        <w:tc>
          <w:tcPr>
            <w:tcW w:w="21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7"/>
                <w:szCs w:val="17"/>
                <w:color w:val="auto"/>
              </w:rPr>
            </w:pPr>
          </w:p>
        </w:tc>
        <w:tc>
          <w:tcPr>
            <w:tcW w:w="55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Rule 13a-14(a) / 15d-14(a) CFO Certifications</w:t>
            </w:r>
          </w:p>
        </w:tc>
        <w:tc>
          <w:tcPr>
            <w:tcW w:w="386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7"/>
                <w:szCs w:val="17"/>
                <w:color w:val="auto"/>
              </w:rPr>
            </w:pPr>
          </w:p>
        </w:tc>
        <w:tc>
          <w:tcPr>
            <w:tcW w:w="33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2160" w:type="dxa"/>
            <w:vAlign w:val="bottom"/>
            <w:gridSpan w:val="2"/>
          </w:tcPr>
          <w:p>
            <w:pPr>
              <w:spacing w:after="0"/>
              <w:rPr>
                <w:sz w:val="17"/>
                <w:szCs w:val="17"/>
                <w:color w:val="auto"/>
              </w:rPr>
            </w:pPr>
          </w:p>
        </w:tc>
        <w:tc>
          <w:tcPr>
            <w:tcW w:w="386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3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September 30, 2022 and December 31, 2021, (ii) Consolidated Statements of Income and Comprehensive Income for the three and nine months ended September 30, 2022 and 2021, (iii) Consolidated Statements of Cash Flows for the nine months ended September 30, 2022 and 2021, (iv) Consolidated Statements of Changes in Stockholders’ Equity for the three and nine months ended September 30, 2022 and 2021, and (v) Notes to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237"/>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(Registrant)</w:t>
            </w:r>
          </w:p>
        </w:tc>
        <w:tc>
          <w:tcPr>
            <w:tcW w:w="900" w:type="dxa"/>
            <w:vAlign w:val="bottom"/>
          </w:tcPr>
          <w:p>
            <w:pPr>
              <w:spacing w:after="0"/>
              <w:rPr>
                <w:sz w:val="20"/>
                <w:szCs w:val="20"/>
                <w:color w:val="auto"/>
              </w:rPr>
            </w:pPr>
          </w:p>
        </w:tc>
      </w:tr>
      <w:tr>
        <w:trPr>
          <w:trHeight w:val="392"/>
        </w:trPr>
        <w:tc>
          <w:tcPr>
            <w:tcW w:w="3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Date: October 27, 2022</w:t>
            </w:r>
          </w:p>
        </w:tc>
        <w:tc>
          <w:tcPr>
            <w:tcW w:w="602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Michael D. Popielec</w:t>
            </w:r>
          </w:p>
        </w:tc>
      </w:tr>
      <w:tr>
        <w:trPr>
          <w:trHeight w:val="216"/>
        </w:trPr>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8"/>
        </w:trPr>
        <w:tc>
          <w:tcPr>
            <w:tcW w:w="3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602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92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64"/>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59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0"/>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9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Michael D. Popielec</w:t>
            </w:r>
          </w:p>
        </w:tc>
      </w:tr>
      <w:tr>
        <w:trPr>
          <w:trHeight w:val="234"/>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59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0"/>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9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30, 2022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60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9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Michael D. Popielec</w:t>
            </w:r>
          </w:p>
        </w:tc>
      </w:tr>
      <w:tr>
        <w:trPr>
          <w:trHeight w:val="234"/>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1"/>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60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9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2022-10-27T06:36:52Z</dcterms:created>
  <dcterms:modified xsi:type="dcterms:W3CDTF">2022-10-27T06:36:52Z</dcterms:modified>
</cp:coreProperties>
</file>