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3341370</wp:posOffset>
            </wp:positionH>
            <wp:positionV relativeFrom="paragraph">
              <wp:posOffset>213995</wp:posOffset>
            </wp:positionV>
            <wp:extent cx="5746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3341370</wp:posOffset>
            </wp:positionH>
            <wp:positionV relativeFrom="paragraph">
              <wp:posOffset>217170</wp:posOffset>
            </wp:positionV>
            <wp:extent cx="5746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280" w:right="720" w:hanging="3624"/>
        <w:spacing w:after="0" w:line="250" w:lineRule="auto"/>
        <w:tabs>
          <w:tab w:leader="none" w:pos="131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 Ended June 26, 2016</w:t>
      </w:r>
    </w:p>
    <w:p>
      <w:pPr>
        <w:sectPr>
          <w:pgSz w:w="11900" w:h="16838" w:orient="portrait"/>
          <w:cols w:equalWidth="0" w:num="1">
            <w:col w:w="11180"/>
          </w:cols>
          <w:pgMar w:left="240" w:top="909" w:right="479" w:bottom="1440" w:gutter="0" w:footer="0" w:header="0"/>
        </w:sectPr>
      </w:pPr>
    </w:p>
    <w:p>
      <w:pPr>
        <w:spacing w:after="0" w:line="19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 ]</w:t>
      </w:r>
    </w:p>
    <w:p>
      <w:pPr>
        <w:spacing w:after="0" w:line="20" w:lineRule="exact"/>
        <w:rPr>
          <w:sz w:val="24"/>
          <w:szCs w:val="24"/>
          <w:color w:val="auto"/>
        </w:rPr>
      </w:pPr>
      <w:r>
        <w:rPr>
          <w:sz w:val="24"/>
          <w:szCs w:val="24"/>
          <w:color w:val="auto"/>
        </w:rPr>
        <w:br w:type="column"/>
      </w:r>
    </w:p>
    <w:p>
      <w:pPr>
        <w:jc w:val="center"/>
        <w:ind w:right="102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 w:lineRule="exact"/>
        <w:rPr>
          <w:sz w:val="24"/>
          <w:szCs w:val="24"/>
          <w:color w:val="auto"/>
        </w:rPr>
      </w:pPr>
    </w:p>
    <w:p>
      <w:pPr>
        <w:jc w:val="center"/>
        <w:ind w:right="1020"/>
        <w:spacing w:after="0"/>
        <w:tabs>
          <w:tab w:leader="none" w:pos="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860" w:space="420"/>
            <w:col w:w="9900"/>
          </w:cols>
          <w:pgMar w:left="240" w:top="909" w:right="479" w:bottom="1440" w:gutter="0" w:footer="0" w:header="0"/>
          <w:type w:val="continuous"/>
        </w:sectPr>
      </w:pP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Commission File Number 0-27460</w:t>
      </w:r>
    </w:p>
    <w:p>
      <w:pPr>
        <w:sectPr>
          <w:pgSz w:w="11900" w:h="16838" w:orient="portrait"/>
          <w:cols w:equalWidth="0" w:num="1">
            <w:col w:w="11180"/>
          </w:cols>
          <w:pgMar w:left="240" w:top="909" w:right="479" w:bottom="1440" w:gutter="0" w:footer="0" w:header="0"/>
          <w:type w:val="continuous"/>
        </w:sectPr>
      </w:pPr>
    </w:p>
    <w:p>
      <w:pPr>
        <w:spacing w:after="0" w:line="253" w:lineRule="exact"/>
        <w:rPr>
          <w:sz w:val="24"/>
          <w:szCs w:val="24"/>
          <w:color w:val="auto"/>
        </w:rPr>
      </w:pPr>
    </w:p>
    <w:tbl>
      <w:tblPr>
        <w:tblLayout w:type="fixed"/>
        <w:tblInd w:w="1320" w:type="dxa"/>
        <w:tblCellMar>
          <w:top w:w="0" w:type="dxa"/>
          <w:left w:w="0" w:type="dxa"/>
          <w:bottom w:w="0" w:type="dxa"/>
          <w:right w:w="0" w:type="dxa"/>
        </w:tblCellMar>
      </w:tblPr>
      <w:tr>
        <w:trPr>
          <w:trHeight w:val="270"/>
        </w:trPr>
        <w:tc>
          <w:tcPr>
            <w:tcW w:w="3340" w:type="dxa"/>
            <w:vAlign w:val="bottom"/>
          </w:tcPr>
          <w:p>
            <w:pPr>
              <w:spacing w:after="0"/>
              <w:rPr>
                <w:sz w:val="23"/>
                <w:szCs w:val="23"/>
                <w:color w:val="auto"/>
              </w:rPr>
            </w:pPr>
          </w:p>
        </w:tc>
        <w:tc>
          <w:tcPr>
            <w:tcW w:w="5200" w:type="dxa"/>
            <w:vAlign w:val="bottom"/>
          </w:tcPr>
          <w:p>
            <w:pPr>
              <w:ind w:left="1440"/>
              <w:spacing w:after="0"/>
              <w:rPr>
                <w:sz w:val="20"/>
                <w:szCs w:val="20"/>
                <w:color w:val="auto"/>
              </w:rPr>
            </w:pPr>
            <w:r>
              <w:rPr>
                <w:rFonts w:ascii="Arial" w:cs="Arial" w:eastAsia="Arial" w:hAnsi="Arial"/>
                <w:sz w:val="22"/>
                <w:szCs w:val="22"/>
                <w:b w:val="1"/>
                <w:bCs w:val="1"/>
                <w:color w:val="auto"/>
              </w:rPr>
              <w:t>ULTRALIFE</w:t>
            </w:r>
          </w:p>
        </w:tc>
        <w:tc>
          <w:tcPr>
            <w:tcW w:w="0" w:type="dxa"/>
            <w:vAlign w:val="bottom"/>
          </w:tcPr>
          <w:p>
            <w:pPr>
              <w:spacing w:after="0"/>
              <w:rPr>
                <w:sz w:val="1"/>
                <w:szCs w:val="1"/>
                <w:color w:val="auto"/>
              </w:rPr>
            </w:pPr>
          </w:p>
        </w:tc>
      </w:tr>
      <w:tr>
        <w:trPr>
          <w:trHeight w:val="281"/>
        </w:trPr>
        <w:tc>
          <w:tcPr>
            <w:tcW w:w="3340" w:type="dxa"/>
            <w:vAlign w:val="bottom"/>
          </w:tcPr>
          <w:p>
            <w:pPr>
              <w:spacing w:after="0"/>
              <w:rPr>
                <w:sz w:val="24"/>
                <w:szCs w:val="24"/>
                <w:color w:val="auto"/>
              </w:rPr>
            </w:pPr>
          </w:p>
        </w:tc>
        <w:tc>
          <w:tcPr>
            <w:tcW w:w="5200" w:type="dxa"/>
            <w:vAlign w:val="bottom"/>
          </w:tcPr>
          <w:p>
            <w:pPr>
              <w:ind w:left="1440"/>
              <w:spacing w:after="0"/>
              <w:rPr>
                <w:sz w:val="20"/>
                <w:szCs w:val="20"/>
                <w:color w:val="auto"/>
              </w:rPr>
            </w:pPr>
            <w:r>
              <w:rPr>
                <w:rFonts w:ascii="Arial" w:cs="Arial" w:eastAsia="Arial" w:hAnsi="Arial"/>
                <w:sz w:val="22"/>
                <w:szCs w:val="22"/>
                <w:b w:val="1"/>
                <w:bCs w:val="1"/>
                <w:color w:val="auto"/>
              </w:rPr>
              <w:t>CORPORATION</w:t>
            </w:r>
          </w:p>
        </w:tc>
        <w:tc>
          <w:tcPr>
            <w:tcW w:w="0" w:type="dxa"/>
            <w:vAlign w:val="bottom"/>
          </w:tcPr>
          <w:p>
            <w:pPr>
              <w:spacing w:after="0"/>
              <w:rPr>
                <w:sz w:val="1"/>
                <w:szCs w:val="1"/>
                <w:color w:val="auto"/>
              </w:rPr>
            </w:pPr>
          </w:p>
        </w:tc>
      </w:tr>
      <w:tr>
        <w:trPr>
          <w:trHeight w:val="760"/>
        </w:trPr>
        <w:tc>
          <w:tcPr>
            <w:tcW w:w="854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472"/>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Delaware</w:t>
            </w:r>
          </w:p>
        </w:tc>
        <w:tc>
          <w:tcPr>
            <w:tcW w:w="5200" w:type="dxa"/>
            <w:vAlign w:val="bottom"/>
          </w:tcPr>
          <w:p>
            <w:pPr>
              <w:jc w:val="right"/>
              <w:ind w:right="785"/>
              <w:spacing w:after="0"/>
              <w:rPr>
                <w:sz w:val="20"/>
                <w:szCs w:val="20"/>
                <w:color w:val="auto"/>
              </w:rPr>
            </w:pPr>
            <w:r>
              <w:rPr>
                <w:rFonts w:ascii="Arial" w:cs="Arial" w:eastAsia="Arial" w:hAnsi="Arial"/>
                <w:sz w:val="18"/>
                <w:szCs w:val="18"/>
                <w:b w:val="1"/>
                <w:bCs w:val="1"/>
                <w:color w:val="auto"/>
              </w:rPr>
              <w:t>16-1387013</w:t>
            </w:r>
          </w:p>
        </w:tc>
        <w:tc>
          <w:tcPr>
            <w:tcW w:w="0" w:type="dxa"/>
            <w:vAlign w:val="bottom"/>
          </w:tcPr>
          <w:p>
            <w:pPr>
              <w:spacing w:after="0"/>
              <w:rPr>
                <w:sz w:val="1"/>
                <w:szCs w:val="1"/>
                <w:color w:val="auto"/>
              </w:rPr>
            </w:pPr>
          </w:p>
        </w:tc>
      </w:tr>
      <w:tr>
        <w:trPr>
          <w:trHeight w:val="230"/>
        </w:trPr>
        <w:tc>
          <w:tcPr>
            <w:tcW w:w="3340" w:type="dxa"/>
            <w:vAlign w:val="bottom"/>
          </w:tcPr>
          <w:p>
            <w:pPr>
              <w:jc w:val="center"/>
              <w:ind w:right="90"/>
              <w:spacing w:after="0"/>
              <w:rPr>
                <w:sz w:val="20"/>
                <w:szCs w:val="20"/>
                <w:color w:val="auto"/>
              </w:rPr>
            </w:pPr>
            <w:r>
              <w:rPr>
                <w:rFonts w:ascii="Arial" w:cs="Arial" w:eastAsia="Arial" w:hAnsi="Arial"/>
                <w:sz w:val="18"/>
                <w:szCs w:val="18"/>
                <w:color w:val="auto"/>
                <w:w w:val="92"/>
              </w:rPr>
              <w:t>(State or other jurisdiction of incorporation)</w:t>
            </w:r>
          </w:p>
        </w:tc>
        <w:tc>
          <w:tcPr>
            <w:tcW w:w="5200" w:type="dxa"/>
            <w:vAlign w:val="bottom"/>
          </w:tcPr>
          <w:p>
            <w:pPr>
              <w:jc w:val="center"/>
              <w:ind w:left="2485"/>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4"/>
        </w:trPr>
        <w:tc>
          <w:tcPr>
            <w:tcW w:w="3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2000 Technology Parkway</w:t>
            </w:r>
          </w:p>
        </w:tc>
        <w:tc>
          <w:tcPr>
            <w:tcW w:w="5200" w:type="dxa"/>
            <w:vAlign w:val="bottom"/>
          </w:tcPr>
          <w:p>
            <w:pPr>
              <w:jc w:val="right"/>
              <w:ind w:right="985"/>
              <w:spacing w:after="0"/>
              <w:rPr>
                <w:sz w:val="20"/>
                <w:szCs w:val="20"/>
                <w:color w:val="auto"/>
              </w:rPr>
            </w:pPr>
            <w:r>
              <w:rPr>
                <w:rFonts w:ascii="Arial" w:cs="Arial" w:eastAsia="Arial" w:hAnsi="Arial"/>
                <w:sz w:val="18"/>
                <w:szCs w:val="18"/>
                <w:b w:val="1"/>
                <w:bCs w:val="1"/>
                <w:color w:val="auto"/>
              </w:rPr>
              <w:t>14513</w:t>
            </w:r>
          </w:p>
        </w:tc>
        <w:tc>
          <w:tcPr>
            <w:tcW w:w="0" w:type="dxa"/>
            <w:vAlign w:val="bottom"/>
          </w:tcPr>
          <w:p>
            <w:pPr>
              <w:spacing w:after="0"/>
              <w:rPr>
                <w:sz w:val="1"/>
                <w:szCs w:val="1"/>
                <w:color w:val="auto"/>
              </w:rPr>
            </w:pPr>
          </w:p>
        </w:tc>
      </w:tr>
      <w:tr>
        <w:trPr>
          <w:trHeight w:val="220"/>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Newark, New York</w:t>
            </w:r>
          </w:p>
        </w:tc>
        <w:tc>
          <w:tcPr>
            <w:tcW w:w="5200" w:type="dxa"/>
            <w:vAlign w:val="bottom"/>
          </w:tcPr>
          <w:p>
            <w:pPr>
              <w:jc w:val="center"/>
              <w:ind w:left="2485"/>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230"/>
        </w:trPr>
        <w:tc>
          <w:tcPr>
            <w:tcW w:w="334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vMerge w:val="restart"/>
          </w:tcPr>
          <w:p>
            <w:pPr>
              <w:jc w:val="right"/>
              <w:ind w:right="3205"/>
              <w:spacing w:after="0"/>
              <w:rPr>
                <w:sz w:val="20"/>
                <w:szCs w:val="20"/>
                <w:color w:val="auto"/>
              </w:rPr>
            </w:pPr>
            <w:r>
              <w:rPr>
                <w:rFonts w:ascii="Arial" w:cs="Arial" w:eastAsia="Arial" w:hAnsi="Arial"/>
                <w:sz w:val="18"/>
                <w:szCs w:val="18"/>
                <w:color w:val="auto"/>
                <w:w w:val="98"/>
              </w:rPr>
              <w:t>___________________</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-1954530</wp:posOffset>
            </wp:positionV>
            <wp:extent cx="1672590"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257175"/>
                    </a:xfrm>
                    <a:prstGeom prst="rect">
                      <a:avLst/>
                    </a:prstGeom>
                    <a:noFill/>
                  </pic:spPr>
                </pic:pic>
              </a:graphicData>
            </a:graphic>
          </wp:anchor>
        </w:drawing>
      </w:r>
    </w:p>
    <w:p>
      <w:pPr>
        <w:spacing w:after="0" w:line="178"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(315) 332-7100</w:t>
      </w:r>
    </w:p>
    <w:p>
      <w:pPr>
        <w:spacing w:after="0" w:line="2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_________________________________</w:t>
      </w:r>
    </w:p>
    <w:p>
      <w:pPr>
        <w:spacing w:after="0" w:line="211" w:lineRule="exact"/>
        <w:rPr>
          <w:sz w:val="24"/>
          <w:szCs w:val="24"/>
          <w:color w:val="auto"/>
        </w:rPr>
      </w:pPr>
    </w:p>
    <w:p>
      <w:pPr>
        <w:ind w:firstLine="48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81" w:lineRule="exact"/>
        <w:rPr>
          <w:sz w:val="24"/>
          <w:szCs w:val="24"/>
          <w:color w:val="auto"/>
        </w:rPr>
      </w:pPr>
    </w:p>
    <w:p>
      <w:pPr>
        <w:ind w:right="20" w:firstLine="48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X ] No [ ]</w:t>
      </w:r>
    </w:p>
    <w:p>
      <w:pPr>
        <w:spacing w:after="0" w:line="181" w:lineRule="exact"/>
        <w:rPr>
          <w:sz w:val="24"/>
          <w:szCs w:val="24"/>
          <w:color w:val="auto"/>
        </w:rPr>
      </w:pPr>
    </w:p>
    <w:p>
      <w:pPr>
        <w:ind w:right="200" w:firstLine="48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Large accelerated filer [ ] Accelerated filer [ ] Non-accelerated filer [ ] Smaller reporting company [ X ]</w:t>
      </w:r>
    </w:p>
    <w:p>
      <w:pPr>
        <w:spacing w:after="0" w:line="17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 ] No [ X ]</w:t>
      </w:r>
    </w:p>
    <w:p>
      <w:pPr>
        <w:spacing w:after="0" w:line="211" w:lineRule="exact"/>
        <w:rPr>
          <w:sz w:val="24"/>
          <w:szCs w:val="24"/>
          <w:color w:val="auto"/>
        </w:rPr>
      </w:pPr>
    </w:p>
    <w:p>
      <w:pPr>
        <w:ind w:left="500"/>
        <w:spacing w:after="0"/>
        <w:rPr>
          <w:sz w:val="20"/>
          <w:szCs w:val="20"/>
          <w:color w:val="auto"/>
        </w:rPr>
      </w:pPr>
      <w:r>
        <w:rPr>
          <w:rFonts w:ascii="Arial" w:cs="Arial" w:eastAsia="Arial" w:hAnsi="Arial"/>
          <w:sz w:val="17"/>
          <w:szCs w:val="17"/>
          <w:color w:val="auto"/>
        </w:rPr>
        <w:t>The number of shares outstanding of the registrant's common stock was 15,199,892, net of 4,009,564 treasury shares, as of July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909" w:right="4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0020" w:type="dxa"/>
            <w:vAlign w:val="bottom"/>
          </w:tcPr>
          <w:p>
            <w:pPr>
              <w:ind w:left="260"/>
              <w:spacing w:after="0"/>
              <w:rPr>
                <w:sz w:val="20"/>
                <w:szCs w:val="20"/>
                <w:color w:val="auto"/>
              </w:rPr>
            </w:pPr>
            <w:r>
              <w:rPr>
                <w:rFonts w:ascii="Arial" w:cs="Arial" w:eastAsia="Arial" w:hAnsi="Arial"/>
                <w:sz w:val="18"/>
                <w:szCs w:val="18"/>
                <w:b w:val="1"/>
                <w:bCs w:val="1"/>
                <w:color w:val="auto"/>
              </w:rPr>
              <w:t>FINANCIAL INFORMATION</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580" w:type="dxa"/>
            <w:vAlign w:val="bottom"/>
            <w:gridSpan w:val="3"/>
          </w:tcPr>
          <w:p>
            <w:pPr>
              <w:ind w:left="120"/>
              <w:spacing w:after="0"/>
              <w:rPr>
                <w:sz w:val="20"/>
                <w:szCs w:val="20"/>
                <w:color w:val="auto"/>
              </w:rPr>
            </w:pPr>
            <w:r>
              <w:rPr>
                <w:rFonts w:ascii="Arial" w:cs="Arial" w:eastAsia="Arial" w:hAnsi="Arial"/>
                <w:sz w:val="18"/>
                <w:szCs w:val="18"/>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Financial Statements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Balance Sheets as of June 26, 2016 (unaudited) and December 31, 2015</w:t>
            </w:r>
          </w:p>
        </w:tc>
        <w:tc>
          <w:tcPr>
            <w:tcW w:w="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Consolidated Statements of Income and Comprehensive Income for the Three and Six Month Periods Ended June 26, 2016 and June 28,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2015 (unaudited)</w:t>
            </w:r>
          </w:p>
        </w:tc>
        <w:tc>
          <w:tcPr>
            <w:tcW w:w="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Statements of Cash Flows for the Six Month Periods Ended June 26, 2016 and June 28, 2015 (unaudited)</w:t>
            </w:r>
          </w:p>
        </w:tc>
        <w:tc>
          <w:tcPr>
            <w:tcW w:w="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to Consolidated Financial Statements (unaudited)</w:t>
            </w:r>
          </w:p>
        </w:tc>
        <w:tc>
          <w:tcPr>
            <w:tcW w:w="4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Legal Proceedings</w:t>
            </w:r>
          </w:p>
        </w:tc>
        <w:tc>
          <w:tcPr>
            <w:tcW w:w="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Signatures</w:t>
            </w:r>
          </w:p>
        </w:tc>
        <w:tc>
          <w:tcPr>
            <w:tcW w:w="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31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Index to Exhibits</w:t>
            </w:r>
          </w:p>
        </w:tc>
        <w:tc>
          <w:tcPr>
            <w:tcW w:w="4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20" w:type="dxa"/>
            <w:vAlign w:val="bottom"/>
          </w:tcPr>
          <w:p>
            <w:pPr>
              <w:ind w:left="48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ind w:left="196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ind w:left="480"/>
              <w:spacing w:after="0"/>
              <w:rPr>
                <w:sz w:val="20"/>
                <w:szCs w:val="20"/>
                <w:color w:val="auto"/>
              </w:rPr>
            </w:pPr>
            <w:r>
              <w:rPr>
                <w:rFonts w:ascii="Arial" w:cs="Arial" w:eastAsia="Arial" w:hAnsi="Arial"/>
                <w:sz w:val="18"/>
                <w:szCs w:val="18"/>
                <w:b w:val="1"/>
                <w:bCs w:val="1"/>
                <w:color w:val="auto"/>
              </w:rPr>
              <w:t>ITEM 1. CONSOLIDATED FINANCIAL STATEMENTS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rPr>
              <w:t>ULTRALIFE CORPORATION AND SUBSIDIARIES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0"/>
              </w:rPr>
              <w:t>(Dollars in Thousands)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$293 and $300, respectively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Due from insurance company</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45,990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Security deposits and other non-current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7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Current portion of debt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 par value $.10 per share; authorized 40,000,000 shares; issued – 19,201,556 shares at June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26, 2016 and 19,181,815 shares at December 31, 2015; outstanding – 15,191,992 shares at June 26,2016</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15,322,155 at December 31, 2015</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177,007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(1,608)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Treasury stock - at cost; 4,009,564 shares at June 26, 2016 and 3,859,660 shares at December 31, 2015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Ultralife Corporation equity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66,021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65,856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66,016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83,298</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81,522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1"/>
              </w:rPr>
              <w:t>Three month periods ended</w:t>
            </w:r>
          </w:p>
        </w:tc>
        <w:tc>
          <w:tcPr>
            <w:tcW w:w="180" w:type="dxa"/>
            <w:vAlign w:val="bottom"/>
          </w:tcPr>
          <w:p>
            <w:pPr>
              <w:spacing w:after="0"/>
              <w:rPr>
                <w:sz w:val="18"/>
                <w:szCs w:val="18"/>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2"/>
              </w:rPr>
              <w:t>Six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June 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28,</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20,371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41,204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14,471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13,096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28,899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1,334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817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788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Net income per share attributable to Ultralife common shareholders – basic</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Net income per share attributable to Ultralife common shareholders –</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b w:val="1"/>
                <w:bCs w:val="1"/>
                <w:color w:val="auto"/>
              </w:rPr>
              <w:t>diluted</w:t>
            </w:r>
          </w:p>
        </w:tc>
        <w:tc>
          <w:tcPr>
            <w:tcW w:w="28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16,557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Potential common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June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Amortization of financing fees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Loss on long-lived asset disposals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benefit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(2,093)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provided by operating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Acquisition of Accutronics, net of cash acquired</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(9,857)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property, equipment and improvements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Change in restricted cash</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paid to repurchase treasury stock</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debt borrowing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Payments of debt borrowings</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(2,198)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of security deposit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stock option exercise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3,120</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unaudited Consolidated Financial Statements of Ultralife Corporation (the “Company”)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2015.</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December 31, 2015 consolidated balance sheet data was derived from audited financial statements, but does not include all disclosures required by GAAP.</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On January 13, 2016, Ultralife UK Limited (the “Merger Subsidiary”), a U.K. corporation and a wholly-owned subsidiary of Ultralife Corporation (the “Company”), completed the acquisition of all of the outstanding ordinary shares of Accutronics Limited (“Accutronics”), a U.K. corporation based in Newcastle-under-Lyme, U.K., from Intrinsic Equity Limited, Catapult Growth Fund Limited Partnership, MJF Pension Trustees Limited, Robert Andrew Phillips and Michael Allen (collectively, the “Sellers”). There are no material relationships between the Company or Merger Subsidiary and any of the Sellers, other than pertaining to this acquisition. Accutronics is a leading independent designer and manufacturer of smart batteries and charger systems for high-performance, feature-laden portable and handheld electronic devices and is classified in the Battery &amp; Energy Products segment. The acquisition of Accutronics advances our strategy of commercial revenue diversification and expands our geographic reach within European OEM’s. With industry experts predicting mid-to-high single digit growth in the global medical batteries market, this strategic investment positions Ultralife well for further penetration of and growing revenue streams from an attractive commercial market.</w:t>
      </w:r>
    </w:p>
    <w:p>
      <w:pPr>
        <w:spacing w:after="0" w:line="2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acquisition was completed pursuant to the terms of the Share Purchase Agreement dated January 13, 2016 by and among the Merger Subsidiary and the Sellers. The Merger Subsidiary paid at the time of closing an aggregate purchase price of £7,575 ($10,976) in cash, and in exchange the Merger Subsidiary received all of the outstanding shares of Accutronics ordinary stock. Monies to fund the purchase price were advanced to the Merger Subsidiary from the Company’s general corporate funds.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price was subject to adjustment based on the difference between actual and estimated amounts of working capital of Accutronics as well as the amount of net cash of Accutronics. The adjustment resulted in a final payment to the Sellers in the amount of £133 on February 24, 2016, bringing the total aggregate purchase price to £7,708 ($11,161).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ind w:firstLine="324"/>
        <w:spacing w:after="0" w:line="259" w:lineRule="auto"/>
        <w:rPr>
          <w:sz w:val="20"/>
          <w:szCs w:val="20"/>
          <w:color w:val="auto"/>
        </w:rPr>
      </w:pPr>
      <w:r>
        <w:rPr>
          <w:rFonts w:ascii="Arial" w:cs="Arial" w:eastAsia="Arial" w:hAnsi="Arial"/>
          <w:sz w:val="18"/>
          <w:szCs w:val="18"/>
          <w:color w:val="auto"/>
        </w:rPr>
        <w:t xml:space="preserve">The purchase price allocation was determined in accordance with the accounting treatment of a business combination in Financial Accounting Standards Board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Under the guidance, the fair value of the consideration was determined and the assets acquired and liabilities assumed have been recorded at their fair values at the date of the acquisition. The excess of the consideration paid over the estimated fair values has been recorded as goodwill.</w:t>
      </w:r>
    </w:p>
    <w:p>
      <w:pPr>
        <w:spacing w:after="0" w:line="18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allocation of purchase price to the assets acquired and liabilities assumed at the date of the acquisition is presented in the table below (in thousands). Management is responsible for determining the fair value of the tangible and intangible assets acquired and liabilities assumed as of the date of acquisition. Management considered a number of factors, including reference to an analysis performed under FASB ASC Topic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occur. The resulting purchase price allocation is considered preliminary as it is subject to change due to events in the future and subject to audit by the Company’s independent registered accountants. The final audited purchase price allocation may include (1) changes in allocations to intangible assets such as customer contracts and relationships, trade name and intellectual property as well as goodwill, (2) changes to deferred income taxes and (3) other changes to assets and liabilities.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1,304</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1,344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2,167</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Prepaids and Other Current Assets</w:t>
            </w: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4,776</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4,116</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Income Taxes Payable</w:t>
            </w: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on Intangible Assets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r>
      <w:tr>
        <w:trPr>
          <w:trHeight w:val="210"/>
        </w:trPr>
        <w:tc>
          <w:tcPr>
            <w:tcW w:w="74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11,161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goodwill included in the Company’s purchase price allocation presented above represents the value of Accutronics assembled and trained workforce, the incremental value that Accutronics engineering and technology will bring to the Company and the revenue growth expected to occur over time attributable to increased market penetration from future new products and customers. The goodwill acquired in connection with the acquisition is not deductible for income tax purposes.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six-month period ended June 26, 2016, direct acquisition costs of $251 and increased cost of sales related to purchase accounting adjustments of $96 for inventory acquired were recorded in the Company’s Consolidated Statement of Income and Comprehensive Income. Accutronics contributed revenue of $5,033 and an operating loss of $210 during the six-month period ended June 26, 2016, reflecting the purchase accounting adjustments and non-recurring costs directly related to the acquisition.</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unaudited pro forma information presents the combined results of operations as if the acquisition of Accutronics had been completed on January 1, 2015, the beginning of the comparable prior year six-month period. The unaudited pro forma results include purchase accounting adjustments to reflect the restatement of inventory to estimated fair value and the resulting increase in cost of sales for the sale of the inventory during this six-month period, direct acquisition costs and the amortization of intangible assets resulting from the purchase price allocation.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ind w:firstLine="324"/>
        <w:spacing w:after="0" w:line="257" w:lineRule="auto"/>
        <w:rPr>
          <w:sz w:val="20"/>
          <w:szCs w:val="20"/>
          <w:color w:val="auto"/>
        </w:rPr>
      </w:pPr>
      <w:r>
        <w:rPr>
          <w:rFonts w:ascii="Arial" w:cs="Arial" w:eastAsia="Arial" w:hAnsi="Arial"/>
          <w:sz w:val="18"/>
          <w:szCs w:val="18"/>
          <w:color w:val="auto"/>
        </w:rPr>
        <w:t>The unaudited pro forma results do not reflect the realization of any expected cost savings or other synergies from the acquisition of Accutronics as a result of restructuring activities, other cost savings initiatives or sales synergies following the completion of the business combination. Accordingly, these unaudited pro forma results are presented for informational purposes only and not necessarily indicative of what the actual results of operations of the combined Company would have been if the acquisition had occurred at the beginning of the 2015 period presented, nor are they indicative of future results of operations.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Set forth below is the unaudited pro forma results of the Company and Accutronics for the six-month period ended June 28, 2015 as if the acquisition occurred as of January 1, 2015 along with the reported results for the six-month period ended June 26, 2016 which includes the consolidation of Accutronics (in thousands, except per share amounts).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5"/>
          </w:tcPr>
          <w:p>
            <w:pPr>
              <w:jc w:val="right"/>
              <w:ind w:right="1320"/>
              <w:spacing w:after="0"/>
              <w:rPr>
                <w:sz w:val="20"/>
                <w:szCs w:val="20"/>
                <w:color w:val="auto"/>
              </w:rPr>
            </w:pPr>
            <w:r>
              <w:rPr>
                <w:rFonts w:ascii="Arial" w:cs="Arial" w:eastAsia="Arial" w:hAnsi="Arial"/>
                <w:sz w:val="18"/>
                <w:szCs w:val="18"/>
                <w:color w:val="auto"/>
              </w:rPr>
              <w:t>Six Months</w:t>
            </w:r>
          </w:p>
        </w:tc>
      </w:tr>
      <w:tr>
        <w:trPr>
          <w:trHeight w:val="230"/>
        </w:trPr>
        <w:tc>
          <w:tcPr>
            <w:tcW w:w="3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June 28, 2015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26, 2016</w:t>
            </w:r>
          </w:p>
        </w:tc>
        <w:tc>
          <w:tcPr>
            <w:tcW w:w="80" w:type="dxa"/>
            <w:vAlign w:val="bottom"/>
          </w:tcPr>
          <w:p>
            <w:pPr>
              <w:spacing w:after="0"/>
              <w:rPr>
                <w:sz w:val="20"/>
                <w:szCs w:val="20"/>
                <w:color w:val="auto"/>
              </w:rPr>
            </w:pPr>
          </w:p>
        </w:tc>
      </w:tr>
      <w:tr>
        <w:trPr>
          <w:trHeight w:val="210"/>
        </w:trPr>
        <w:tc>
          <w:tcPr>
            <w:tcW w:w="3600" w:type="dxa"/>
            <w:vAlign w:val="bottom"/>
          </w:tcPr>
          <w:p>
            <w:pPr>
              <w:spacing w:after="0"/>
              <w:rPr>
                <w:sz w:val="18"/>
                <w:szCs w:val="18"/>
                <w:color w:val="auto"/>
              </w:rPr>
            </w:pPr>
          </w:p>
        </w:tc>
        <w:tc>
          <w:tcPr>
            <w:tcW w:w="234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41,204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Operating Income</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1,789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981</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Earnings Per Share: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r>
      <w:tr>
        <w:trPr>
          <w:trHeight w:val="230"/>
        </w:trPr>
        <w:tc>
          <w:tcPr>
            <w:tcW w:w="3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and under which the Company was authorized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 The Share Repurchase Program expired on June 2, 2016 and did not obligate the Company to repurchase any specific number of shares.</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and six month period ended June 26, 2016, the Company repurchased 149,904 shares under this program for a total cost (excluding fees and commissions) of $603. During the six month period ended June 28, 2015, the Company repurchased 1,476,855 shares under this program for a total cost (excluding fees and commissions) of $5,805.</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the inception of the Share Repurchase Program on May 1, 2014 through its expiration on June 2, 2016, the Company repurchased 2,592,095 shares for an aggregate cost (excluding fees and commissions) of $10,480.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Inventories are stated at the lower of cost or market with cost determined under the first-in, first-out (FIFO) method. The composition of net inventories was: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26,</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480" w:type="dxa"/>
            <w:vAlign w:val="bottom"/>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26,553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23,814</w:t>
            </w:r>
          </w:p>
        </w:tc>
      </w:tr>
      <w:tr>
        <w:trPr>
          <w:trHeight w:val="20"/>
        </w:trPr>
        <w:tc>
          <w:tcPr>
            <w:tcW w:w="7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EQUIPMENT AND IMPROVEMENTS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Major classes of property, equipment and improvements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June 26,</w:t>
            </w:r>
          </w:p>
        </w:tc>
        <w:tc>
          <w:tcPr>
            <w:tcW w:w="200" w:type="dxa"/>
            <w:vAlign w:val="bottom"/>
          </w:tcPr>
          <w:p>
            <w:pPr>
              <w:spacing w:after="0"/>
              <w:rPr>
                <w:sz w:val="18"/>
                <w:szCs w:val="18"/>
                <w:color w:val="auto"/>
              </w:rPr>
            </w:pPr>
          </w:p>
        </w:tc>
        <w:tc>
          <w:tcPr>
            <w:tcW w:w="1680" w:type="dxa"/>
            <w:vAlign w:val="bottom"/>
            <w:gridSpan w:val="7"/>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49,940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65,362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64,526</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Less-Accumulated Depreciation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(56,504)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3"/>
        </w:trPr>
        <w:tc>
          <w:tcPr>
            <w:tcW w:w="6220" w:type="dxa"/>
            <w:vAlign w:val="bottom"/>
            <w:gridSpan w:val="3"/>
          </w:tcPr>
          <w:p>
            <w:pPr>
              <w:jc w:val="right"/>
              <w:ind w:right="65"/>
              <w:spacing w:after="0"/>
              <w:rPr>
                <w:sz w:val="20"/>
                <w:szCs w:val="20"/>
                <w:color w:val="auto"/>
              </w:rPr>
            </w:pPr>
            <w:r>
              <w:rPr>
                <w:rFonts w:ascii="Arial" w:cs="Arial" w:eastAsia="Arial" w:hAnsi="Arial"/>
                <w:sz w:val="18"/>
                <w:szCs w:val="18"/>
                <w:color w:val="auto"/>
                <w:w w:val="94"/>
              </w:rPr>
              <w:t>Depreciation expense for property, equipment and improvements was as follows: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60" w:type="dxa"/>
            <w:vAlign w:val="bottom"/>
          </w:tcPr>
          <w:p>
            <w:pPr>
              <w:spacing w:after="0"/>
              <w:rPr>
                <w:sz w:val="24"/>
                <w:szCs w:val="24"/>
                <w:color w:val="auto"/>
              </w:rPr>
            </w:pPr>
          </w:p>
        </w:tc>
        <w:tc>
          <w:tcPr>
            <w:tcW w:w="2600" w:type="dxa"/>
            <w:vAlign w:val="bottom"/>
            <w:gridSpan w:val="10"/>
          </w:tcPr>
          <w:p>
            <w:pPr>
              <w:ind w:left="280"/>
              <w:spacing w:after="0"/>
              <w:rPr>
                <w:sz w:val="20"/>
                <w:szCs w:val="20"/>
                <w:color w:val="auto"/>
              </w:rPr>
            </w:pPr>
            <w:r>
              <w:rPr>
                <w:rFonts w:ascii="Arial" w:cs="Arial" w:eastAsia="Arial" w:hAnsi="Arial"/>
                <w:sz w:val="18"/>
                <w:szCs w:val="18"/>
                <w:b w:val="1"/>
                <w:bCs w:val="1"/>
                <w:color w:val="auto"/>
              </w:rPr>
              <w:t>Six-month periods ended</w:t>
            </w: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26,</w:t>
            </w:r>
          </w:p>
        </w:tc>
        <w:tc>
          <w:tcPr>
            <w:tcW w:w="16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28,</w:t>
            </w:r>
          </w:p>
        </w:tc>
        <w:tc>
          <w:tcPr>
            <w:tcW w:w="60" w:type="dxa"/>
            <w:vAlign w:val="bottom"/>
          </w:tcPr>
          <w:p>
            <w:pPr>
              <w:spacing w:after="0"/>
              <w:rPr>
                <w:sz w:val="18"/>
                <w:szCs w:val="18"/>
                <w:color w:val="auto"/>
              </w:rPr>
            </w:pPr>
          </w:p>
        </w:tc>
        <w:tc>
          <w:tcPr>
            <w:tcW w:w="9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8"/>
              </w:rPr>
              <w:t>June 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b w:val="1"/>
                <w:bCs w:val="1"/>
                <w:color w:val="auto"/>
              </w:rPr>
              <w:t>June 28,</w:t>
            </w: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9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84"/>
              </w:rPr>
              <w:t>1,165</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right="6060" w:hanging="332"/>
        <w:spacing w:after="0" w:line="501" w:lineRule="auto"/>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GOODWILL, INTANGIBLE ASSETS AND LONG TERM ASSETS </w:t>
      </w:r>
      <w:r>
        <w:rPr>
          <w:rFonts w:ascii="Arial" w:cs="Arial" w:eastAsia="Arial" w:hAnsi="Arial"/>
          <w:sz w:val="18"/>
          <w:szCs w:val="18"/>
          <w:color w:val="auto"/>
        </w:rPr>
        <w:t>a. Goodwill</w:t>
      </w:r>
    </w:p>
    <w:p>
      <w:pPr>
        <w:ind w:left="260"/>
        <w:spacing w:after="0"/>
        <w:rPr>
          <w:sz w:val="20"/>
          <w:szCs w:val="20"/>
          <w:color w:val="auto"/>
        </w:rPr>
      </w:pPr>
      <w:r>
        <w:rPr>
          <w:rFonts w:ascii="Arial" w:cs="Arial" w:eastAsia="Arial" w:hAnsi="Arial"/>
          <w:sz w:val="18"/>
          <w:szCs w:val="18"/>
          <w:color w:val="auto"/>
        </w:rPr>
        <w:t>The following table summarizes the goodwill activity by segment for the six-month periods ended June 26, 2016 and June 28,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Battery &amp;</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Communi-</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Energy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cations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Products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28, 2015</w:t>
            </w:r>
          </w:p>
        </w:tc>
        <w:tc>
          <w:tcPr>
            <w:tcW w:w="1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16,427</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1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Acquisition of Accutronics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4,116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4,116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Balance – June 26, 2016</w:t>
            </w:r>
          </w:p>
        </w:tc>
        <w:tc>
          <w:tcPr>
            <w:tcW w:w="16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8,682</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20,175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0" w:type="dxa"/>
            <w:vAlign w:val="bottom"/>
            <w:vMerge w:val="restart"/>
          </w:tcPr>
          <w:p>
            <w:pPr>
              <w:jc w:val="right"/>
              <w:ind w:right="23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 w:type="dxa"/>
            <w:vAlign w:val="bottom"/>
            <w:shd w:val="clear" w:color="auto" w:fill="808080"/>
          </w:tcPr>
          <w:p>
            <w:pPr>
              <w:spacing w:after="0"/>
              <w:rPr>
                <w:sz w:val="5"/>
                <w:szCs w:val="5"/>
                <w:color w:val="auto"/>
              </w:rPr>
            </w:pPr>
          </w:p>
        </w:tc>
        <w:tc>
          <w:tcPr>
            <w:tcW w:w="414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b. Intangible Assets</w:t>
      </w: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The composition of intangible assets was: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56"/>
        </w:trPr>
        <w:tc>
          <w:tcPr>
            <w:tcW w:w="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9"/>
              </w:rPr>
              <w:t>at June 26, 2016</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w:t>
            </w:r>
          </w:p>
        </w:tc>
      </w:tr>
      <w:tr>
        <w:trPr>
          <w:trHeight w:val="216"/>
        </w:trPr>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Patents and Technology</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4,327</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1,234</w:t>
            </w:r>
          </w:p>
        </w:tc>
      </w:tr>
      <w:tr>
        <w:trPr>
          <w:trHeight w:val="216"/>
        </w:trPr>
        <w:tc>
          <w:tcPr>
            <w:tcW w:w="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3,878</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w:t>
            </w:r>
          </w:p>
        </w:tc>
      </w:tr>
      <w:tr>
        <w:trPr>
          <w:trHeight w:val="216"/>
        </w:trPr>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8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16,789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8,588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8,201</w:t>
            </w:r>
          </w:p>
        </w:tc>
      </w:tr>
      <w:tr>
        <w:trPr>
          <w:trHeight w:val="20"/>
        </w:trPr>
        <w:tc>
          <w:tcPr>
            <w:tcW w:w="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Trademarks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Patents and Technology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Relationships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Distributor Relationships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for intangible assets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Amortization Included In: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6"/>
              </w:rPr>
              <w:t>at December 31, 2015</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Amortization</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20" w:type="dxa"/>
            <w:vAlign w:val="bottom"/>
          </w:tcPr>
          <w:p>
            <w:pPr>
              <w:spacing w:after="0"/>
              <w:rPr>
                <w:sz w:val="20"/>
                <w:szCs w:val="20"/>
                <w:color w:val="auto"/>
              </w:rPr>
            </w:pPr>
          </w:p>
        </w:tc>
      </w:tr>
      <w:tr>
        <w:trPr>
          <w:trHeight w:val="411"/>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3,411</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3,411</w:t>
            </w:r>
          </w:p>
        </w:tc>
      </w:tr>
      <w:tr>
        <w:trPr>
          <w:trHeight w:val="216"/>
        </w:trPr>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4,217</w:t>
            </w:r>
          </w:p>
        </w:tc>
        <w:tc>
          <w:tcPr>
            <w:tcW w:w="3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r>
      <w:tr>
        <w:trPr>
          <w:trHeight w:val="216"/>
        </w:trPr>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3,716</w:t>
            </w:r>
          </w:p>
        </w:tc>
        <w:tc>
          <w:tcPr>
            <w:tcW w:w="3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r>
      <w:tr>
        <w:trPr>
          <w:trHeight w:val="230"/>
        </w:trPr>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0"/>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-719455</wp:posOffset>
            </wp:positionV>
            <wp:extent cx="68776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-445135</wp:posOffset>
            </wp:positionV>
            <wp:extent cx="68776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-162560</wp:posOffset>
            </wp:positionV>
            <wp:extent cx="687768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gridSpan w:val="5"/>
          </w:tcPr>
          <w:p>
            <w:pPr>
              <w:jc w:val="right"/>
              <w:spacing w:after="0"/>
              <w:rPr>
                <w:sz w:val="20"/>
                <w:szCs w:val="20"/>
                <w:color w:val="auto"/>
              </w:rPr>
            </w:pPr>
            <w:r>
              <w:rPr>
                <w:rFonts w:ascii="Arial" w:cs="Arial" w:eastAsia="Arial" w:hAnsi="Arial"/>
                <w:sz w:val="18"/>
                <w:szCs w:val="18"/>
                <w:b w:val="1"/>
                <w:bCs w:val="1"/>
                <w:color w:val="auto"/>
                <w:w w:val="96"/>
              </w:rPr>
              <w:t>Three-month periods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w w:val="92"/>
              </w:rPr>
              <w:t>Six-month periods ended</w:t>
            </w:r>
          </w:p>
        </w:tc>
      </w:tr>
      <w:tr>
        <w:trPr>
          <w:trHeight w:val="216"/>
        </w:trPr>
        <w:tc>
          <w:tcPr>
            <w:tcW w:w="940" w:type="dxa"/>
            <w:vAlign w:val="bottom"/>
          </w:tcPr>
          <w:p>
            <w:pPr>
              <w:jc w:val="center"/>
              <w:ind w:left="134"/>
              <w:spacing w:after="0"/>
              <w:rPr>
                <w:sz w:val="20"/>
                <w:szCs w:val="20"/>
                <w:color w:val="auto"/>
              </w:rPr>
            </w:pPr>
            <w:r>
              <w:rPr>
                <w:rFonts w:ascii="Arial" w:cs="Arial" w:eastAsia="Arial" w:hAnsi="Arial"/>
                <w:sz w:val="18"/>
                <w:szCs w:val="18"/>
                <w:b w:val="1"/>
                <w:bCs w:val="1"/>
                <w:color w:val="auto"/>
                <w:w w:val="88"/>
              </w:rPr>
              <w:t>June 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88"/>
              </w:rPr>
              <w:t>June 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June 28,</w:t>
            </w:r>
          </w:p>
        </w:tc>
      </w:tr>
      <w:tr>
        <w:trPr>
          <w:trHeight w:val="234"/>
        </w:trPr>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r>
      <w:tr>
        <w:trPr>
          <w:trHeight w:val="424"/>
        </w:trPr>
        <w:tc>
          <w:tcPr>
            <w:tcW w:w="940" w:type="dxa"/>
            <w:vAlign w:val="bottom"/>
          </w:tcPr>
          <w:p>
            <w:pPr>
              <w:jc w:val="right"/>
              <w:ind w:right="774"/>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52</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-272415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5360" w:space="720"/>
            <w:col w:w="534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0"/>
        </w:trPr>
        <w:tc>
          <w:tcPr>
            <w:tcW w:w="60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 Amortization Expense</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0"/>
        </w:trPr>
        <w:tc>
          <w:tcPr>
            <w:tcW w:w="60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cost value of total intangible assets from December 31, 2015 to June 26, 2016 is a result of the acquisition of Accutronics and the effect of foreign currency translations.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financing through a Revolving Credit, Guaranty and Security Agreement (the “Credit Agreement”) and related security agreements with PNC Bank, National Association (“PNC Bank”), which provides a $20,000 secured asset-based revolving credit facility that includes a $1,000 letter of credit sub-facility (the “Credit Facility”). The Credit Agreement provides that the Credit Facility may be increased with PNC Bank’s concurrence to an amount not to exceed $35,000 prior to the last six months of the term and expires on May 24,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0" w:name="page11"/>
    <w:bookmarkEnd w:id="10"/>
    <w:p>
      <w:pPr>
        <w:jc w:val="both"/>
        <w:ind w:right="60" w:firstLine="324"/>
        <w:spacing w:after="0" w:line="259" w:lineRule="auto"/>
        <w:rPr>
          <w:sz w:val="20"/>
          <w:szCs w:val="20"/>
          <w:color w:val="auto"/>
        </w:rPr>
      </w:pPr>
      <w:r>
        <w:rPr>
          <w:rFonts w:ascii="Arial" w:cs="Arial" w:eastAsia="Arial" w:hAnsi="Arial"/>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The applicable interest rate was 2.45% at June 26, 2016. We pay a quarterly fee on the Credit Facility’s unused availability at 0.375% per annum.</w:t>
      </w:r>
    </w:p>
    <w:p>
      <w:pPr>
        <w:spacing w:after="0" w:line="187" w:lineRule="exact"/>
        <w:rPr>
          <w:sz w:val="20"/>
          <w:szCs w:val="20"/>
          <w:color w:val="auto"/>
        </w:rPr>
      </w:pPr>
    </w:p>
    <w:p>
      <w:pPr>
        <w:jc w:val="both"/>
        <w:ind w:right="60" w:firstLine="324"/>
        <w:spacing w:after="0" w:line="308" w:lineRule="auto"/>
        <w:rPr>
          <w:sz w:val="20"/>
          <w:szCs w:val="20"/>
          <w:color w:val="auto"/>
        </w:rPr>
      </w:pPr>
      <w:r>
        <w:rPr>
          <w:rFonts w:ascii="Arial" w:cs="Arial" w:eastAsia="Arial" w:hAnsi="Arial"/>
          <w:sz w:val="17"/>
          <w:szCs w:val="17"/>
          <w:color w:val="auto"/>
        </w:rPr>
        <w:t>As of June 26, 2016, we had approximately $11,021 of borrowing capacity under our $20,000 Credit Facility with PNC Bank, and we had borrowings of $831 under the Credit Facility. At June 28, 2015, the Company had no borrowings or outstanding letters of credit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SHAREHOLDERS’ EQUITY</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We recorded non-cash stock compensation expense in each period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180" w:type="dxa"/>
            <w:vAlign w:val="bottom"/>
          </w:tcPr>
          <w:p>
            <w:pPr>
              <w:spacing w:after="0"/>
              <w:rPr>
                <w:sz w:val="18"/>
                <w:szCs w:val="18"/>
                <w:color w:val="auto"/>
              </w:rPr>
            </w:pPr>
          </w:p>
        </w:tc>
        <w:tc>
          <w:tcPr>
            <w:tcW w:w="242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Six-month periods ended</w:t>
            </w: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28,</w:t>
            </w: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26,</w:t>
            </w: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28,</w:t>
            </w:r>
          </w:p>
        </w:tc>
      </w:tr>
      <w:tr>
        <w:trPr>
          <w:trHeight w:val="234"/>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are more fully discussed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Stock Options</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June 26, 2016, there was $824 of total unrecognized compensation cost related to outstanding stock options, which is expected to be recognized over a weighted average period of 1.4 years.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six-month period ended June 26,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ind w:left="235"/>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6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980" w:type="dxa"/>
            <w:vAlign w:val="bottom"/>
          </w:tcPr>
          <w:p>
            <w:pPr>
              <w:jc w:val="center"/>
              <w:ind w:left="215"/>
              <w:spacing w:after="0"/>
              <w:rPr>
                <w:sz w:val="20"/>
                <w:szCs w:val="20"/>
                <w:color w:val="auto"/>
              </w:rPr>
            </w:pPr>
            <w:r>
              <w:rPr>
                <w:rFonts w:ascii="Arial" w:cs="Arial" w:eastAsia="Arial" w:hAnsi="Arial"/>
                <w:sz w:val="18"/>
                <w:szCs w:val="18"/>
                <w:b w:val="1"/>
                <w:bCs w:val="1"/>
                <w:color w:val="auto"/>
                <w:w w:val="86"/>
              </w:rPr>
              <w:t>Exercise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6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980" w:type="dxa"/>
            <w:vAlign w:val="bottom"/>
          </w:tcPr>
          <w:p>
            <w:pPr>
              <w:jc w:val="center"/>
              <w:ind w:left="215"/>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180" w:type="dxa"/>
            <w:vAlign w:val="bottom"/>
          </w:tcPr>
          <w:p>
            <w:pPr>
              <w:spacing w:after="0"/>
              <w:rPr>
                <w:sz w:val="20"/>
                <w:szCs w:val="20"/>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6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2,257,969</w:t>
            </w: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6.30</w:t>
            </w:r>
          </w:p>
        </w:tc>
        <w:tc>
          <w:tcPr>
            <w:tcW w:w="2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348,500</w:t>
            </w:r>
          </w:p>
        </w:tc>
        <w:tc>
          <w:tcPr>
            <w:tcW w:w="9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4.71</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(19,741)</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3.82</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Forfeited or Expired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(46,069)</w:t>
            </w:r>
          </w:p>
        </w:tc>
        <w:tc>
          <w:tcPr>
            <w:tcW w:w="9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9.54</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26, 2016</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2,540,659</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6.04</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197"/>
        </w:trPr>
        <w:tc>
          <w:tcPr>
            <w:tcW w:w="554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Vested and Expected to Vest at June 26, 2016</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2,371,248</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85"/>
              </w:rPr>
              <w:t>6.14</w:t>
            </w:r>
          </w:p>
        </w:tc>
        <w:tc>
          <w:tcPr>
            <w:tcW w:w="15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3.52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1,063</w:t>
            </w:r>
          </w:p>
        </w:tc>
        <w:tc>
          <w:tcPr>
            <w:tcW w:w="20" w:type="dxa"/>
            <w:vAlign w:val="bottom"/>
          </w:tcPr>
          <w:p>
            <w:pPr>
              <w:spacing w:after="0"/>
              <w:rPr>
                <w:sz w:val="17"/>
                <w:szCs w:val="17"/>
                <w:color w:val="auto"/>
              </w:rPr>
            </w:pPr>
          </w:p>
        </w:tc>
      </w:tr>
      <w:tr>
        <w:trPr>
          <w:trHeight w:val="20"/>
        </w:trPr>
        <w:tc>
          <w:tcPr>
            <w:tcW w:w="5540" w:type="dxa"/>
            <w:vAlign w:val="bottom"/>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4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June 26, 2016</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1,391,598</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w w:val="85"/>
              </w:rPr>
              <w:t>4.89</w:t>
            </w:r>
          </w:p>
        </w:tc>
        <w:tc>
          <w:tcPr>
            <w:tcW w:w="150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2.39</w:t>
            </w: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724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656"/>
        </w:trPr>
        <w:tc>
          <w:tcPr>
            <w:tcW w:w="6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300" w:type="dxa"/>
            <w:vAlign w:val="bottom"/>
          </w:tcPr>
          <w:p>
            <w:pPr>
              <w:jc w:val="right"/>
              <w:ind w:right="95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6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660" w:type="dxa"/>
            <w:vAlign w:val="bottom"/>
            <w:shd w:val="clear" w:color="auto" w:fill="808080"/>
          </w:tcPr>
          <w:p>
            <w:pPr>
              <w:spacing w:after="0"/>
              <w:rPr>
                <w:sz w:val="5"/>
                <w:szCs w:val="5"/>
                <w:color w:val="auto"/>
              </w:rPr>
            </w:pPr>
          </w:p>
        </w:tc>
        <w:tc>
          <w:tcPr>
            <w:tcW w:w="48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480"/>
          </w:cols>
          <w:pgMar w:left="240" w:top="584" w:right="179" w:bottom="1440" w:gutter="0" w:footer="0" w:header="0"/>
        </w:sectPr>
      </w:pPr>
    </w:p>
    <w:bookmarkStart w:id="11" w:name="page12"/>
    <w:bookmarkEnd w:id="11"/>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w w:val="97"/>
              </w:rPr>
              <w:t>The following assumptions were used to value stock options granted during the six months ended June 26, 2016:</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 w:type="dxa"/>
            <w:vAlign w:val="bottom"/>
            <w:vMerge w:val="restart"/>
          </w:tcPr>
          <w:p>
            <w:pPr>
              <w:spacing w:after="0"/>
              <w:rPr>
                <w:sz w:val="23"/>
                <w:szCs w:val="23"/>
                <w:color w:val="auto"/>
              </w:rPr>
            </w:pPr>
          </w:p>
        </w:tc>
        <w:tc>
          <w:tcPr>
            <w:tcW w:w="8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Volatility Factor</w:t>
            </w:r>
          </w:p>
        </w:tc>
        <w:tc>
          <w:tcPr>
            <w:tcW w:w="1240" w:type="dxa"/>
            <w:vAlign w:val="bottom"/>
          </w:tcPr>
          <w:p>
            <w:pPr>
              <w:jc w:val="right"/>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Weighted Average Expected Life (Years)</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grant date fair value of options granted during the six months ended June 26, 2016 was $2.01.</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six months of 2016 or 2015.</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June 26, 2016 and June 28, 2015 was $61 and $0, respectively. Cash received from stock option exercises for the six-month periods ended June 26, 2016 and June 28, 2015 was $75 and $8,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Restricted Stock Awards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September 2014, 49,200 shares of restricted stock were awarded to certain of our employees. These units vest over three years and we estimated their weighted average grant date fair value to be $3.24 per share. There is $27 of unrecognized compensation cost related to these restricted shares at June 26, 2016.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the asset and liability method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324"/>
        <w:spacing w:after="0" w:line="342" w:lineRule="auto"/>
        <w:rPr>
          <w:sz w:val="20"/>
          <w:szCs w:val="20"/>
          <w:color w:val="auto"/>
        </w:rPr>
      </w:pPr>
      <w:r>
        <w:rPr>
          <w:rFonts w:ascii="Arial" w:cs="Arial" w:eastAsia="Arial" w:hAnsi="Arial"/>
          <w:sz w:val="16"/>
          <w:szCs w:val="16"/>
          <w:color w:val="auto"/>
        </w:rPr>
        <w:t>For the three-month periods ended June 26, 2016 and June 28, 2015, we recorded $33 and $71, respectively, in income tax expense. For the six-month periods ended June 26, 2016 and June 28, 2015, we recorded $121 and $182, respectively, in income tax expense. These are detailed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b w:val="1"/>
                <w:bCs w:val="1"/>
                <w:color w:val="auto"/>
                <w:w w:val="96"/>
              </w:rPr>
              <w:t>Three-month periods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Six-month periods ended</w:t>
            </w:r>
          </w:p>
        </w:tc>
      </w:tr>
      <w:tr>
        <w:trPr>
          <w:trHeight w:val="216"/>
        </w:trPr>
        <w:tc>
          <w:tcPr>
            <w:tcW w:w="60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June 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June 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28,</w:t>
            </w:r>
          </w:p>
        </w:tc>
      </w:tr>
      <w:tr>
        <w:trPr>
          <w:trHeight w:val="234"/>
        </w:trPr>
        <w:tc>
          <w:tcPr>
            <w:tcW w:w="6080" w:type="dxa"/>
            <w:vAlign w:val="bottom"/>
          </w:tcPr>
          <w:p>
            <w:pPr>
              <w:spacing w:after="0"/>
              <w:rPr>
                <w:sz w:val="20"/>
                <w:szCs w:val="20"/>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900" w:type="dxa"/>
            <w:vAlign w:val="bottom"/>
          </w:tcPr>
          <w:p>
            <w:pPr>
              <w:jc w:val="right"/>
              <w:ind w:right="736"/>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(41)</w:t>
            </w: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State</w:t>
            </w:r>
          </w:p>
        </w:tc>
        <w:tc>
          <w:tcPr>
            <w:tcW w:w="9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Provision</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0"/>
        </w:trPr>
        <w:tc>
          <w:tcPr>
            <w:tcW w:w="60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36"/>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71</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0"/>
        </w:trPr>
        <w:tc>
          <w:tcPr>
            <w:tcW w:w="6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deferred income tax provision is primarily due to the recognition of deferred tax liabilities relating to goodwill and certain intangible assets that cannot be predicted to reverse for book purposes during our loss carryforward periods. The current income tax provision is primarily due to the income reported for our China operation and Accutronics (U.K.) and estimated U.S. federal alternative minimum taxes, while the remaining expense is primarily due to state taxes.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effective consolidated tax rates for the six-month periods ended June 26, 2016 and June 28, 2015 were: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Six month periods ended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June 26,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June 28,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860" w:type="dxa"/>
            <w:vAlign w:val="bottom"/>
          </w:tcPr>
          <w:p>
            <w:pPr>
              <w:spacing w:after="0"/>
              <w:rPr>
                <w:sz w:val="18"/>
                <w:szCs w:val="18"/>
                <w:color w:val="auto"/>
              </w:rPr>
            </w:pPr>
          </w:p>
        </w:tc>
        <w:tc>
          <w:tcPr>
            <w:tcW w:w="364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w:t>
            </w:r>
          </w:p>
        </w:tc>
        <w:tc>
          <w:tcPr>
            <w:tcW w:w="364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844</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1,479</w:t>
            </w:r>
          </w:p>
        </w:tc>
      </w:tr>
      <w:tr>
        <w:trPr>
          <w:trHeight w:val="216"/>
        </w:trPr>
        <w:tc>
          <w:tcPr>
            <w:tcW w:w="4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w:t>
            </w:r>
          </w:p>
        </w:tc>
        <w:tc>
          <w:tcPr>
            <w:tcW w:w="2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r>
      <w:tr>
        <w:trPr>
          <w:trHeight w:val="216"/>
        </w:trPr>
        <w:tc>
          <w:tcPr>
            <w:tcW w:w="4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 (b/a)</w:t>
            </w:r>
          </w:p>
        </w:tc>
        <w:tc>
          <w:tcPr>
            <w:tcW w:w="2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overall effective tax rate is the result of the combination of income and losses in each of our tax jurisdictions, which is particularly influenced by the fact that we have recorded a full reserve against our deferred tax assets pertaining to cumulative historical losses for our U.S. operations and certain foreign subsidiaries, as management does not believe, at this time, that it is more likely than not that we will realize the benefit of these losses.</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2015, we have foreign and domestic net operating loss (“NOL”) and credit carryforwards totaling approximately $86,800 and $1,600, respectively, available to reduce future taxable income. Included in our NOL carryforwards are foreign loss carryforwards of approximately $12,400 that can be carried forward indefinitely. The domestic NOL carryforward of $74,400 expires from 2019 through 2034. The domestic NOL carryforward includes approximately $3,000 for which a benefit will be recorded in capital in excess of par value when realized.</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unrecognized tax benefits related to uncertain tax positions at March 29, 2015 and June 28, 2015 in the amount of $7,296 and $518, respectively, relate to Federal and various state jurisdictions. We recorded the release of uncertain tax positions in 2015 relating to the conclusion of a federal tax examination, resulting in a $21,400 increase in the amount of our reported domestic NOL carryforward.</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both"/>
        <w:ind w:firstLine="324"/>
        <w:spacing w:after="0" w:line="302" w:lineRule="auto"/>
        <w:rPr>
          <w:sz w:val="20"/>
          <w:szCs w:val="20"/>
          <w:color w:val="auto"/>
        </w:rPr>
      </w:pPr>
      <w:r>
        <w:rPr>
          <w:rFonts w:ascii="Arial" w:cs="Arial" w:eastAsia="Arial" w:hAnsi="Arial"/>
          <w:sz w:val="16"/>
          <w:szCs w:val="16"/>
          <w:color w:val="auto"/>
        </w:rPr>
        <w:t>The total unrecognized tax benefit balances at March 29, 2015 and June 28, 2015 were comprised of tax benefits that, if recognized, would result in a deferred tax asset and a corresponding increase in our valuation allowance. As a result, because the benefit would be offset by an increase in the valuation allowance, there would be no net effect on our effective tax rate or income tax provision. We recorded the release of this unrecognized tax benefit amount during 2015 upon the conclusion of a federal tax examination, resulting in a $21,400 increase in the amount of our reported domestic NOL carryforward.</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not required to accrue interest and penalties as the unrecognized tax benefits have been recorded as a decrease in our NOL. Interest and penalties would begin to accrue in the period in which the NOLs related to the uncertain tax positions are utilized. We do not expect our unrecognized tax benefits to change significantly over the next twelve months.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2001 through 2015 remain subject to examination by the Internal Revenue Service (“IRS”) and various state and local tax jurisdictions due to our NOL carryforwards. Our U.S. tax matters for the years 2001 through 2015 remain subject to examination by various state and local tax jurisdictions due to our NOL carryforwards. Our foreign tax matters for the years 2009 through 2015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EARNINGS PER SHARE</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June 26, 2016, 1,144,076 stock options and 32,800 restricted stock units were included in the calculation of Diluted EPS as such securities are dilutive. Inclusion of these securities resulted in 160,732 additional shares in the calculation of fully diluted earnings per share. For the comparable three-month period ended June 28, 2015, 358,034 stock options and 34,200 restricted stock units were included in the calculation of Diluted EPS resulting in 39,426 additional shares in the calculation of fully diluted earnings per share. For the six-month periods ended June 26, 2016 and June 28, 2015, 1,177,076 and 257,534 stock options and 32,800 and 34,200 restricted stock units, respectively, were included in the calculation of Diluted EPS as such securities are dilutive. Inclusion of these securities resulted in 255,479 and 31,903 additional shares, respectively, in the calculation of fully diluted earnings per share.</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were 996,583 and 1,904,922 outstanding stock options for the three-month periods ended June 26, 2016 and June 28, 2015, respectively, that were not included in EPS as the effect would be anti-dilutive. There were 963,583 and 2,005,422 outstanding stock options for the six-month periods ended June 26, 2016 and June 28, 2015, respectively, that were not included in EPS as the effect would be anti-dilutive.</w:t>
      </w:r>
    </w:p>
    <w:p>
      <w:pPr>
        <w:spacing w:after="0" w:line="200" w:lineRule="exact"/>
        <w:rPr>
          <w:sz w:val="20"/>
          <w:szCs w:val="20"/>
          <w:color w:val="auto"/>
        </w:rPr>
      </w:pPr>
    </w:p>
    <w:p>
      <w:pPr>
        <w:spacing w:after="0" w:line="39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CONTINGENCIES AND SUBSEQUENT EVENT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Purchase Commitments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26, 2016, we have made commitments to purchase approximately $662 of production machinery and equipment.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six months of 2016 and 2015 were as follows: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Six month periods ended</w:t>
            </w:r>
          </w:p>
        </w:tc>
      </w:tr>
      <w:tr>
        <w:trPr>
          <w:trHeight w:val="234"/>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June 26, 2016</w:t>
            </w: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June 28, 2015</w:t>
            </w: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0"/>
        </w:trPr>
        <w:tc>
          <w:tcPr>
            <w:tcW w:w="7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Accrued Warranty Obligations – Ending</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top w:val="single" w:sz="8" w:color="CCEEFF"/>
            </w:tcBorders>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Contingencies and Legal Matters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this time, we believe that there is not a reasonable possibility that this incident will result in a material financial exposure to the Company.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right="40" w:firstLine="324"/>
        <w:spacing w:after="0" w:line="297" w:lineRule="auto"/>
        <w:rPr>
          <w:sz w:val="20"/>
          <w:szCs w:val="20"/>
          <w:color w:val="auto"/>
        </w:rPr>
      </w:pPr>
      <w:r>
        <w:rPr>
          <w:rFonts w:ascii="Arial" w:cs="Arial" w:eastAsia="Arial" w:hAnsi="Arial"/>
          <w:sz w:val="16"/>
          <w:szCs w:val="16"/>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does not intend to submit a Proof of Claim in connection with Arista’s bankruptcy filing, or otherwise continue pursuing its claims against Arista.</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SEGMENT INFORMATION</w:t>
      </w:r>
    </w:p>
    <w:p>
      <w:pPr>
        <w:spacing w:after="0" w:line="225" w:lineRule="exact"/>
        <w:rPr>
          <w:sz w:val="20"/>
          <w:szCs w:val="20"/>
          <w:color w:val="auto"/>
        </w:rPr>
      </w:pPr>
    </w:p>
    <w:p>
      <w:pPr>
        <w:jc w:val="both"/>
        <w:ind w:right="40" w:firstLine="243"/>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segment performance were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Three-Month Period Ended June 26, 2016:</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4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Communi-</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Segment Contribution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1,236</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(5,401)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Tax Provision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5,334</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83,298</w:t>
            </w:r>
          </w:p>
        </w:tc>
        <w:tc>
          <w:tcPr>
            <w:tcW w:w="40" w:type="dxa"/>
            <w:vAlign w:val="bottom"/>
          </w:tcPr>
          <w:p>
            <w:pPr>
              <w:spacing w:after="0"/>
              <w:rPr>
                <w:sz w:val="18"/>
                <w:szCs w:val="18"/>
                <w:color w:val="auto"/>
              </w:rPr>
            </w:pPr>
          </w:p>
        </w:tc>
      </w:tr>
      <w:tr>
        <w:trPr>
          <w:trHeight w:val="675"/>
        </w:trPr>
        <w:tc>
          <w:tcPr>
            <w:tcW w:w="46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6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68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Three-Month Period Ended June 28, 2015:</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4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Communi-</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Segment Contribution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Tax Provision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17,945</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82,935</w:t>
            </w:r>
          </w:p>
        </w:tc>
        <w:tc>
          <w:tcPr>
            <w:tcW w:w="40" w:type="dxa"/>
            <w:vAlign w:val="bottom"/>
          </w:tcPr>
          <w:p>
            <w:pPr>
              <w:spacing w:after="0"/>
              <w:rPr>
                <w:sz w:val="18"/>
                <w:szCs w:val="18"/>
                <w:color w:val="auto"/>
              </w:rPr>
            </w:pPr>
          </w:p>
        </w:tc>
      </w:tr>
      <w:tr>
        <w:trPr>
          <w:trHeight w:val="1080"/>
        </w:trPr>
        <w:tc>
          <w:tcPr>
            <w:tcW w:w="4680" w:type="dxa"/>
            <w:vAlign w:val="bottom"/>
          </w:tcPr>
          <w:p>
            <w:pPr>
              <w:spacing w:after="0"/>
              <w:rPr>
                <w:sz w:val="20"/>
                <w:szCs w:val="20"/>
                <w:color w:val="auto"/>
              </w:rPr>
            </w:pPr>
            <w:r>
              <w:rPr>
                <w:rFonts w:ascii="Arial" w:cs="Arial" w:eastAsia="Arial" w:hAnsi="Arial"/>
                <w:sz w:val="18"/>
                <w:szCs w:val="18"/>
                <w:b w:val="1"/>
                <w:bCs w:val="1"/>
                <w:color w:val="auto"/>
              </w:rPr>
              <w:t>Six-Month Period Ended June 26, 2016:</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4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Communi-</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Segment Contribution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9,881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2,424</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(11,324)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Tax Provision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40" w:type="dxa"/>
            <w:vAlign w:val="bottom"/>
          </w:tcPr>
          <w:p>
            <w:pPr>
              <w:spacing w:after="0"/>
              <w:rPr>
                <w:sz w:val="20"/>
                <w:szCs w:val="20"/>
                <w:color w:val="auto"/>
              </w:rPr>
            </w:pPr>
          </w:p>
        </w:tc>
      </w:tr>
      <w:tr>
        <w:trPr>
          <w:trHeight w:val="850"/>
        </w:trPr>
        <w:tc>
          <w:tcPr>
            <w:tcW w:w="4680" w:type="dxa"/>
            <w:vAlign w:val="bottom"/>
          </w:tcPr>
          <w:p>
            <w:pPr>
              <w:spacing w:after="0"/>
              <w:rPr>
                <w:sz w:val="20"/>
                <w:szCs w:val="20"/>
                <w:color w:val="auto"/>
              </w:rPr>
            </w:pPr>
            <w:r>
              <w:rPr>
                <w:rFonts w:ascii="Arial" w:cs="Arial" w:eastAsia="Arial" w:hAnsi="Arial"/>
                <w:sz w:val="18"/>
                <w:szCs w:val="18"/>
                <w:b w:val="1"/>
                <w:bCs w:val="1"/>
                <w:color w:val="auto"/>
              </w:rPr>
              <w:t>Six-Month Period Ended June 28, 2015:</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4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Communi-</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Segment Contribution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9,326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2,540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(10,227)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Tax Provision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1,321</w:t>
            </w:r>
          </w:p>
        </w:tc>
        <w:tc>
          <w:tcPr>
            <w:tcW w:w="40" w:type="dxa"/>
            <w:vAlign w:val="bottom"/>
          </w:tcPr>
          <w:p>
            <w:pPr>
              <w:spacing w:after="0"/>
              <w:rPr>
                <w:sz w:val="20"/>
                <w:szCs w:val="20"/>
                <w:color w:val="auto"/>
              </w:rPr>
            </w:pPr>
          </w:p>
        </w:tc>
      </w:tr>
      <w:tr>
        <w:trPr>
          <w:trHeight w:val="661"/>
        </w:trPr>
        <w:tc>
          <w:tcPr>
            <w:tcW w:w="46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6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68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7" w:name="page18"/>
    <w:bookmarkEnd w:id="17"/>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June 26, 2016 and December 31, 2015. The fair value of cash, trade accounts receivable, trade accounts payable and accrued liabilities approximates carrying value due to the short-term nature of these instruments. The fair value of debt approximates the carrying value due to short-term nature and the current ability to borrow under similar terms.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FIRE AT MANUFACTURING FACILITY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2011, we experienced a fire that damaged certain inventory and machinery and equipment at our facility in China. The total amount of the loss pertaining to assets and the related expenses was approximately $1,589. We have pursued a claim against our insurance policy, with the majority of our insurance claim related to the recovery of damaged inventory. We have received payments in June 2012 and April 2013 totaling approximately $1,286 as a partial payment on our insurance claim, which resulted in no gain or loss being recognized. As of June 26, 2016 and December 31, 2015, we reflect a receivable from the insurance company relating to this claim of $177, which is net of our deductible of approximately $126, and represents additional proceeds expected to be received.</w:t>
      </w: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 ACCOUNTING PRONOUNCEMENTS AND DEVELOPMENTS</w:t>
      </w:r>
    </w:p>
    <w:p>
      <w:pPr>
        <w:spacing w:after="0" w:line="2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May 2014, the FASB issued Accounting Standards Update (ASU) 2014-09, “Revenue from Contracts with Customers (Topic 606)”. This ASU amends the existing accounting standards for revenue recognition and is based on the principle that revenue should be recognized to depict the transfer of goods or services to a customer at an amount that reflects the consideration a company expects to receive in exchange for those goods or services. The new revenue standards are effective for fiscal years, and interim periods within those years, beginning after December 15, 2017. The Company is currently evaluating the potential impacts of this new guidance as well as the available transition methods.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2016, the FASB issued ASU 2016-09, “Stock Compensation (Topic 718): Improvements to Employee Share-Based Payment Accounting”. ASU 2016-09 simplifies several aspects of the accounting for employee share-based payment transactions, including the accounting for income taxes, forfeitures, and statutory tax withholding requirements, as well as classification in the statement of cash flows. ASU 2016-09 is effective for fiscal years, and for interim periods within those fiscal years, beginning after December 15, 2016. The Company is currently evaluating the potential impacts of this new guidance.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a certain key customer; potential costs because of the warranties we supply with our products and services; our ability to comply with changes to the regulations for the shipment of our products; our efforts to develop new commercial applications for our products; the unique risks associated with our China operations; possible future declines in demand for the products that use our batteries or communications systems; reduced U.S. and foreign military spending including the uncertainty associated with government budget approvals; possible impairments of our goodwill and other intangible assets; possible breaches in security and other disruptions; variability in our quarterly and annual results and the price of our common stock; safety risks, including the risk of fire; negative publicity of lithium-ion batteries; the risk that we are unable to protect our proprietary and intellectual property; our resources being overwhelmed by our growth prospects; our ability to retain top management and key personnel; potential disruptions in our supply of raw materials and components; our exposure to foreign currency fluctuations; our customers’ demand falling short of volume expectations in our supply agreements; rules and procedures regarding contracting with the U.S. and foreign governments; exposure to possible violations of the U.S. Foreign Corrupt Practices Act, the U.K. Bribery Act or other anti-corruption laws; our ability to utilize our net operating loss carryforwards;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2015.</w:t>
      </w:r>
    </w:p>
    <w:p>
      <w:pPr>
        <w:spacing w:after="0" w:line="18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2015 to reflect new information or risks, future events or other developments.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10-Q and the Risk Factors and our Consolidated Financial Statements and Notes thereto contained in our Form 10-K for the year ended December 31, 2015.</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continually evaluate ways to grow and broaden the scope of our products and services, including the design, development and sale of new products, expansion of our sales force to penetrate new markets and geographies, as well as seeking opportunities to expand through acquisitions. We sell our products worldwide through a variety of trade channels, including original equipment manufacturers (“OEMs”), industrial and defense supply distributors and directly to U.S. and international defense departments.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12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Consolidated revenues of $20,371 for the three-month period ended June 26, 2016, increased by $1,416 or 7.5%, from $18,955 during the three-month period ended June 28, 2015, reflecting the Company’s acquisition of Accutronics in January 2016 and higher revenues from our Communications Systems business driven by shipments of Vehicle Installed Power Enhanced Rifleman Appliqué (“VIPER”) systems.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Gross profit for the three-month period ended June 26, 2016 was $5,900, or 29.0% of revenues, compared to $5,859, or 30.9% of revenues, for the same quarter a year ago. The 190 basis point reduction in gross margin resulted from the sales mix of products for our Communications Systems business which offset an increase in gross margin for our Battery &amp; Energy Products business.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expenses increased to $5,401 during the three-month period ended June 26, 2016, compared to $5,042 during the three-month period ended June 28, 2015. The increase of $359 or 7.1% was fully attributable to Accutronics which contributed $740 of operating expenses in the second quarter. Excluding Accutronics, operating expenses decreased $381 or 7.6% due primarily to strict control over discretionary spending while focusing on the development of new products and revenue growth.</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income for the three-month period ended June 26, 2016 was $499 or 2.4% of revenues, compared to $817 or 4.3% for the year-earlier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operating income primarily reflects the impact of the 190 basis point decline in gross margin in the 2016 period.</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income attributable to Ultralife was $446 or $0.03 per share, for the three-month period ended June 26, 2016, compared to $788 or $0.05 per share for the three-month period ended June 28, 2015.</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defined as net income (loss) attributable to Ultralife before net interest expense, provision (benefit) for income taxes, depreciation and amortization, stock-based compensation expenses, plus/minus expenses/income that we do not consider reflective of our ongoing operations, amounted to $1,457 in the second quarter of 2016 compared to $1,725 in the second quarter of 2015. See the section “Adjusted EBITDA” beginning on Page 25 for a reconciliation of Adjusted EBITDA to net income attributable to Ultralife.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jc w:val="both"/>
        <w:ind w:firstLine="324"/>
        <w:spacing w:after="0" w:line="259" w:lineRule="auto"/>
        <w:rPr>
          <w:sz w:val="20"/>
          <w:szCs w:val="20"/>
          <w:color w:val="auto"/>
        </w:rPr>
      </w:pPr>
      <w:r>
        <w:rPr>
          <w:rFonts w:ascii="Arial" w:cs="Arial" w:eastAsia="Arial" w:hAnsi="Arial"/>
          <w:sz w:val="18"/>
          <w:szCs w:val="18"/>
          <w:color w:val="auto"/>
        </w:rPr>
        <w:t>Primarily as a result of our acquisition of Accutronics on January 13, 2016, together with the purchase of shares under the Company’s share repurchase program, an increase in accounts receivable due to the timing of second quarter sales and an increase in inventory to fulfill backorders, we utilized $11,273 of cash and cash equivalents for the six month period ended June 26, 2016. Accordingly, cash and cash equivalents decreased from $14,393 at December 31, 2015 to $3,120 at June 26, 2016.</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Despite some economic uncertainties weighing on customer’s buying decisions, we still have our sights set on delivering profitable growth for 2016. Our gross margins and liquidity give us the flexibility to continue to invest in new product development in support of our long-term global diversification strategy.</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June 26, 2016 and June 28, 2015</w:t>
      </w:r>
    </w:p>
    <w:p>
      <w:pPr>
        <w:spacing w:after="0" w:line="22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June 26, 2016 amounted to $20,371, an increase of $1,416 or 7.5%, from the $18,955</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three-month period ended June 28, 2015.</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Battery &amp; Energy Products revenues decreased $213 or 1.3%, to $15,759 for the three-month period ended June 26, 2016 from $15,972 for the three-month period ended June 28, 2015. Commercial revenues for the second quarter of 2016 increased 5.3% over the prior year period, reflecting Accutronics sales, which partially offset the year earlier sales demand for our 9-Volt batteries from large global smoke detector OEM’s to comply with legislation and trends in certain European Union countries for products lasting ten years and large shipments of batteries to service the metering and toll pass industries in China. Sales to medical customers in the 2016 period increased by 4.7% over 2015 when excluding Accutronics and more than doubled when including Accutronics. Government and defense sales decreased 10.4% from the 2015 period due primarily to the shipment of a large order to a defense supplier in 2015 for use in multifunctional information distribution systems and lower shipments of primary batteries to the U.S. Department of Defense, which was partially offset by higher charger shipments to international customers.</w:t>
      </w:r>
    </w:p>
    <w:p>
      <w:pPr>
        <w:spacing w:after="0" w:line="1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Communications Systems revenues increased $1,629 or 54.6%, from $2,983 during the three-month period ended June 28, 2015 to $4,612 for the three-month period ended June 26, 2016. This increase is attributable to shipments of VIPER systems which more than offset a decrease in core product sales due to closing and funding delays associated with some orders which are expected to ship in subsequent quarters.</w:t>
      </w:r>
    </w:p>
    <w:p>
      <w:pPr>
        <w:spacing w:after="0" w:line="16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Cost of Products Sold. </w:t>
      </w:r>
      <w:r>
        <w:rPr>
          <w:rFonts w:ascii="Arial" w:cs="Arial" w:eastAsia="Arial" w:hAnsi="Arial"/>
          <w:sz w:val="16"/>
          <w:szCs w:val="16"/>
          <w:color w:val="auto"/>
        </w:rPr>
        <w:t>Cost of products sold totaled $14,471 for the quarter ended June 26, 2016, an increase of $1,375, or 10.5%, from the $13,096</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for the same quarter a year ago. Consolidated cost of products sold as a percentage of total revenue increased to 71.0% for the three-month period ended June 26, 2016 from 69.1% for the three-month period ended June 28, 2015. Correspondingly, consolidated gross margin was 29.0% for the three-month period ended June 26, 2016, compared with 30.9% for the three-month period ended June 28, 2015, reflecting the mix of products sold associated with the Communications Systems business which offset an increase in gross margin for our Battery &amp; Energy Products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ind w:firstLine="324"/>
        <w:spacing w:after="0" w:line="257" w:lineRule="auto"/>
        <w:rPr>
          <w:sz w:val="20"/>
          <w:szCs w:val="20"/>
          <w:color w:val="auto"/>
        </w:rPr>
      </w:pPr>
      <w:r>
        <w:rPr>
          <w:rFonts w:ascii="Arial" w:cs="Arial" w:eastAsia="Arial" w:hAnsi="Arial"/>
          <w:sz w:val="18"/>
          <w:szCs w:val="18"/>
          <w:color w:val="auto"/>
        </w:rPr>
        <w:t>In our Battery &amp; Energy Products segment, the cost of products sold decreased $335, to $11,095 for the three-month period ended June 26, 2016 from $11,430 during the three-month period ended June 28, 2015. Battery &amp; Energy Products’ gross profit for the second quarter of 2016 was $4,664 or 29.6% of revenues, an increase of $122 or 2.7%, from gross profit of $4,542 or 28.4% of revenues for the second quarter of 2015. Battery &amp; Energy Products’ gross margin as a percentage of revenues increased for the three-month period ended June 26, 2016 by 120 basis points, reflecting favorable product mix including the higher margins recognized for Accutronics products.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our Communications Systems segment, the cost of products sold increased by $1,710 or 102.6% from $1,666 during the three-month period ended June 28, 2015 to $3,376 during the three-month period ended June 26, 2016 due to higher sales in 2016. Communications Systems’ gross profit for the second quarter of 2016 was $1,236 or 26.8% of revenues, a decrease of $81 or 6.2%, from gross profit of $1,317 or 44.2% of revenues, for the second quarter of 2015. The 1,740 basis points decrease in gross margin as a percentage of revenue during 2016 is driven by the mix of products sold.</w:t>
      </w:r>
    </w:p>
    <w:p>
      <w:pPr>
        <w:spacing w:after="0" w:line="167"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Operating expenses for the three-month period ended June 26, 2016 totaled $5,401, an increase of $359 or 7.1% from the $5,042</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during the three-month period ended June 28, 2015. The increase was fully attributable to the acquisition of Accutronics, which contributed operating expenses of $740 in the second quarter, including $92 of intangible asset amortization. Excluding Accutronics results, operating expenses decreased $381 or 7.6% due primarily to strict control over discretionary spending while focusing on the development of new products and revenue growth.</w:t>
      </w:r>
    </w:p>
    <w:p>
      <w:pPr>
        <w:spacing w:after="0" w:line="15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Overall, operating expenses as a percentage of revenues were 26.5% for the quarter ended June 26, 2016 compared to 26.6% for the quarter ended June 28, 2015. Amortization expense associated with intangible assets related to our acquisitions was $137, including $92 for Accutronics, for the second quarter of 2016 ($85 in selling, general and administrative expenses and $52 in research and development costs), compared with $59 for the second quarter of 2015 ($26 in selling, general, and administrative expenses and $33 in research and development costs). Research and development costs were $1,425 for the three-month period ended June 26, 2016, an increase of $91 or 6.8%, from $1,334 for the three-months ended June 28, 2015. The increase is attributable to $159 of research and development costs (including intangible asset amortization of $28) incurred by Accutronics. Selling, general, and administrative expenses increased $268 or 7.2% to $3,976 during the second quarter of 2016 from $3,708 during the second quarter of 2015. The increase is fully attributable to the inclusion of Accutronics results which contributed $581 (including intangible asset amortization of $64) of selling, general and administrative expenses for the second quarter, partially offset by continued actions in the core businesses to reduce discretionary expenses.</w:t>
      </w:r>
    </w:p>
    <w:p>
      <w:pPr>
        <w:spacing w:after="0" w:line="16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($24) for the three-month period ended June 26, 2016 compared to $28 for the three-month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June 28, 2015. Interest and financing expense was $62 for the second quarter of 2016 compared to $64 for the 2015 period. Miscellaneous income (expense) amounted to $38 for the second quarter of 2016 compared with $92 for the second quarter of 2015, primarily due to transactions impacted by foreign currency fluctuations between the U.S. dollar relative to Pounds Sterling and the Euro.</w:t>
      </w:r>
    </w:p>
    <w:p>
      <w:pPr>
        <w:spacing w:after="0" w:line="18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$33 for the second quarter of 2016 compared to $71 for the second quarter of 2015, a decrease of $38. The</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results from the increased international mix of our sales and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in the Notes to Consolidated Financial Statements in this Form 10-Q for additional information regarding our income taxes.</w:t>
      </w:r>
    </w:p>
    <w:p>
      <w:pPr>
        <w:spacing w:after="0" w:line="221"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Net Income Attributable to Ultralife. </w:t>
      </w:r>
      <w:r>
        <w:rPr>
          <w:rFonts w:ascii="Arial" w:cs="Arial" w:eastAsia="Arial" w:hAnsi="Arial"/>
          <w:sz w:val="17"/>
          <w:szCs w:val="17"/>
          <w:color w:val="auto"/>
        </w:rPr>
        <w:t>Net income attributable to Ultralife and net income attributable to Ultralife common shareholders per diluted</w:t>
      </w:r>
      <w:r>
        <w:rPr>
          <w:rFonts w:ascii="Arial" w:cs="Arial" w:eastAsia="Arial" w:hAnsi="Arial"/>
          <w:sz w:val="17"/>
          <w:szCs w:val="17"/>
          <w:b w:val="1"/>
          <w:bCs w:val="1"/>
          <w:color w:val="auto"/>
        </w:rPr>
        <w:t xml:space="preserve"> </w:t>
      </w:r>
      <w:r>
        <w:rPr>
          <w:rFonts w:ascii="Arial" w:cs="Arial" w:eastAsia="Arial" w:hAnsi="Arial"/>
          <w:sz w:val="17"/>
          <w:szCs w:val="17"/>
          <w:color w:val="auto"/>
        </w:rPr>
        <w:t>share was $446 and $0.03, respectively, for the three months ended June 26, 2016, compared to $788 and $0.05, respectively, for the three months ended June 28, 2015. Average common shares outstanding used to compute diluted earnings per share decreased from 16,597,000 in the second quarter of 2015 to 15,419,000 in the second quarter of 2016 due to the repurchase of shares under the Company’s share repurchase program.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Six-month periods ended June 26, 2016 and June 28, 2015</w:t>
      </w:r>
    </w:p>
    <w:p>
      <w:pPr>
        <w:spacing w:after="0" w:line="22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six-month period ended June 26, 2016 amounted to $41,204, an increase of $3,072 or 8.1%, from the $38,132</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six-month period ended June 28, 2015.</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Battery &amp; Energy Products revenues decreased $49, or 0.2%, from $32,248 for the six-month period ended June 28, 2015 to $32,199 for the six-month period ended June 26, 2016. Commercial revenues of this business increased 11.9% over the 2015 six-month period and now comprise 58.6% of total segment sales versus 52.3% last year. The year-over-year increase resulted from the inclusion of Accutronics sales, which offset the year-earlier demand for our 9-Volt batteries from large global smoke detector OEM’s to comply with legislation and trends in certain European Union countries for products lasting ten years and large shipments of batteries to service the metering and toll pass industries in China. Government and defense sales of this business decreased 13.4% from the 2015 six-month period and now comprise 41.4% of total segment sales versus 47.7% last year. The year-over-year decline was due to the shipment of a large charger order to an international prime defense supplier and a large battery shipment for use in multifunctional information distribution systems in 2015.</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Communications Systems revenues increased $3,121, or 53.0%, from $5,884 during the six-month period ended June 28, 2015 to $9,005 for the six-month period ended June 26, 2016, reflecting shipments of VIPER systems which more than offset a decrease in core product sales due to closing and funding delays associated with some orders which are expected to ship in subsequent quarters.</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Cost of Products Sold. </w:t>
      </w:r>
      <w:r>
        <w:rPr>
          <w:rFonts w:ascii="Arial" w:cs="Arial" w:eastAsia="Arial" w:hAnsi="Arial"/>
          <w:sz w:val="18"/>
          <w:szCs w:val="18"/>
          <w:color w:val="auto"/>
        </w:rPr>
        <w:t>Cost of products sold totaled $28,899 for the six-month period ended June 26, 2016, an increase of $2,633 or 10.0%,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$26,266 reported for the same six-month period a year ago. Consolidated cost of products sold as a percentage of total revenue increased from 68.9% for the six-month period ended June 28, 2015 to 70.1% for the six-month period ended June 26, 2016. Correspondingly, consolidated gross margin was 29.9% for the six-month period ended June 26, 2016, compared with 31.1% for the six-month period ended June 28, 2015, due primarily to product mix impacting the Communications Systems segment and a one-time adjustment to increase the opening inventory of Accutronics to fair market value in accordance with purchase.</w:t>
      </w:r>
    </w:p>
    <w:p>
      <w:pPr>
        <w:spacing w:after="0" w:line="19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our Battery &amp; Energy Products segment, the cost of products sold decreased $604 or 2.6%, from $22,922 during the six-month period ended June 28, 2015 to $22,318 during the six-month period ended June 26, 2016. Battery &amp; Energy Products’ gross profit for the 2016 six-month period was $9,881 or 30.7% of revenues, an increase of $555 or 6.0% from gross profit of $9,326, or 28.9% of revenues, for the 2015 six-month period. As a result, Battery &amp; Energy Products’ gross margin as a percentage of revenues increased for the six-month period ended June 28, 2015 by 180 basis points, reflecting favorable product mix including the higher overall gross margins recognized for Accutronics products.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our Communications Systems segment, the cost of products sold increased by $3,237 or 96.8% from $3,344 during the six-month period ended June 28, 2015 to $6,581 during the six-month period ended June 26, 2016. Communications Systems’ gross profit for the first six months of 2016 was $2,424 or 26.9% of revenues, a decrease of $116 or 4.6% from gross profit of $2,540 or 43.2% of revenues, for the second quarter of 2015. The 1,630 basis points decrease in gross margin as a percentage of revenue during 2016 is due to unfavorable sales product mix.</w:t>
      </w:r>
    </w:p>
    <w:p>
      <w:pPr>
        <w:spacing w:after="0" w:line="167"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Total operating expenses for the six-month period ended June 26, 2016 totaled $11,324, an increase of $1,097 or 10.7%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$10,227 recorded during the six-month period ended June 28, 2015. This increase was fully attributable to the acquisition of Accutronics on January 13, 2016, which contributed operating expenses of $1,745 in 2016, including $203 of one-time direct acquisition costs and $184 of intangible asset amortization. Excluding Accutronics results, operating expenses decreased $648 or 6.3% due primarily to strict control over discretionary spending.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ind w:firstLine="324"/>
        <w:spacing w:after="0" w:line="269" w:lineRule="auto"/>
        <w:rPr>
          <w:sz w:val="20"/>
          <w:szCs w:val="20"/>
          <w:color w:val="auto"/>
        </w:rPr>
      </w:pPr>
      <w:r>
        <w:rPr>
          <w:rFonts w:ascii="Arial" w:cs="Arial" w:eastAsia="Arial" w:hAnsi="Arial"/>
          <w:sz w:val="17"/>
          <w:szCs w:val="17"/>
          <w:color w:val="auto"/>
        </w:rPr>
        <w:t>Overall, operating expenses as a percentage of revenues were 27.5% for the six-month period ended June 26, 2016 compared to 26.8% for the comparable 2015 period. Amortization expense associated with intangible assets related to our acquisitions was $274, including $184 for Accutronics, for the first six months of 2016 ($171 in selling, general and administrative expenses and $103 in research and development costs), compared with $119 for the first six months of 2015 ($54 in selling, general, and administrative expenses and $65 in research and development costs). Research and development costs were $3,081 for the six-month period ended June 26, 2016, an increase of $388, or 14.4%, from $2,693 for the six-months ended June 28, 2015. The increase is comprised of $343 of research and development costs (including intangible asset amortization of $56) incurred by Accutronics and an increase of $45 due to the higher level of new product development spending in the 2016 period in response to a heightened level of requests for proposals. Selling, general, and administrative expenses increased $709 or 9.4%, from $7,534 during the first six months of 2015 to $8,243 during the first six months of 2016. The increase is fully attributable to the inclusion of Accutronics results and the one-time direct acquisition costs which contributed $1,402 (including intangible asset amortization of $127) of selling, general and administrative expenses for the 2016 period, partially offset by continued actions in the core businesses to reduce discretionary expenses.</w:t>
      </w:r>
    </w:p>
    <w:p>
      <w:pPr>
        <w:spacing w:after="0" w:line="1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(expense) totaled $(137) for the six-month period ended June 26, 2016 compared to $(160) for the six-month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28, 2015. Interest and financing expense increased $33 to $163 for the 2016 period from $130 for the comparable period in 2015, as a result of one-time costs of $48 associated with the acquisition of Accutronics. Miscellaneous income (expense) amounted to $26 for the first six months of 2016 compared with ($30) for the first six months of 2015, primarily due to the Company’s actions in 2016 to mitigate the impact of foreign currency fluctuation between the U. S. dollar relative to Pounds Sterling and the Euro.</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We reflected a tax provision of $121 for the first two quarters of 2016 compared with a tax provision of $182 for the first two quarters of</w:t>
      </w:r>
      <w:r>
        <w:rPr>
          <w:rFonts w:ascii="Arial" w:cs="Arial" w:eastAsia="Arial" w:hAnsi="Arial"/>
          <w:sz w:val="17"/>
          <w:szCs w:val="17"/>
          <w:b w:val="1"/>
          <w:bCs w:val="1"/>
          <w:color w:val="auto"/>
        </w:rPr>
        <w:t xml:space="preserve"> </w:t>
      </w:r>
      <w:r>
        <w:rPr>
          <w:rFonts w:ascii="Arial" w:cs="Arial" w:eastAsia="Arial" w:hAnsi="Arial"/>
          <w:sz w:val="17"/>
          <w:szCs w:val="17"/>
          <w:color w:val="auto"/>
        </w:rPr>
        <w:t>2015. The decrease of $61 or 33.5% was due to the amounts and geographic mix of earnings as well as the tax benefit associated with the acquisition costs related to Accutronics. The effective consolidated tax rates for the six-month periods ended June 26, 2016 and June 28, 2015 were:</w:t>
      </w:r>
    </w:p>
    <w:p>
      <w:pPr>
        <w:spacing w:after="0" w:line="37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Six-month periods ended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June 26,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June 28,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860" w:type="dxa"/>
            <w:vAlign w:val="bottom"/>
          </w:tcPr>
          <w:p>
            <w:pPr>
              <w:spacing w:after="0"/>
              <w:rPr>
                <w:sz w:val="18"/>
                <w:szCs w:val="18"/>
                <w:color w:val="auto"/>
              </w:rPr>
            </w:pPr>
          </w:p>
        </w:tc>
        <w:tc>
          <w:tcPr>
            <w:tcW w:w="364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w:t>
            </w:r>
          </w:p>
        </w:tc>
        <w:tc>
          <w:tcPr>
            <w:tcW w:w="364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844</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1,479</w:t>
            </w:r>
          </w:p>
        </w:tc>
      </w:tr>
      <w:tr>
        <w:trPr>
          <w:trHeight w:val="216"/>
        </w:trPr>
        <w:tc>
          <w:tcPr>
            <w:tcW w:w="4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w:t>
            </w:r>
          </w:p>
        </w:tc>
        <w:tc>
          <w:tcPr>
            <w:tcW w:w="2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r>
      <w:tr>
        <w:trPr>
          <w:trHeight w:val="216"/>
        </w:trPr>
        <w:tc>
          <w:tcPr>
            <w:tcW w:w="4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 (b/a)</w:t>
            </w:r>
          </w:p>
        </w:tc>
        <w:tc>
          <w:tcPr>
            <w:tcW w:w="2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in the Notes to Consolidated Financial Statements for additional information regarding our income taxes.</w:t>
      </w: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Net Income Attributable to Ultralife. </w:t>
      </w:r>
      <w:r>
        <w:rPr>
          <w:rFonts w:ascii="Arial" w:cs="Arial" w:eastAsia="Arial" w:hAnsi="Arial"/>
          <w:sz w:val="16"/>
          <w:szCs w:val="16"/>
          <w:color w:val="auto"/>
        </w:rPr>
        <w:t>Net income attributable to Ultralife and income attributable to Ultralife common shareholders per diluted share</w:t>
      </w:r>
      <w:r>
        <w:rPr>
          <w:rFonts w:ascii="Arial" w:cs="Arial" w:eastAsia="Arial" w:hAnsi="Arial"/>
          <w:sz w:val="16"/>
          <w:szCs w:val="16"/>
          <w:b w:val="1"/>
          <w:bCs w:val="1"/>
          <w:color w:val="auto"/>
        </w:rPr>
        <w:t xml:space="preserve"> </w:t>
      </w:r>
      <w:r>
        <w:rPr>
          <w:rFonts w:ascii="Arial" w:cs="Arial" w:eastAsia="Arial" w:hAnsi="Arial"/>
          <w:sz w:val="16"/>
          <w:szCs w:val="16"/>
          <w:color w:val="auto"/>
        </w:rPr>
        <w:t>was $745 and $0.05, respectively, for the six months ended June 26, 2016, compared to $1,321 and $0.08, respectively, for the six months ended June 28, 2015. The 2016 period was impacted by the purchase accounting adjustments and non-recurring costs totaling $343 related to the acquisition of Accutronics, equivalent to $0.02 per share. Average common shares outstanding used to compute diluted earnings per share decreased from 16,977,000 in the 2015 period to 15,545,000 in the 2016 period, mainly due to the repurchase of shares under the Company’s share repurchase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evaluating our business, we consider and use Adjusted EBITDA, a non-GAAP financial measure, as a supplemental measure to review and assess our operating performance. We define Adjusted EBITDA as net income (loss) attributable to Ultralife before net interest expense, provision (benefit) for income taxes, depreciation and amortization, plus/minus expenses/income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use of operating performance comparisons from period to period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U.S. generally accepted accounting principles (“U.S. GAAP”).</w:t>
      </w:r>
    </w:p>
    <w:p>
      <w:pPr>
        <w:spacing w:after="0" w:line="16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U.S. GAAP financial measures such as income (loss) from operations.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71" w:lineRule="exact"/>
        <w:rPr>
          <w:sz w:val="20"/>
          <w:szCs w:val="20"/>
          <w:color w:val="auto"/>
        </w:rPr>
      </w:pPr>
    </w:p>
    <w:p>
      <w:pPr>
        <w:jc w:val="both"/>
        <w:ind w:left="1080" w:hanging="316"/>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ind w:left="1080" w:hanging="316"/>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080" w:hanging="316"/>
        <w:spacing w:after="0" w:line="264"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1" w:lineRule="exact"/>
        <w:rPr>
          <w:rFonts w:ascii="Arial" w:cs="Arial" w:eastAsia="Arial" w:hAnsi="Arial"/>
          <w:sz w:val="18"/>
          <w:szCs w:val="18"/>
          <w:color w:val="auto"/>
        </w:rPr>
      </w:pPr>
    </w:p>
    <w:p>
      <w:pPr>
        <w:ind w:left="1080" w:hanging="316"/>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only supplementally. Adjusted EBITDA is calculated as follows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180" w:type="dxa"/>
            <w:vAlign w:val="bottom"/>
          </w:tcPr>
          <w:p>
            <w:pPr>
              <w:spacing w:after="0"/>
              <w:rPr>
                <w:sz w:val="18"/>
                <w:szCs w:val="18"/>
                <w:color w:val="auto"/>
              </w:rPr>
            </w:pPr>
          </w:p>
        </w:tc>
        <w:tc>
          <w:tcPr>
            <w:tcW w:w="242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28,</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June 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Add: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 Net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Amortization of Intangible Assets &amp; Financing Fees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Non-Cash Purchase Accounting adjustments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June 26, 2016, cash and cash equivalents totaled $3,120, a decrease of $11,273 from the beginning of the year primarily attributable to the Company’s acquisition of Accutronics. During the six-month period ended June 28, 2016, we utilized $802 of cash from our operating activities as compared to cash generated totaling $4,745 during the six-month period ended June 28, 2015, a decrease of $5,547. Cash utilized by operations in 2016 consisted of cash provided from net income attributable to Ultralife of $723 and non-cash expenses (depreciation, amortization and stock-based compensation) totaling $1,826, offset by a $1,053 increase in accounts receivables due primarily to the timing of sales during the second quarter of 2016, and an increase in inventory of $762 due primarily to service backlog including VIPER systems, and a net decrease in accounts payable and other working capital items of $1,536 due in large part to payment of the inventory procured associated with servicing backlog. Cash generated from operations in 2015 included our net income of $1,297 plus non-cash expenses (depreciation, amortization and stock-based compensation) totaling $1,655, and cash provided by a $2,331 decrease in inventories, offset partially by a decrease in accounts payable and other liabilities of $863.</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used $10,745 in cash for investing activities during the first six months of 2016. The Company acquired Accutronics in the 2016 period utilizing cash of $11,161, which was partially offset by the cash acquired from Accutronics of $1,304. Cash paid for capital expenditures totaled $888 and $884 in the first six months of 2016 and 2015, respectively. Cash utilized to repurchase shares under the Company’s share repurchase program during the 2016 six-month period was $607.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324"/>
        <w:spacing w:after="0" w:line="277" w:lineRule="auto"/>
        <w:rPr>
          <w:sz w:val="20"/>
          <w:szCs w:val="20"/>
          <w:color w:val="auto"/>
        </w:rPr>
      </w:pPr>
      <w:r>
        <w:rPr>
          <w:rFonts w:ascii="Arial" w:cs="Arial" w:eastAsia="Arial" w:hAnsi="Arial"/>
          <w:sz w:val="18"/>
          <w:szCs w:val="18"/>
          <w:color w:val="auto"/>
        </w:rPr>
        <w:t>As of June 26, 2016, we had made commitments to purchase approximately $662 of production machinery and equipment, which we expect to fund through operating cash flows or debt borrowings.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28, 2014, the Company’s Board of Directors approved a share repurchase program which became effective on May 1, 2014, under which the Company was authorized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and six month period ended June 26, 2016, the Company repurchased 149,904 shares under this program for a total cost (excluding fees and commissions) of $603. During the six month period ended June 28, 2015, the Company repurchased 1,476,855 shares under this program for a total cost (excluding fees and commissions) of $5,805.</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the inception of the Share Repurchase Program on May 1, 2014 through its expiration on June 2, 2016, the Company repurchased 2,592,095 shares for an aggregate cost (excluding fees and commissions) of $10,480.</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financing through our Credit Facility with PNC Bank, which provides a $20,000 secured asset-based revolving credit facility that includes a $1,000 letter of credit sub-facility. As of June 26, 2016, we had approximately $11,021 of borrowing capacity under our $20,000 Credit Facility with PNC Bank, and we had borrowings of $831 under the Credit Facility.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The applicable interest rate was 2.45% at June 26, 2016. We pay a quarterly fee on the Credit Facility’s unused availability at 0.375% per annum.</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currently believes that the cash flow generated from operations and when necessary, available borrowing from our Credit Facility, will be sufficient to meet its current and long-term funding requirements for the foreseeable future.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2015 Annual Report on Form 10-K should be reviewed for a greater understanding of how our financial performance is recorded and reported.</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six months of 2016, there were no significant changes in the manner in which our significant accounting policies were applied or in which related assumptions and estimates were developed.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primarily caused by circumstances related to the plane’s emergency locator transmitter (“ELT”) manufactured and installed by another company.</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this time, we believe that there is not a reasonable possibility that this incident will result in a material financial exposure to the Company.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does not intend to submit a Proof of Claim in connection with Arista’s bankruptcy filing, or otherwise continue pursuing its claims against Arista.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2(c) Purchases of Equity Securities by the Issuer and Affiliated Purchasers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 sets forth information regarding second quarter 2016 purchases of common stock under the Company’s stock repurchase program. Under the repurchase program, the Board of Directors authorized the repurchase of up to 1.8 million shares of the Company’s Common Stock through April 30, 2015. The Board of Directors extended the program through June 2, 2016 and expanded the maximum number of shares authorized to be repurchased from 1.8 million shares to 3.4 million shares. The Share Repurchase Program expired on June 2, 2016 and did not obligate the Company to repurchase any specific number of shares.</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the inception of the Share Repurchase Program on May 1, 2014 through its expiration on June 2, 2016, the Company repurchased 2,592,095 shares for an aggregate cost (excluding fees and commissions) of $10,480.</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as Part 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Publicly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280" w:type="dxa"/>
            <w:vAlign w:val="bottom"/>
            <w:gridSpan w:val="2"/>
          </w:tcPr>
          <w:p>
            <w:pPr>
              <w:jc w:val="center"/>
              <w:ind w:right="120"/>
              <w:spacing w:after="0" w:line="193"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93" w:lineRule="exact"/>
              <w:rPr>
                <w:sz w:val="20"/>
                <w:szCs w:val="20"/>
                <w:color w:val="auto"/>
              </w:rPr>
            </w:pPr>
            <w:r>
              <w:rPr>
                <w:rFonts w:ascii="Arial" w:cs="Arial" w:eastAsia="Arial" w:hAnsi="Arial"/>
                <w:sz w:val="18"/>
                <w:szCs w:val="18"/>
                <w:b w:val="1"/>
                <w:bCs w:val="1"/>
                <w:color w:val="auto"/>
                <w:w w:val="91"/>
              </w:rPr>
              <w:t>Price Paid</w:t>
            </w:r>
          </w:p>
        </w:tc>
        <w:tc>
          <w:tcPr>
            <w:tcW w:w="1360" w:type="dxa"/>
            <w:vAlign w:val="bottom"/>
            <w:gridSpan w:val="2"/>
          </w:tcPr>
          <w:p>
            <w:pPr>
              <w:jc w:val="center"/>
              <w:ind w:right="200"/>
              <w:spacing w:after="0" w:line="193" w:lineRule="exact"/>
              <w:rPr>
                <w:sz w:val="20"/>
                <w:szCs w:val="20"/>
                <w:color w:val="auto"/>
              </w:rPr>
            </w:pPr>
            <w:r>
              <w:rPr>
                <w:rFonts w:ascii="Arial" w:cs="Arial" w:eastAsia="Arial" w:hAnsi="Arial"/>
                <w:sz w:val="18"/>
                <w:szCs w:val="18"/>
                <w:b w:val="1"/>
                <w:bCs w:val="1"/>
                <w:color w:val="auto"/>
                <w:w w:val="88"/>
              </w:rPr>
              <w:t>Announced</w:t>
            </w:r>
          </w:p>
        </w:tc>
        <w:tc>
          <w:tcPr>
            <w:tcW w:w="1240" w:type="dxa"/>
            <w:vAlign w:val="bottom"/>
            <w:gridSpan w:val="2"/>
          </w:tcPr>
          <w:p>
            <w:pPr>
              <w:jc w:val="center"/>
              <w:ind w:right="100"/>
              <w:spacing w:after="0" w:line="193" w:lineRule="exact"/>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0"/>
              <w:spacing w:after="0" w:line="258" w:lineRule="exact"/>
              <w:rPr>
                <w:sz w:val="20"/>
                <w:szCs w:val="20"/>
                <w:color w:val="auto"/>
              </w:rPr>
            </w:pPr>
            <w:r>
              <w:rPr>
                <w:rFonts w:ascii="Arial" w:cs="Arial" w:eastAsia="Arial" w:hAnsi="Arial"/>
                <w:sz w:val="18"/>
                <w:szCs w:val="18"/>
                <w:b w:val="1"/>
                <w:bCs w:val="1"/>
                <w:color w:val="auto"/>
                <w:w w:val="87"/>
              </w:rPr>
              <w:t>Per Share</w:t>
            </w:r>
            <w:r>
              <w:rPr>
                <w:rFonts w:ascii="Arial" w:cs="Arial" w:eastAsia="Arial" w:hAnsi="Arial"/>
                <w:sz w:val="29"/>
                <w:szCs w:val="29"/>
                <w:b w:val="1"/>
                <w:bCs w:val="1"/>
                <w:color w:val="auto"/>
                <w:w w:val="87"/>
                <w:vertAlign w:val="superscript"/>
              </w:rPr>
              <w:t>(1)</w:t>
            </w:r>
          </w:p>
        </w:tc>
        <w:tc>
          <w:tcPr>
            <w:tcW w:w="2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March 28 – April 24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April 25 – May 22</w:t>
            </w:r>
          </w:p>
        </w:tc>
        <w:tc>
          <w:tcPr>
            <w:tcW w:w="1160" w:type="dxa"/>
            <w:vAlign w:val="bottom"/>
          </w:tcPr>
          <w:p>
            <w:pPr>
              <w:jc w:val="right"/>
              <w:spacing w:after="0"/>
              <w:rPr>
                <w:sz w:val="20"/>
                <w:szCs w:val="20"/>
                <w:color w:val="auto"/>
              </w:rPr>
            </w:pPr>
            <w:r>
              <w:rPr>
                <w:rFonts w:ascii="Arial" w:cs="Arial" w:eastAsia="Arial" w:hAnsi="Arial"/>
                <w:sz w:val="18"/>
                <w:szCs w:val="18"/>
                <w:color w:val="auto"/>
              </w:rPr>
              <w:t>139,150</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139,150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May 23 – June 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149,904</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149,904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ind w:left="820" w:right="220" w:hanging="161"/>
        <w:spacing w:after="0" w:line="217" w:lineRule="auto"/>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Average Price Paid Per Share excludes fees and commissions related to such repurchases. Including these costs, the average price paid per share for all purchases under the Share Repurchase Program for the period March 28, 2016 through June 2, 2016 is $4.05.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6020" w:type="dxa"/>
            <w:vAlign w:val="bottom"/>
          </w:tcPr>
          <w:p>
            <w:pPr>
              <w:spacing w:after="0"/>
              <w:rPr>
                <w:sz w:val="20"/>
                <w:szCs w:val="20"/>
                <w:color w:val="auto"/>
              </w:rPr>
            </w:pP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Exhibit</w:t>
            </w:r>
          </w:p>
        </w:tc>
        <w:tc>
          <w:tcPr>
            <w:tcW w:w="416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230"/>
        </w:trPr>
        <w:tc>
          <w:tcPr>
            <w:tcW w:w="1280" w:type="dxa"/>
            <w:vAlign w:val="bottom"/>
          </w:tcPr>
          <w:p>
            <w:pPr>
              <w:ind w:left="340"/>
              <w:spacing w:after="0"/>
              <w:rPr>
                <w:sz w:val="20"/>
                <w:szCs w:val="20"/>
                <w:color w:val="auto"/>
              </w:rPr>
            </w:pPr>
            <w:r>
              <w:rPr>
                <w:rFonts w:ascii="Arial" w:cs="Arial" w:eastAsia="Arial" w:hAnsi="Arial"/>
                <w:sz w:val="18"/>
                <w:szCs w:val="18"/>
                <w:color w:val="auto"/>
              </w:rPr>
              <w:t>Index</w:t>
            </w:r>
          </w:p>
        </w:tc>
        <w:tc>
          <w:tcPr>
            <w:tcW w:w="4160" w:type="dxa"/>
            <w:vAlign w:val="bottom"/>
          </w:tcPr>
          <w:p>
            <w:pPr>
              <w:ind w:left="260"/>
              <w:spacing w:after="0"/>
              <w:rPr>
                <w:sz w:val="20"/>
                <w:szCs w:val="20"/>
                <w:color w:val="auto"/>
              </w:rPr>
            </w:pPr>
            <w:r>
              <w:rPr>
                <w:rFonts w:ascii="Arial" w:cs="Arial" w:eastAsia="Arial" w:hAnsi="Arial"/>
                <w:sz w:val="18"/>
                <w:szCs w:val="18"/>
                <w:color w:val="auto"/>
              </w:rPr>
              <w:t>Description of Document</w:t>
            </w:r>
          </w:p>
        </w:tc>
        <w:tc>
          <w:tcPr>
            <w:tcW w:w="6020" w:type="dxa"/>
            <w:vAlign w:val="bottom"/>
          </w:tcPr>
          <w:p>
            <w:pPr>
              <w:ind w:left="2160"/>
              <w:spacing w:after="0"/>
              <w:rPr>
                <w:sz w:val="20"/>
                <w:szCs w:val="20"/>
                <w:color w:val="auto"/>
              </w:rPr>
            </w:pPr>
            <w:r>
              <w:rPr>
                <w:rFonts w:ascii="Arial" w:cs="Arial" w:eastAsia="Arial" w:hAnsi="Arial"/>
                <w:sz w:val="18"/>
                <w:szCs w:val="18"/>
                <w:color w:val="auto"/>
              </w:rPr>
              <w:t>Incorporated By Reference from:</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31.1</w:t>
            </w:r>
          </w:p>
        </w:tc>
        <w:tc>
          <w:tcPr>
            <w:tcW w:w="4160" w:type="dxa"/>
            <w:vAlign w:val="bottom"/>
          </w:tcPr>
          <w:p>
            <w:pPr>
              <w:ind w:left="260"/>
              <w:spacing w:after="0"/>
              <w:rPr>
                <w:sz w:val="20"/>
                <w:szCs w:val="20"/>
                <w:color w:val="auto"/>
              </w:rPr>
            </w:pPr>
            <w:r>
              <w:rPr>
                <w:rFonts w:ascii="Arial" w:cs="Arial" w:eastAsia="Arial" w:hAnsi="Arial"/>
                <w:sz w:val="18"/>
                <w:szCs w:val="18"/>
                <w:color w:val="auto"/>
              </w:rPr>
              <w:t>Rule 13a-14(a) / 15d-14(a) CEO Certifications</w:t>
            </w:r>
          </w:p>
        </w:tc>
        <w:tc>
          <w:tcPr>
            <w:tcW w:w="6020" w:type="dxa"/>
            <w:vAlign w:val="bottom"/>
          </w:tcPr>
          <w:p>
            <w:pPr>
              <w:ind w:left="2160"/>
              <w:spacing w:after="0"/>
              <w:rPr>
                <w:sz w:val="20"/>
                <w:szCs w:val="20"/>
                <w:color w:val="auto"/>
              </w:rPr>
            </w:pPr>
            <w:r>
              <w:rPr>
                <w:rFonts w:ascii="Arial" w:cs="Arial" w:eastAsia="Arial" w:hAnsi="Arial"/>
                <w:sz w:val="18"/>
                <w:szCs w:val="18"/>
                <w:color w:val="auto"/>
              </w:rPr>
              <w:t>Filed herewith</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color w:val="auto"/>
              </w:rPr>
              <w:t>31.2</w:t>
            </w:r>
          </w:p>
        </w:tc>
        <w:tc>
          <w:tcPr>
            <w:tcW w:w="4160" w:type="dxa"/>
            <w:vAlign w:val="bottom"/>
          </w:tcPr>
          <w:p>
            <w:pPr>
              <w:ind w:left="260"/>
              <w:spacing w:after="0"/>
              <w:rPr>
                <w:sz w:val="20"/>
                <w:szCs w:val="20"/>
                <w:color w:val="auto"/>
              </w:rPr>
            </w:pPr>
            <w:r>
              <w:rPr>
                <w:rFonts w:ascii="Arial" w:cs="Arial" w:eastAsia="Arial" w:hAnsi="Arial"/>
                <w:sz w:val="18"/>
                <w:szCs w:val="18"/>
                <w:color w:val="auto"/>
              </w:rPr>
              <w:t>Rule 13a-14(a) / 15d-14(a) CFO Certifications</w:t>
            </w:r>
          </w:p>
        </w:tc>
        <w:tc>
          <w:tcPr>
            <w:tcW w:w="6020" w:type="dxa"/>
            <w:vAlign w:val="bottom"/>
          </w:tcPr>
          <w:p>
            <w:pPr>
              <w:ind w:left="2160"/>
              <w:spacing w:after="0"/>
              <w:rPr>
                <w:sz w:val="20"/>
                <w:szCs w:val="20"/>
                <w:color w:val="auto"/>
              </w:rPr>
            </w:pPr>
            <w:r>
              <w:rPr>
                <w:rFonts w:ascii="Arial" w:cs="Arial" w:eastAsia="Arial" w:hAnsi="Arial"/>
                <w:sz w:val="18"/>
                <w:szCs w:val="18"/>
                <w:color w:val="auto"/>
              </w:rPr>
              <w:t>Filed herewith</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color w:val="auto"/>
              </w:rPr>
              <w:t>32</w:t>
            </w:r>
          </w:p>
        </w:tc>
        <w:tc>
          <w:tcPr>
            <w:tcW w:w="4160" w:type="dxa"/>
            <w:vAlign w:val="bottom"/>
          </w:tcPr>
          <w:p>
            <w:pPr>
              <w:ind w:left="260"/>
              <w:spacing w:after="0"/>
              <w:rPr>
                <w:sz w:val="20"/>
                <w:szCs w:val="20"/>
                <w:color w:val="auto"/>
              </w:rPr>
            </w:pPr>
            <w:r>
              <w:rPr>
                <w:rFonts w:ascii="Arial" w:cs="Arial" w:eastAsia="Arial" w:hAnsi="Arial"/>
                <w:sz w:val="18"/>
                <w:szCs w:val="18"/>
                <w:color w:val="auto"/>
              </w:rPr>
              <w:t>Section 1350 Certifications</w:t>
            </w:r>
          </w:p>
        </w:tc>
        <w:tc>
          <w:tcPr>
            <w:tcW w:w="6020" w:type="dxa"/>
            <w:vAlign w:val="bottom"/>
          </w:tcPr>
          <w:p>
            <w:pPr>
              <w:ind w:left="2160"/>
              <w:spacing w:after="0"/>
              <w:rPr>
                <w:sz w:val="20"/>
                <w:szCs w:val="20"/>
                <w:color w:val="auto"/>
              </w:rPr>
            </w:pPr>
            <w:r>
              <w:rPr>
                <w:rFonts w:ascii="Arial" w:cs="Arial" w:eastAsia="Arial" w:hAnsi="Arial"/>
                <w:sz w:val="18"/>
                <w:szCs w:val="18"/>
                <w:color w:val="auto"/>
              </w:rPr>
              <w:t>Filed herewith</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color w:val="auto"/>
              </w:rPr>
              <w:t>101.INS</w:t>
            </w:r>
          </w:p>
        </w:tc>
        <w:tc>
          <w:tcPr>
            <w:tcW w:w="4160" w:type="dxa"/>
            <w:vAlign w:val="bottom"/>
          </w:tcPr>
          <w:p>
            <w:pPr>
              <w:ind w:left="260"/>
              <w:spacing w:after="0"/>
              <w:rPr>
                <w:sz w:val="20"/>
                <w:szCs w:val="20"/>
                <w:color w:val="auto"/>
              </w:rPr>
            </w:pPr>
            <w:r>
              <w:rPr>
                <w:rFonts w:ascii="Arial" w:cs="Arial" w:eastAsia="Arial" w:hAnsi="Arial"/>
                <w:sz w:val="18"/>
                <w:szCs w:val="18"/>
                <w:color w:val="auto"/>
              </w:rPr>
              <w:t>XBRL Instance Document</w:t>
            </w:r>
          </w:p>
        </w:tc>
        <w:tc>
          <w:tcPr>
            <w:tcW w:w="6020" w:type="dxa"/>
            <w:vAlign w:val="bottom"/>
          </w:tcPr>
          <w:p>
            <w:pPr>
              <w:spacing w:after="0"/>
              <w:rPr>
                <w:sz w:val="18"/>
                <w:szCs w:val="18"/>
                <w:color w:val="auto"/>
              </w:rPr>
            </w:pP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color w:val="auto"/>
              </w:rPr>
              <w:t>101.SCH</w:t>
            </w:r>
          </w:p>
        </w:tc>
        <w:tc>
          <w:tcPr>
            <w:tcW w:w="416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6020" w:type="dxa"/>
            <w:vAlign w:val="bottom"/>
          </w:tcPr>
          <w:p>
            <w:pPr>
              <w:spacing w:after="0"/>
              <w:rPr>
                <w:sz w:val="18"/>
                <w:szCs w:val="18"/>
                <w:color w:val="auto"/>
              </w:rPr>
            </w:pP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color w:val="auto"/>
              </w:rPr>
              <w:t>101.CAL</w:t>
            </w:r>
          </w:p>
        </w:tc>
        <w:tc>
          <w:tcPr>
            <w:tcW w:w="4160" w:type="dxa"/>
            <w:vAlign w:val="bottom"/>
          </w:tcPr>
          <w:p>
            <w:pPr>
              <w:ind w:left="260"/>
              <w:spacing w:after="0"/>
              <w:rPr>
                <w:sz w:val="20"/>
                <w:szCs w:val="20"/>
                <w:color w:val="auto"/>
              </w:rPr>
            </w:pPr>
            <w:r>
              <w:rPr>
                <w:rFonts w:ascii="Arial" w:cs="Arial" w:eastAsia="Arial" w:hAnsi="Arial"/>
                <w:sz w:val="18"/>
                <w:szCs w:val="18"/>
                <w:color w:val="auto"/>
                <w:w w:val="98"/>
              </w:rPr>
              <w:t>XBRL Taxonomy Calculation Linkbase Document</w:t>
            </w:r>
          </w:p>
        </w:tc>
        <w:tc>
          <w:tcPr>
            <w:tcW w:w="6020" w:type="dxa"/>
            <w:vAlign w:val="bottom"/>
          </w:tcPr>
          <w:p>
            <w:pPr>
              <w:spacing w:after="0"/>
              <w:rPr>
                <w:sz w:val="18"/>
                <w:szCs w:val="18"/>
                <w:color w:val="auto"/>
              </w:rPr>
            </w:pP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color w:val="auto"/>
              </w:rPr>
              <w:t>101.LAB</w:t>
            </w:r>
          </w:p>
        </w:tc>
        <w:tc>
          <w:tcPr>
            <w:tcW w:w="4160" w:type="dxa"/>
            <w:vAlign w:val="bottom"/>
          </w:tcPr>
          <w:p>
            <w:pPr>
              <w:ind w:left="260"/>
              <w:spacing w:after="0"/>
              <w:rPr>
                <w:sz w:val="20"/>
                <w:szCs w:val="20"/>
                <w:color w:val="auto"/>
              </w:rPr>
            </w:pPr>
            <w:r>
              <w:rPr>
                <w:rFonts w:ascii="Arial" w:cs="Arial" w:eastAsia="Arial" w:hAnsi="Arial"/>
                <w:sz w:val="18"/>
                <w:szCs w:val="18"/>
                <w:color w:val="auto"/>
              </w:rPr>
              <w:t>XBRL Taxonomy Label Linkbase Document</w:t>
            </w:r>
          </w:p>
        </w:tc>
        <w:tc>
          <w:tcPr>
            <w:tcW w:w="6020" w:type="dxa"/>
            <w:vAlign w:val="bottom"/>
          </w:tcPr>
          <w:p>
            <w:pPr>
              <w:spacing w:after="0"/>
              <w:rPr>
                <w:sz w:val="18"/>
                <w:szCs w:val="18"/>
                <w:color w:val="auto"/>
              </w:rPr>
            </w:pP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color w:val="auto"/>
              </w:rPr>
              <w:t>101.PRE</w:t>
            </w:r>
          </w:p>
        </w:tc>
        <w:tc>
          <w:tcPr>
            <w:tcW w:w="4160" w:type="dxa"/>
            <w:vAlign w:val="bottom"/>
          </w:tcPr>
          <w:p>
            <w:pPr>
              <w:ind w:left="260"/>
              <w:spacing w:after="0"/>
              <w:rPr>
                <w:sz w:val="20"/>
                <w:szCs w:val="20"/>
                <w:color w:val="auto"/>
              </w:rPr>
            </w:pPr>
            <w:r>
              <w:rPr>
                <w:rFonts w:ascii="Arial" w:cs="Arial" w:eastAsia="Arial" w:hAnsi="Arial"/>
                <w:sz w:val="18"/>
                <w:szCs w:val="18"/>
                <w:color w:val="auto"/>
                <w:w w:val="95"/>
              </w:rPr>
              <w:t>XBRL Taxonomy Presentation Linkbase Document</w:t>
            </w:r>
          </w:p>
        </w:tc>
        <w:tc>
          <w:tcPr>
            <w:tcW w:w="6020" w:type="dxa"/>
            <w:vAlign w:val="bottom"/>
          </w:tcPr>
          <w:p>
            <w:pPr>
              <w:spacing w:after="0"/>
              <w:rPr>
                <w:sz w:val="18"/>
                <w:szCs w:val="18"/>
                <w:color w:val="auto"/>
              </w:rPr>
            </w:pPr>
          </w:p>
        </w:tc>
      </w:tr>
      <w:tr>
        <w:trPr>
          <w:trHeight w:val="230"/>
        </w:trPr>
        <w:tc>
          <w:tcPr>
            <w:tcW w:w="1280" w:type="dxa"/>
            <w:vAlign w:val="bottom"/>
          </w:tcPr>
          <w:p>
            <w:pPr>
              <w:ind w:left="340"/>
              <w:spacing w:after="0"/>
              <w:rPr>
                <w:sz w:val="20"/>
                <w:szCs w:val="20"/>
                <w:color w:val="auto"/>
              </w:rPr>
            </w:pPr>
            <w:r>
              <w:rPr>
                <w:rFonts w:ascii="Arial" w:cs="Arial" w:eastAsia="Arial" w:hAnsi="Arial"/>
                <w:sz w:val="18"/>
                <w:szCs w:val="18"/>
                <w:color w:val="auto"/>
              </w:rPr>
              <w:t>101.DEF</w:t>
            </w:r>
          </w:p>
        </w:tc>
        <w:tc>
          <w:tcPr>
            <w:tcW w:w="4160" w:type="dxa"/>
            <w:vAlign w:val="bottom"/>
          </w:tcPr>
          <w:p>
            <w:pPr>
              <w:ind w:left="260"/>
              <w:spacing w:after="0"/>
              <w:rPr>
                <w:sz w:val="20"/>
                <w:szCs w:val="20"/>
                <w:color w:val="auto"/>
              </w:rPr>
            </w:pPr>
            <w:r>
              <w:rPr>
                <w:rFonts w:ascii="Arial" w:cs="Arial" w:eastAsia="Arial" w:hAnsi="Arial"/>
                <w:sz w:val="18"/>
                <w:szCs w:val="18"/>
                <w:color w:val="auto"/>
              </w:rPr>
              <w:t>XBRL Taxonomy Definition Document</w:t>
            </w:r>
          </w:p>
        </w:tc>
        <w:tc>
          <w:tcPr>
            <w:tcW w:w="6020" w:type="dxa"/>
            <w:vAlign w:val="bottom"/>
          </w:tcPr>
          <w:p>
            <w:pPr>
              <w:spacing w:after="0"/>
              <w:rPr>
                <w:sz w:val="20"/>
                <w:szCs w:val="20"/>
                <w:color w:val="auto"/>
              </w:rPr>
            </w:pPr>
          </w:p>
        </w:tc>
      </w:tr>
      <w:tr>
        <w:trPr>
          <w:trHeight w:val="675"/>
        </w:trPr>
        <w:tc>
          <w:tcPr>
            <w:tcW w:w="12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30</w:t>
            </w:r>
          </w:p>
        </w:tc>
      </w:tr>
      <w:tr>
        <w:trPr>
          <w:trHeight w:val="105"/>
        </w:trPr>
        <w:tc>
          <w:tcPr>
            <w:tcW w:w="1280" w:type="dxa"/>
            <w:vAlign w:val="bottom"/>
          </w:tcPr>
          <w:p>
            <w:pPr>
              <w:spacing w:after="0"/>
              <w:rPr>
                <w:sz w:val="9"/>
                <w:szCs w:val="9"/>
                <w:color w:val="auto"/>
              </w:rPr>
            </w:pPr>
          </w:p>
        </w:tc>
        <w:tc>
          <w:tcPr>
            <w:tcW w:w="4160" w:type="dxa"/>
            <w:vAlign w:val="bottom"/>
          </w:tcPr>
          <w:p>
            <w:pPr>
              <w:spacing w:after="0"/>
              <w:rPr>
                <w:sz w:val="9"/>
                <w:szCs w:val="9"/>
                <w:color w:val="auto"/>
              </w:rPr>
            </w:pPr>
          </w:p>
        </w:tc>
        <w:tc>
          <w:tcPr>
            <w:tcW w:w="6020" w:type="dxa"/>
            <w:vAlign w:val="bottom"/>
          </w:tcPr>
          <w:p>
            <w:pPr>
              <w:spacing w:after="0"/>
              <w:rPr>
                <w:sz w:val="9"/>
                <w:szCs w:val="9"/>
                <w:color w:val="auto"/>
              </w:rPr>
            </w:pPr>
          </w:p>
        </w:tc>
      </w:tr>
      <w:tr>
        <w:trPr>
          <w:trHeight w:val="61"/>
        </w:trPr>
        <w:tc>
          <w:tcPr>
            <w:tcW w:w="1280" w:type="dxa"/>
            <w:vAlign w:val="bottom"/>
            <w:shd w:val="clear" w:color="auto" w:fill="808080"/>
          </w:tcPr>
          <w:p>
            <w:pPr>
              <w:spacing w:after="0"/>
              <w:rPr>
                <w:sz w:val="5"/>
                <w:szCs w:val="5"/>
                <w:color w:val="auto"/>
              </w:rPr>
            </w:pPr>
          </w:p>
        </w:tc>
        <w:tc>
          <w:tcPr>
            <w:tcW w:w="4160" w:type="dxa"/>
            <w:vAlign w:val="bottom"/>
            <w:shd w:val="clear" w:color="auto" w:fill="808080"/>
          </w:tcPr>
          <w:p>
            <w:pPr>
              <w:spacing w:after="0"/>
              <w:rPr>
                <w:sz w:val="5"/>
                <w:szCs w:val="5"/>
                <w:color w:val="auto"/>
              </w:rPr>
            </w:pPr>
          </w:p>
        </w:tc>
        <w:tc>
          <w:tcPr>
            <w:tcW w:w="60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ULTRALIFE CORPORATION</w:t>
            </w:r>
          </w:p>
        </w:tc>
        <w:tc>
          <w:tcPr>
            <w:tcW w:w="1400" w:type="dxa"/>
            <w:vAlign w:val="bottom"/>
          </w:tcPr>
          <w:p>
            <w:pPr>
              <w:spacing w:after="0"/>
              <w:rPr>
                <w:sz w:val="17"/>
                <w:szCs w:val="17"/>
                <w:color w:val="auto"/>
              </w:rPr>
            </w:pPr>
          </w:p>
        </w:tc>
      </w:tr>
      <w:tr>
        <w:trPr>
          <w:trHeight w:val="237"/>
        </w:trPr>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(Registrant)</w:t>
            </w: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08"/>
        </w:trPr>
        <w:tc>
          <w:tcPr>
            <w:tcW w:w="3600" w:type="dxa"/>
            <w:vAlign w:val="bottom"/>
            <w:gridSpan w:val="3"/>
          </w:tcPr>
          <w:p>
            <w:pPr>
              <w:ind w:left="180"/>
              <w:spacing w:after="0"/>
              <w:rPr>
                <w:sz w:val="20"/>
                <w:szCs w:val="20"/>
                <w:color w:val="auto"/>
              </w:rPr>
            </w:pPr>
            <w:r>
              <w:rPr>
                <w:rFonts w:ascii="Arial" w:cs="Arial" w:eastAsia="Arial" w:hAnsi="Arial"/>
                <w:sz w:val="18"/>
                <w:szCs w:val="18"/>
                <w:color w:val="auto"/>
              </w:rPr>
              <w:t>Date: July 28, 2016</w:t>
            </w:r>
          </w:p>
        </w:tc>
        <w:tc>
          <w:tcPr>
            <w:tcW w:w="6460" w:type="dxa"/>
            <w:vAlign w:val="bottom"/>
            <w:gridSpan w:val="4"/>
          </w:tcPr>
          <w:p>
            <w:pPr>
              <w:ind w:left="2120"/>
              <w:spacing w:after="0"/>
              <w:rPr>
                <w:sz w:val="20"/>
                <w:szCs w:val="20"/>
                <w:color w:val="auto"/>
              </w:rPr>
            </w:pPr>
            <w:r>
              <w:rPr>
                <w:rFonts w:ascii="Arial" w:cs="Arial" w:eastAsia="Arial" w:hAnsi="Arial"/>
                <w:sz w:val="18"/>
                <w:szCs w:val="18"/>
                <w:color w:val="auto"/>
              </w:rPr>
              <w:t>By: /s/ Michael D. Popielec</w:t>
            </w:r>
          </w:p>
        </w:tc>
        <w:tc>
          <w:tcPr>
            <w:tcW w:w="1400" w:type="dxa"/>
            <w:vAlign w:val="bottom"/>
          </w:tcPr>
          <w:p>
            <w:pPr>
              <w:spacing w:after="0"/>
              <w:rPr>
                <w:sz w:val="24"/>
                <w:szCs w:val="24"/>
                <w:color w:val="auto"/>
              </w:rPr>
            </w:pPr>
          </w:p>
        </w:tc>
      </w:tr>
      <w:tr>
        <w:trPr>
          <w:trHeight w:val="21"/>
        </w:trPr>
        <w:tc>
          <w:tcPr>
            <w:tcW w:w="60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98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Michael D. Popielec</w:t>
            </w:r>
          </w:p>
        </w:tc>
        <w:tc>
          <w:tcPr>
            <w:tcW w:w="1400" w:type="dxa"/>
            <w:vAlign w:val="bottom"/>
          </w:tcPr>
          <w:p>
            <w:pPr>
              <w:spacing w:after="0"/>
              <w:rPr>
                <w:sz w:val="16"/>
                <w:szCs w:val="16"/>
                <w:color w:val="auto"/>
              </w:rPr>
            </w:pPr>
          </w:p>
        </w:tc>
      </w:tr>
      <w:tr>
        <w:trPr>
          <w:trHeight w:val="216"/>
        </w:trPr>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w:t>
            </w:r>
          </w:p>
        </w:tc>
        <w:tc>
          <w:tcPr>
            <w:tcW w:w="14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400" w:type="dxa"/>
            <w:vAlign w:val="bottom"/>
          </w:tcPr>
          <w:p>
            <w:pPr>
              <w:spacing w:after="0"/>
              <w:rPr>
                <w:sz w:val="20"/>
                <w:szCs w:val="20"/>
                <w:color w:val="auto"/>
              </w:rPr>
            </w:pPr>
          </w:p>
        </w:tc>
      </w:tr>
      <w:tr>
        <w:trPr>
          <w:trHeight w:val="716"/>
        </w:trPr>
        <w:tc>
          <w:tcPr>
            <w:tcW w:w="3600" w:type="dxa"/>
            <w:vAlign w:val="bottom"/>
            <w:gridSpan w:val="3"/>
          </w:tcPr>
          <w:p>
            <w:pPr>
              <w:ind w:left="180"/>
              <w:spacing w:after="0"/>
              <w:rPr>
                <w:sz w:val="20"/>
                <w:szCs w:val="20"/>
                <w:color w:val="auto"/>
              </w:rPr>
            </w:pPr>
            <w:r>
              <w:rPr>
                <w:rFonts w:ascii="Arial" w:cs="Arial" w:eastAsia="Arial" w:hAnsi="Arial"/>
                <w:sz w:val="18"/>
                <w:szCs w:val="18"/>
                <w:color w:val="auto"/>
              </w:rPr>
              <w:t>Date: July 28, 2016</w:t>
            </w:r>
          </w:p>
        </w:tc>
        <w:tc>
          <w:tcPr>
            <w:tcW w:w="6460" w:type="dxa"/>
            <w:vAlign w:val="bottom"/>
            <w:gridSpan w:val="4"/>
          </w:tcPr>
          <w:p>
            <w:pPr>
              <w:ind w:left="2120"/>
              <w:spacing w:after="0"/>
              <w:rPr>
                <w:sz w:val="20"/>
                <w:szCs w:val="20"/>
                <w:color w:val="auto"/>
              </w:rPr>
            </w:pPr>
            <w:r>
              <w:rPr>
                <w:rFonts w:ascii="Arial" w:cs="Arial" w:eastAsia="Arial" w:hAnsi="Arial"/>
                <w:sz w:val="18"/>
                <w:szCs w:val="18"/>
                <w:color w:val="auto"/>
              </w:rPr>
              <w:t>By: /s/ Philip A. Fain</w:t>
            </w:r>
          </w:p>
        </w:tc>
        <w:tc>
          <w:tcPr>
            <w:tcW w:w="1400" w:type="dxa"/>
            <w:vAlign w:val="bottom"/>
          </w:tcPr>
          <w:p>
            <w:pPr>
              <w:spacing w:after="0"/>
              <w:rPr>
                <w:sz w:val="24"/>
                <w:szCs w:val="24"/>
                <w:color w:val="auto"/>
              </w:rPr>
            </w:pPr>
          </w:p>
        </w:tc>
      </w:tr>
      <w:tr>
        <w:trPr>
          <w:trHeight w:val="21"/>
        </w:trPr>
        <w:tc>
          <w:tcPr>
            <w:tcW w:w="60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98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Philip A. Fain</w:t>
            </w:r>
          </w:p>
        </w:tc>
        <w:tc>
          <w:tcPr>
            <w:tcW w:w="1400" w:type="dxa"/>
            <w:vAlign w:val="bottom"/>
          </w:tcPr>
          <w:p>
            <w:pPr>
              <w:spacing w:after="0"/>
              <w:rPr>
                <w:sz w:val="16"/>
                <w:szCs w:val="16"/>
                <w:color w:val="auto"/>
              </w:rPr>
            </w:pPr>
          </w:p>
        </w:tc>
      </w:tr>
      <w:tr>
        <w:trPr>
          <w:trHeight w:val="216"/>
        </w:trPr>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and Treasurer</w:t>
            </w:r>
          </w:p>
        </w:tc>
        <w:tc>
          <w:tcPr>
            <w:tcW w:w="14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 and</w:t>
            </w:r>
          </w:p>
        </w:tc>
        <w:tc>
          <w:tcPr>
            <w:tcW w:w="14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Principal Accounting Officer)</w:t>
            </w:r>
          </w:p>
        </w:tc>
        <w:tc>
          <w:tcPr>
            <w:tcW w:w="1400" w:type="dxa"/>
            <w:vAlign w:val="bottom"/>
          </w:tcPr>
          <w:p>
            <w:pPr>
              <w:spacing w:after="0"/>
              <w:rPr>
                <w:sz w:val="20"/>
                <w:szCs w:val="20"/>
                <w:color w:val="auto"/>
              </w:rPr>
            </w:pPr>
          </w:p>
        </w:tc>
      </w:tr>
      <w:tr>
        <w:trPr>
          <w:trHeight w:val="729"/>
        </w:trPr>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80" w:type="dxa"/>
            <w:vAlign w:val="bottom"/>
          </w:tcPr>
          <w:p>
            <w:pPr>
              <w:jc w:val="right"/>
              <w:ind w:right="19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5"/>
        </w:trPr>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61"/>
        </w:trPr>
        <w:tc>
          <w:tcPr>
            <w:tcW w:w="6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20" w:type="dxa"/>
            <w:vAlign w:val="bottom"/>
            <w:shd w:val="clear" w:color="auto" w:fill="808080"/>
          </w:tcPr>
          <w:p>
            <w:pPr>
              <w:spacing w:after="0"/>
              <w:rPr>
                <w:sz w:val="5"/>
                <w:szCs w:val="5"/>
                <w:color w:val="auto"/>
              </w:rPr>
            </w:pPr>
          </w:p>
        </w:tc>
        <w:tc>
          <w:tcPr>
            <w:tcW w:w="24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4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9600" w:type="dxa"/>
            <w:vAlign w:val="bottom"/>
          </w:tcPr>
          <w:p>
            <w:pPr>
              <w:ind w:left="3620"/>
              <w:spacing w:after="0"/>
              <w:rPr>
                <w:sz w:val="20"/>
                <w:szCs w:val="20"/>
                <w:color w:val="auto"/>
              </w:rPr>
            </w:pPr>
            <w:r>
              <w:rPr>
                <w:rFonts w:ascii="Arial" w:cs="Arial" w:eastAsia="Arial" w:hAnsi="Arial"/>
                <w:sz w:val="18"/>
                <w:szCs w:val="18"/>
                <w:color w:val="auto"/>
              </w:rPr>
              <w:t>Index to 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33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420"/>
          </w:cols>
          <w:pgMar w:left="900" w:top="584" w:right="5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ind w:right="20" w:firstLine="8"/>
        <w:spacing w:after="0" w:line="342" w:lineRule="auto"/>
        <w:tabs>
          <w:tab w:leader="none" w:pos="4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4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40" w:firstLine="478"/>
        <w:spacing w:after="0" w:line="264" w:lineRule="auto"/>
        <w:tabs>
          <w:tab w:leader="none" w:pos="107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firstLine="478"/>
        <w:spacing w:after="0" w:line="264" w:lineRule="auto"/>
        <w:tabs>
          <w:tab w:leader="none" w:pos="110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firstLine="478"/>
        <w:spacing w:after="0" w:line="308" w:lineRule="auto"/>
        <w:tabs>
          <w:tab w:leader="none" w:pos="1106"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firstLine="478"/>
        <w:spacing w:after="0" w:line="264" w:lineRule="auto"/>
        <w:tabs>
          <w:tab w:leader="none" w:pos="10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41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firstLine="478"/>
        <w:spacing w:after="0" w:line="277" w:lineRule="auto"/>
        <w:tabs>
          <w:tab w:leader="none" w:pos="107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firstLine="478"/>
        <w:spacing w:after="0" w:line="277" w:lineRule="auto"/>
        <w:tabs>
          <w:tab w:leader="none" w:pos="108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020" w:type="dxa"/>
            <w:vAlign w:val="bottom"/>
            <w:gridSpan w:val="3"/>
          </w:tcPr>
          <w:p>
            <w:pPr>
              <w:spacing w:after="0"/>
              <w:rPr>
                <w:sz w:val="20"/>
                <w:szCs w:val="20"/>
                <w:color w:val="auto"/>
              </w:rPr>
            </w:pPr>
            <w:r>
              <w:rPr>
                <w:rFonts w:ascii="Arial" w:cs="Arial" w:eastAsia="Arial" w:hAnsi="Arial"/>
                <w:sz w:val="18"/>
                <w:szCs w:val="18"/>
                <w:color w:val="auto"/>
              </w:rPr>
              <w:t>Date: July 28, 2016</w:t>
            </w:r>
          </w:p>
        </w:tc>
        <w:tc>
          <w:tcPr>
            <w:tcW w:w="4800" w:type="dxa"/>
            <w:vAlign w:val="bottom"/>
            <w:gridSpan w:val="3"/>
          </w:tcPr>
          <w:p>
            <w:pPr>
              <w:ind w:left="1600"/>
              <w:spacing w:after="0"/>
              <w:rPr>
                <w:sz w:val="20"/>
                <w:szCs w:val="20"/>
                <w:color w:val="auto"/>
              </w:rPr>
            </w:pPr>
            <w:r>
              <w:rPr>
                <w:rFonts w:ascii="Arial" w:cs="Arial" w:eastAsia="Arial" w:hAnsi="Arial"/>
                <w:sz w:val="18"/>
                <w:szCs w:val="18"/>
                <w:color w:val="auto"/>
              </w:rPr>
              <w:t>By: /s/ Michael D. Popielec</w:t>
            </w:r>
          </w:p>
        </w:tc>
      </w:tr>
      <w:tr>
        <w:trPr>
          <w:trHeight w:val="222"/>
        </w:trPr>
        <w:tc>
          <w:tcPr>
            <w:tcW w:w="4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5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Michael D. Popielec</w:t>
            </w:r>
          </w:p>
        </w:tc>
        <w:tc>
          <w:tcPr>
            <w:tcW w:w="34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ind w:right="20" w:firstLine="8"/>
        <w:spacing w:after="0" w:line="342" w:lineRule="auto"/>
        <w:tabs>
          <w:tab w:leader="none" w:pos="4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48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40" w:firstLine="478"/>
        <w:spacing w:after="0" w:line="264" w:lineRule="auto"/>
        <w:tabs>
          <w:tab w:leader="none" w:pos="107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firstLine="478"/>
        <w:spacing w:after="0" w:line="264" w:lineRule="auto"/>
        <w:tabs>
          <w:tab w:leader="none" w:pos="110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firstLine="478"/>
        <w:spacing w:after="0" w:line="308" w:lineRule="auto"/>
        <w:tabs>
          <w:tab w:leader="none" w:pos="1106"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firstLine="478"/>
        <w:spacing w:after="0" w:line="264" w:lineRule="auto"/>
        <w:tabs>
          <w:tab w:leader="none" w:pos="10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41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firstLine="478"/>
        <w:spacing w:after="0" w:line="277" w:lineRule="auto"/>
        <w:tabs>
          <w:tab w:leader="none" w:pos="107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firstLine="478"/>
        <w:spacing w:after="0" w:line="277" w:lineRule="auto"/>
        <w:tabs>
          <w:tab w:leader="none" w:pos="108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020" w:type="dxa"/>
            <w:vAlign w:val="bottom"/>
            <w:gridSpan w:val="3"/>
          </w:tcPr>
          <w:p>
            <w:pPr>
              <w:spacing w:after="0"/>
              <w:rPr>
                <w:sz w:val="20"/>
                <w:szCs w:val="20"/>
                <w:color w:val="auto"/>
              </w:rPr>
            </w:pPr>
            <w:r>
              <w:rPr>
                <w:rFonts w:ascii="Arial" w:cs="Arial" w:eastAsia="Arial" w:hAnsi="Arial"/>
                <w:sz w:val="18"/>
                <w:szCs w:val="18"/>
                <w:color w:val="auto"/>
              </w:rPr>
              <w:t>Date: July 28, 2016</w:t>
            </w:r>
          </w:p>
        </w:tc>
        <w:tc>
          <w:tcPr>
            <w:tcW w:w="4900" w:type="dxa"/>
            <w:vAlign w:val="bottom"/>
            <w:gridSpan w:val="3"/>
          </w:tcPr>
          <w:p>
            <w:pPr>
              <w:ind w:left="1600"/>
              <w:spacing w:after="0"/>
              <w:rPr>
                <w:sz w:val="20"/>
                <w:szCs w:val="20"/>
                <w:color w:val="auto"/>
              </w:rPr>
            </w:pPr>
            <w:r>
              <w:rPr>
                <w:rFonts w:ascii="Arial" w:cs="Arial" w:eastAsia="Arial" w:hAnsi="Arial"/>
                <w:sz w:val="18"/>
                <w:szCs w:val="18"/>
                <w:color w:val="auto"/>
              </w:rPr>
              <w:t>By: /s/ Philip A. Fain</w:t>
            </w:r>
          </w:p>
        </w:tc>
      </w:tr>
      <w:tr>
        <w:trPr>
          <w:trHeight w:val="222"/>
        </w:trPr>
        <w:tc>
          <w:tcPr>
            <w:tcW w:w="4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Philip A. Fain</w:t>
            </w:r>
          </w:p>
        </w:tc>
        <w:tc>
          <w:tcPr>
            <w:tcW w:w="6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0" w:type="dxa"/>
            <w:vAlign w:val="bottom"/>
            <w:gridSpan w:val="2"/>
          </w:tcPr>
          <w:p>
            <w:pPr>
              <w:ind w:left="240"/>
              <w:spacing w:after="0"/>
              <w:rPr>
                <w:sz w:val="20"/>
                <w:szCs w:val="20"/>
                <w:color w:val="auto"/>
              </w:rPr>
            </w:pPr>
            <w:r>
              <w:rPr>
                <w:rFonts w:ascii="Arial" w:cs="Arial" w:eastAsia="Arial" w:hAnsi="Arial"/>
                <w:sz w:val="18"/>
                <w:szCs w:val="18"/>
                <w:color w:val="auto"/>
                <w:w w:val="92"/>
              </w:rPr>
              <w:t>Chief Financial Officer and Treasurer</w:t>
            </w:r>
          </w:p>
        </w:tc>
      </w:tr>
    </w:tbl>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June 26, 2016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9"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020" w:type="dxa"/>
            <w:vAlign w:val="bottom"/>
            <w:gridSpan w:val="3"/>
          </w:tcPr>
          <w:p>
            <w:pPr>
              <w:spacing w:after="0"/>
              <w:rPr>
                <w:sz w:val="20"/>
                <w:szCs w:val="20"/>
                <w:color w:val="auto"/>
              </w:rPr>
            </w:pPr>
            <w:r>
              <w:rPr>
                <w:rFonts w:ascii="Arial" w:cs="Arial" w:eastAsia="Arial" w:hAnsi="Arial"/>
                <w:sz w:val="18"/>
                <w:szCs w:val="18"/>
                <w:color w:val="auto"/>
              </w:rPr>
              <w:t>Date: July 28, 2016</w:t>
            </w:r>
          </w:p>
        </w:tc>
        <w:tc>
          <w:tcPr>
            <w:tcW w:w="4880" w:type="dxa"/>
            <w:vAlign w:val="bottom"/>
            <w:gridSpan w:val="4"/>
          </w:tcPr>
          <w:p>
            <w:pPr>
              <w:ind w:left="1600"/>
              <w:spacing w:after="0"/>
              <w:rPr>
                <w:sz w:val="20"/>
                <w:szCs w:val="20"/>
                <w:color w:val="auto"/>
              </w:rPr>
            </w:pPr>
            <w:r>
              <w:rPr>
                <w:rFonts w:ascii="Arial" w:cs="Arial" w:eastAsia="Arial" w:hAnsi="Arial"/>
                <w:sz w:val="18"/>
                <w:szCs w:val="18"/>
                <w:color w:val="auto"/>
              </w:rPr>
              <w:t>By: /s/ Michael D. Popielec</w:t>
            </w:r>
          </w:p>
        </w:tc>
      </w:tr>
      <w:tr>
        <w:trPr>
          <w:trHeight w:val="222"/>
        </w:trPr>
        <w:tc>
          <w:tcPr>
            <w:tcW w:w="4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7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D. Popielec</w:t>
            </w:r>
          </w:p>
        </w:tc>
        <w:tc>
          <w:tcPr>
            <w:tcW w:w="240" w:type="dxa"/>
            <w:vAlign w:val="bottom"/>
            <w:gridSpan w:val="2"/>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980" w:type="dxa"/>
            <w:vAlign w:val="bottom"/>
            <w:gridSpan w:val="3"/>
          </w:tcPr>
          <w:p>
            <w:pPr>
              <w:ind w:left="240"/>
              <w:spacing w:after="0"/>
              <w:rPr>
                <w:sz w:val="20"/>
                <w:szCs w:val="20"/>
                <w:color w:val="auto"/>
              </w:rPr>
            </w:pPr>
            <w:r>
              <w:rPr>
                <w:rFonts w:ascii="Arial" w:cs="Arial" w:eastAsia="Arial" w:hAnsi="Arial"/>
                <w:sz w:val="18"/>
                <w:szCs w:val="18"/>
                <w:color w:val="auto"/>
                <w:w w:val="90"/>
              </w:rPr>
              <w:t>President and Chief Executive Officer</w:t>
            </w:r>
          </w:p>
        </w:tc>
      </w:tr>
      <w:tr>
        <w:trPr>
          <w:trHeight w:val="392"/>
        </w:trPr>
        <w:tc>
          <w:tcPr>
            <w:tcW w:w="3020" w:type="dxa"/>
            <w:vAlign w:val="bottom"/>
            <w:gridSpan w:val="3"/>
          </w:tcPr>
          <w:p>
            <w:pPr>
              <w:spacing w:after="0"/>
              <w:rPr>
                <w:sz w:val="20"/>
                <w:szCs w:val="20"/>
                <w:color w:val="auto"/>
              </w:rPr>
            </w:pPr>
            <w:r>
              <w:rPr>
                <w:rFonts w:ascii="Arial" w:cs="Arial" w:eastAsia="Arial" w:hAnsi="Arial"/>
                <w:sz w:val="18"/>
                <w:szCs w:val="18"/>
                <w:color w:val="auto"/>
              </w:rPr>
              <w:t>Date: July 28, 2016</w:t>
            </w:r>
          </w:p>
        </w:tc>
        <w:tc>
          <w:tcPr>
            <w:tcW w:w="4880" w:type="dxa"/>
            <w:vAlign w:val="bottom"/>
            <w:gridSpan w:val="4"/>
          </w:tcPr>
          <w:p>
            <w:pPr>
              <w:ind w:left="1600"/>
              <w:spacing w:after="0"/>
              <w:rPr>
                <w:sz w:val="20"/>
                <w:szCs w:val="20"/>
                <w:color w:val="auto"/>
              </w:rPr>
            </w:pPr>
            <w:r>
              <w:rPr>
                <w:rFonts w:ascii="Arial" w:cs="Arial" w:eastAsia="Arial" w:hAnsi="Arial"/>
                <w:sz w:val="18"/>
                <w:szCs w:val="18"/>
                <w:color w:val="auto"/>
              </w:rPr>
              <w:t>By: /s/ Philip A. Fain</w:t>
            </w:r>
          </w:p>
        </w:tc>
      </w:tr>
      <w:tr>
        <w:trPr>
          <w:trHeight w:val="222"/>
        </w:trPr>
        <w:tc>
          <w:tcPr>
            <w:tcW w:w="4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76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Philip A. Fain</w:t>
            </w:r>
          </w:p>
        </w:tc>
        <w:tc>
          <w:tcPr>
            <w:tcW w:w="22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980" w:type="dxa"/>
            <w:vAlign w:val="bottom"/>
            <w:gridSpan w:val="3"/>
          </w:tcPr>
          <w:p>
            <w:pPr>
              <w:ind w:left="240"/>
              <w:spacing w:after="0"/>
              <w:rPr>
                <w:sz w:val="20"/>
                <w:szCs w:val="20"/>
                <w:color w:val="auto"/>
              </w:rPr>
            </w:pPr>
            <w:r>
              <w:rPr>
                <w:rFonts w:ascii="Arial" w:cs="Arial" w:eastAsia="Arial" w:hAnsi="Arial"/>
                <w:sz w:val="18"/>
                <w:szCs w:val="18"/>
                <w:color w:val="auto"/>
                <w:w w:val="92"/>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decimal"/>
      <w:start w:val="13"/>
    </w:lvl>
  </w:abstractNum>
  <w:abstractNum w:abstractNumId="13">
    <w:nsid w:val="4E6AFB66"/>
    <w:multiLevelType w:val="hybridMultilevel"/>
    <w:lvl w:ilvl="0">
      <w:lvlJc w:val="left"/>
      <w:lvlText w:val="%1."/>
      <w:numFmt w:val="decimal"/>
      <w:start w:val="14"/>
    </w:lvl>
  </w:abstractNum>
  <w:abstractNum w:abstractNumId="14">
    <w:nsid w:val="25E45D32"/>
    <w:multiLevelType w:val="hybridMultilevel"/>
    <w:lvl w:ilvl="0">
      <w:lvlJc w:val="left"/>
      <w:lvlText w:val="%1."/>
      <w:numFmt w:val="decimal"/>
      <w:start w:val="15"/>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2019-12-06T00:09:26Z</dcterms:created>
  <dcterms:modified xsi:type="dcterms:W3CDTF">2019-12-06T00:09:26Z</dcterms:modified>
</cp:coreProperties>
</file>