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17,526,229, net of 1,383,977 treasury shares, as of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500" w:type="dxa"/>
            <w:vAlign w:val="bottom"/>
            <w:gridSpan w:val="15"/>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60" w:type="dxa"/>
            <w:vAlign w:val="bottom"/>
            <w:gridSpan w:val="4"/>
          </w:tcPr>
          <w:p>
            <w:pPr>
              <w:ind w:left="52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500" w:type="dxa"/>
            <w:vAlign w:val="bottom"/>
            <w:gridSpan w:val="15"/>
            <w:vMerge w:val="continue"/>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30, 2014 (Unaudited) and December 31, 2013</w:t>
              </w:r>
            </w:hyperlink>
          </w:p>
        </w:tc>
        <w:tc>
          <w:tcPr>
            <w:tcW w:w="740" w:type="dxa"/>
            <w:vAlign w:val="bottom"/>
            <w:gridSpan w:val="3"/>
          </w:tcPr>
          <w:p>
            <w:pPr>
              <w:jc w:val="center"/>
              <w:ind w:left="5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Income (Unaudited) - Three-month periods ended</w:t>
              </w:r>
            </w:hyperlink>
          </w:p>
        </w:tc>
        <w:tc>
          <w:tcPr>
            <w:tcW w:w="740" w:type="dxa"/>
            <w:vAlign w:val="bottom"/>
            <w:gridSpan w:val="3"/>
          </w:tcPr>
          <w:p>
            <w:pPr>
              <w:jc w:val="center"/>
              <w:ind w:left="5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30, 2014 and March 31, 2013</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Cash Flows (Unaudited) - Three-month periods ended March 30, 2014 and March 31,</w:t>
              </w:r>
            </w:hyperlink>
          </w:p>
        </w:tc>
        <w:tc>
          <w:tcPr>
            <w:tcW w:w="740" w:type="dxa"/>
            <w:vAlign w:val="bottom"/>
            <w:gridSpan w:val="3"/>
          </w:tcPr>
          <w:p>
            <w:pPr>
              <w:jc w:val="center"/>
              <w:ind w:left="5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2013</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28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80" w:type="dxa"/>
            <w:vAlign w:val="bottom"/>
            <w:gridSpan w:val="5"/>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w:t>
              </w:r>
            </w:hyperlink>
          </w:p>
        </w:tc>
        <w:tc>
          <w:tcPr>
            <w:tcW w:w="2020" w:type="dxa"/>
            <w:vAlign w:val="bottom"/>
            <w:tcBorders>
              <w:bottom w:val="single" w:sz="8" w:color="0000EE"/>
            </w:tcBorders>
            <w:gridSpan w:val="5"/>
          </w:tcPr>
          <w:p>
            <w:pPr>
              <w:ind w:left="120"/>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OTHER INFORMATION</w:t>
              </w:r>
            </w:hyperlink>
          </w:p>
        </w:tc>
        <w:tc>
          <w:tcPr>
            <w:tcW w:w="748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Index to Exhibits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top w:val="single" w:sz="8" w:color="0000EE"/>
            </w:tcBorders>
            <w:gridSpan w:val="5"/>
          </w:tcPr>
          <w:p>
            <w:pPr>
              <w:spacing w:after="0"/>
              <w:rPr>
                <w:sz w:val="24"/>
                <w:szCs w:val="24"/>
                <w:color w:val="auto"/>
              </w:rPr>
            </w:pPr>
          </w:p>
        </w:tc>
        <w:tc>
          <w:tcPr>
            <w:tcW w:w="4800" w:type="dxa"/>
            <w:vAlign w:val="bottom"/>
            <w:gridSpan w:val="6"/>
          </w:tcPr>
          <w:p>
            <w:pPr>
              <w:jc w:val="right"/>
              <w:ind w:right="202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810" w:right="6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ind w:left="500"/>
              <w:spacing w:after="0"/>
              <w:rPr>
                <w:sz w:val="20"/>
                <w:szCs w:val="20"/>
                <w:color w:val="auto"/>
              </w:rPr>
            </w:pPr>
            <w:r>
              <w:rPr>
                <w:rFonts w:ascii="Arial" w:cs="Arial" w:eastAsia="Arial" w:hAnsi="Arial"/>
                <w:sz w:val="16"/>
                <w:szCs w:val="16"/>
                <w:b w:val="1"/>
                <w:bCs w:val="1"/>
                <w:color w:val="auto"/>
              </w:rPr>
              <w:t>ITEM 1. CONDENSED CONSOLIDATED FINANCIAL STATEMENTS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7680" w:type="dxa"/>
            <w:vAlign w:val="bottom"/>
            <w:gridSpan w:val="3"/>
          </w:tcPr>
          <w:p>
            <w:pPr>
              <w:jc w:val="center"/>
              <w:ind w:left="3659"/>
              <w:spacing w:after="0"/>
              <w:rPr>
                <w:sz w:val="20"/>
                <w:szCs w:val="20"/>
                <w:color w:val="auto"/>
              </w:rPr>
            </w:pPr>
            <w:r>
              <w:rPr>
                <w:rFonts w:ascii="Arial" w:cs="Arial" w:eastAsia="Arial" w:hAnsi="Arial"/>
                <w:sz w:val="16"/>
                <w:szCs w:val="16"/>
                <w:b w:val="1"/>
                <w:bCs w:val="1"/>
                <w:color w:val="auto"/>
              </w:rPr>
              <w:t>ULTRALIFE CORPORATION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20" w:type="dxa"/>
            <w:vAlign w:val="bottom"/>
          </w:tcPr>
          <w:p>
            <w:pPr>
              <w:jc w:val="center"/>
              <w:ind w:left="4099"/>
              <w:spacing w:after="0"/>
              <w:rPr>
                <w:sz w:val="20"/>
                <w:szCs w:val="20"/>
                <w:color w:val="auto"/>
              </w:rPr>
            </w:pPr>
            <w:r>
              <w:rPr>
                <w:rFonts w:ascii="Arial" w:cs="Arial" w:eastAsia="Arial" w:hAnsi="Arial"/>
                <w:sz w:val="16"/>
                <w:szCs w:val="16"/>
                <w:b w:val="1"/>
                <w:bCs w:val="1"/>
                <w:color w:val="auto"/>
              </w:rPr>
              <w:t>CONSOLIDATED BALANCE SHEETS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jc w:val="center"/>
              <w:ind w:left="4119"/>
              <w:spacing w:after="0"/>
              <w:rPr>
                <w:sz w:val="20"/>
                <w:szCs w:val="20"/>
                <w:color w:val="auto"/>
              </w:rPr>
            </w:pPr>
            <w:r>
              <w:rPr>
                <w:rFonts w:ascii="Arial" w:cs="Arial" w:eastAsia="Arial" w:hAnsi="Arial"/>
                <w:sz w:val="16"/>
                <w:szCs w:val="16"/>
                <w:b w:val="1"/>
                <w:bCs w:val="1"/>
                <w:color w:val="auto"/>
                <w:w w:val="91"/>
              </w:rPr>
              <w:t>(Dollars in Thousands)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tcPr>
          <w:p>
            <w:pPr>
              <w:jc w:val="center"/>
              <w:ind w:left="4119"/>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220" w:type="dxa"/>
            <w:vAlign w:val="bottom"/>
          </w:tcPr>
          <w:p>
            <w:pPr>
              <w:jc w:val="center"/>
              <w:ind w:left="4139"/>
              <w:spacing w:after="0"/>
              <w:rPr>
                <w:sz w:val="20"/>
                <w:szCs w:val="20"/>
                <w:color w:val="auto"/>
              </w:rPr>
            </w:pPr>
            <w:r>
              <w:rPr>
                <w:rFonts w:ascii="Arial" w:cs="Arial" w:eastAsia="Arial" w:hAnsi="Arial"/>
                <w:sz w:val="16"/>
                <w:szCs w:val="16"/>
                <w:b w:val="1"/>
                <w:bCs w:val="1"/>
                <w:color w:val="auto"/>
                <w:w w:val="93"/>
              </w:rPr>
              <w:t>ASSETS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March 30,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46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18,899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16,489</w:t>
            </w:r>
          </w:p>
        </w:tc>
        <w:tc>
          <w:tcPr>
            <w:tcW w:w="0" w:type="dxa"/>
            <w:vAlign w:val="bottom"/>
          </w:tcPr>
          <w:p>
            <w:pPr>
              <w:spacing w:after="0"/>
              <w:rPr>
                <w:sz w:val="1"/>
                <w:szCs w:val="1"/>
                <w:color w:val="auto"/>
              </w:rPr>
            </w:pPr>
          </w:p>
        </w:tc>
      </w:tr>
      <w:tr>
        <w:trPr>
          <w:trHeight w:val="193"/>
        </w:trPr>
        <w:tc>
          <w:tcPr>
            <w:tcW w:w="7220" w:type="dxa"/>
            <w:vAlign w:val="bottom"/>
          </w:tcPr>
          <w:p>
            <w:pPr>
              <w:ind w:left="200"/>
              <w:spacing w:after="0"/>
              <w:rPr>
                <w:sz w:val="20"/>
                <w:szCs w:val="20"/>
                <w:color w:val="auto"/>
              </w:rPr>
            </w:pPr>
            <w:r>
              <w:rPr>
                <w:rFonts w:ascii="Arial" w:cs="Arial" w:eastAsia="Arial" w:hAnsi="Arial"/>
                <w:sz w:val="16"/>
                <w:szCs w:val="16"/>
                <w:color w:val="auto"/>
              </w:rPr>
              <w:t>Trade accounts receivable, net of allowance for doubtful accounts of $284 and $288,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320"/>
              <w:spacing w:after="0"/>
              <w:rPr>
                <w:sz w:val="20"/>
                <w:szCs w:val="20"/>
                <w:color w:val="auto"/>
              </w:rPr>
            </w:pPr>
            <w:r>
              <w:rPr>
                <w:rFonts w:ascii="Arial" w:cs="Arial" w:eastAsia="Arial" w:hAnsi="Arial"/>
                <w:sz w:val="16"/>
                <w:szCs w:val="16"/>
                <w:color w:val="auto"/>
              </w:rPr>
              <w:t>respectively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10,036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14,238</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26,662</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26,053</w:t>
            </w:r>
          </w:p>
        </w:tc>
        <w:tc>
          <w:tcPr>
            <w:tcW w:w="0" w:type="dxa"/>
            <w:vAlign w:val="bottom"/>
          </w:tcPr>
          <w:p>
            <w:pPr>
              <w:spacing w:after="0"/>
              <w:rPr>
                <w:sz w:val="1"/>
                <w:szCs w:val="1"/>
                <w:color w:val="auto"/>
              </w:rPr>
            </w:pPr>
          </w:p>
        </w:tc>
      </w:tr>
      <w:tr>
        <w:trPr>
          <w:trHeight w:val="203"/>
        </w:trPr>
        <w:tc>
          <w:tcPr>
            <w:tcW w:w="722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1,254</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from insurance company</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72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9"/>
        </w:trPr>
        <w:tc>
          <w:tcPr>
            <w:tcW w:w="72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57,363</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00"/>
              <w:spacing w:after="0"/>
              <w:rPr>
                <w:sz w:val="20"/>
                <w:szCs w:val="20"/>
                <w:color w:val="auto"/>
              </w:rPr>
            </w:pPr>
            <w:r>
              <w:rPr>
                <w:rFonts w:ascii="Arial" w:cs="Arial" w:eastAsia="Arial" w:hAnsi="Arial"/>
                <w:sz w:val="16"/>
                <w:szCs w:val="16"/>
                <w:color w:val="auto"/>
              </w:rPr>
              <w:t>Property, equipment and improvements, net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9,786</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16,399</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16,419</w:t>
            </w:r>
          </w:p>
        </w:tc>
        <w:tc>
          <w:tcPr>
            <w:tcW w:w="0" w:type="dxa"/>
            <w:vAlign w:val="bottom"/>
          </w:tcPr>
          <w:p>
            <w:pPr>
              <w:spacing w:after="0"/>
              <w:rPr>
                <w:sz w:val="1"/>
                <w:szCs w:val="1"/>
                <w:color w:val="auto"/>
              </w:rPr>
            </w:pPr>
          </w:p>
        </w:tc>
      </w:tr>
      <w:tr>
        <w:trPr>
          <w:trHeight w:val="203"/>
        </w:trPr>
        <w:tc>
          <w:tcPr>
            <w:tcW w:w="7220" w:type="dxa"/>
            <w:vAlign w:val="bottom"/>
          </w:tcPr>
          <w:p>
            <w:pPr>
              <w:ind w:left="100"/>
              <w:spacing w:after="0"/>
              <w:rPr>
                <w:sz w:val="20"/>
                <w:szCs w:val="20"/>
                <w:color w:val="auto"/>
              </w:rPr>
            </w:pPr>
            <w:r>
              <w:rPr>
                <w:rFonts w:ascii="Arial" w:cs="Arial" w:eastAsia="Arial" w:hAnsi="Arial"/>
                <w:sz w:val="16"/>
                <w:szCs w:val="16"/>
                <w:color w:val="auto"/>
              </w:rPr>
              <w:t>Other intangible assets, net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4,571</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Security deposits and other non-current assets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88,369</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90,194</w:t>
            </w:r>
          </w:p>
        </w:tc>
        <w:tc>
          <w:tcPr>
            <w:tcW w:w="0" w:type="dxa"/>
            <w:vAlign w:val="bottom"/>
          </w:tcPr>
          <w:p>
            <w:pPr>
              <w:spacing w:after="0"/>
              <w:rPr>
                <w:sz w:val="1"/>
                <w:szCs w:val="1"/>
                <w:color w:val="auto"/>
              </w:rPr>
            </w:pPr>
          </w:p>
        </w:tc>
      </w:tr>
      <w:tr>
        <w:trPr>
          <w:trHeight w:val="186"/>
        </w:trPr>
        <w:tc>
          <w:tcPr>
            <w:tcW w:w="7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gridSpan w:val="3"/>
          </w:tcPr>
          <w:p>
            <w:pPr>
              <w:ind w:left="4000"/>
              <w:spacing w:after="0"/>
              <w:rPr>
                <w:sz w:val="20"/>
                <w:szCs w:val="20"/>
                <w:color w:val="auto"/>
              </w:rPr>
            </w:pPr>
            <w:r>
              <w:rPr>
                <w:rFonts w:ascii="Arial" w:cs="Arial" w:eastAsia="Arial" w:hAnsi="Arial"/>
                <w:sz w:val="16"/>
                <w:szCs w:val="16"/>
                <w:b w:val="1"/>
                <w:bCs w:val="1"/>
                <w:color w:val="auto"/>
              </w:rPr>
              <w:t>LIABILITIES AND SHAREHOLDERS' EQUITY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46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7,064</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7,053</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compensation and related benefits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3"/>
        </w:trPr>
        <w:tc>
          <w:tcPr>
            <w:tcW w:w="7220" w:type="dxa"/>
            <w:vAlign w:val="bottom"/>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2,616</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72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72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4,297</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15,708</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00"/>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00"/>
              <w:spacing w:after="0"/>
              <w:rPr>
                <w:sz w:val="20"/>
                <w:szCs w:val="20"/>
                <w:color w:val="auto"/>
              </w:rPr>
            </w:pPr>
            <w:r>
              <w:rPr>
                <w:rFonts w:ascii="Arial" w:cs="Arial" w:eastAsia="Arial" w:hAnsi="Arial"/>
                <w:sz w:val="16"/>
                <w:szCs w:val="16"/>
                <w:color w:val="auto"/>
              </w:rPr>
              <w:t>Shareholders' equity:</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 par value $.10 per share; authorized 1,000,000 shares; none issued</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7220" w:type="dxa"/>
            <w:vAlign w:val="bottom"/>
          </w:tcPr>
          <w:p>
            <w:pPr>
              <w:ind w:left="160"/>
              <w:spacing w:after="0"/>
              <w:rPr>
                <w:sz w:val="20"/>
                <w:szCs w:val="20"/>
                <w:color w:val="auto"/>
              </w:rPr>
            </w:pPr>
            <w:r>
              <w:rPr>
                <w:rFonts w:ascii="Arial" w:cs="Arial" w:eastAsia="Arial" w:hAnsi="Arial"/>
                <w:sz w:val="16"/>
                <w:szCs w:val="16"/>
                <w:color w:val="auto"/>
              </w:rPr>
              <w:t>Common stock – par value $.10 per share; authorized 40,000,000 shares; issued – 18,910,206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320"/>
              <w:spacing w:after="0"/>
              <w:rPr>
                <w:sz w:val="20"/>
                <w:szCs w:val="20"/>
                <w:color w:val="auto"/>
              </w:rPr>
            </w:pPr>
            <w:r>
              <w:rPr>
                <w:rFonts w:ascii="Arial" w:cs="Arial" w:eastAsia="Arial" w:hAnsi="Arial"/>
                <w:sz w:val="16"/>
                <w:szCs w:val="16"/>
                <w:color w:val="auto"/>
              </w:rPr>
              <w:t>shares at March 30, 2014 and 18,851,579 shares at December 31, 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1,891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in excess of par value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175,198</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174,932</w:t>
            </w: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(96,090)</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(94,804)</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(548)</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93"/>
        </w:trPr>
        <w:tc>
          <w:tcPr>
            <w:tcW w:w="7220" w:type="dxa"/>
            <w:vAlign w:val="bottom"/>
          </w:tcPr>
          <w:p>
            <w:pPr>
              <w:ind w:left="160"/>
              <w:spacing w:after="0"/>
              <w:rPr>
                <w:sz w:val="20"/>
                <w:szCs w:val="20"/>
                <w:color w:val="auto"/>
              </w:rPr>
            </w:pPr>
            <w:r>
              <w:rPr>
                <w:rFonts w:ascii="Arial" w:cs="Arial" w:eastAsia="Arial" w:hAnsi="Arial"/>
                <w:sz w:val="16"/>
                <w:szCs w:val="16"/>
                <w:color w:val="auto"/>
              </w:rPr>
              <w:t>Treasury stock - at cost; 1,383,977 shares at March 30, 2014 and 1,372,757 shares at December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320"/>
              <w:spacing w:after="0"/>
              <w:rPr>
                <w:sz w:val="20"/>
                <w:szCs w:val="20"/>
                <w:color w:val="auto"/>
              </w:rPr>
            </w:pPr>
            <w:r>
              <w:rPr>
                <w:rFonts w:ascii="Arial" w:cs="Arial" w:eastAsia="Arial" w:hAnsi="Arial"/>
                <w:sz w:val="16"/>
                <w:szCs w:val="16"/>
                <w:color w:val="auto"/>
              </w:rPr>
              <w:t>31, 2013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(7,697)</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(7,658)</w:t>
            </w:r>
          </w:p>
        </w:tc>
        <w:tc>
          <w:tcPr>
            <w:tcW w:w="0" w:type="dxa"/>
            <w:vAlign w:val="bottom"/>
          </w:tcPr>
          <w:p>
            <w:pPr>
              <w:spacing w:after="0"/>
              <w:rPr>
                <w:sz w:val="1"/>
                <w:szCs w:val="1"/>
                <w:color w:val="auto"/>
              </w:rPr>
            </w:pPr>
          </w:p>
        </w:tc>
      </w:tr>
      <w:tr>
        <w:trPr>
          <w:trHeight w:val="199"/>
        </w:trPr>
        <w:tc>
          <w:tcPr>
            <w:tcW w:w="72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Ultralife equity</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10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9"/>
        </w:trPr>
        <w:tc>
          <w:tcPr>
            <w:tcW w:w="72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shareholders’ equity</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72,661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88,369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90,194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0" w:lineRule="exact"/>
        <w:rPr>
          <w:sz w:val="20"/>
          <w:szCs w:val="20"/>
          <w:color w:val="auto"/>
        </w:rPr>
      </w:pPr>
    </w:p>
    <w:p>
      <w:pPr>
        <w:jc w:val="both"/>
        <w:ind w:left="568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gridSpan w:val="3"/>
          </w:tcPr>
          <w:p>
            <w:pPr>
              <w:jc w:val="center"/>
              <w:ind w:left="3659"/>
              <w:spacing w:after="0"/>
              <w:rPr>
                <w:sz w:val="20"/>
                <w:szCs w:val="20"/>
                <w:color w:val="auto"/>
              </w:rPr>
            </w:pPr>
            <w:r>
              <w:rPr>
                <w:rFonts w:ascii="Arial" w:cs="Arial" w:eastAsia="Arial" w:hAnsi="Arial"/>
                <w:sz w:val="16"/>
                <w:szCs w:val="16"/>
                <w:b w:val="1"/>
                <w:bCs w:val="1"/>
                <w:color w:val="auto"/>
              </w:rPr>
              <w:t>ULTRALIFE CORPORATION AND SUBSIDIARIES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00" w:type="dxa"/>
            <w:vAlign w:val="bottom"/>
            <w:gridSpan w:val="6"/>
          </w:tcPr>
          <w:p>
            <w:pPr>
              <w:jc w:val="center"/>
              <w:ind w:left="1819"/>
              <w:spacing w:after="0"/>
              <w:rPr>
                <w:sz w:val="20"/>
                <w:szCs w:val="20"/>
                <w:color w:val="auto"/>
              </w:rPr>
            </w:pPr>
            <w:r>
              <w:rPr>
                <w:rFonts w:ascii="Arial" w:cs="Arial" w:eastAsia="Arial" w:hAnsi="Arial"/>
                <w:sz w:val="16"/>
                <w:szCs w:val="16"/>
                <w:b w:val="1"/>
                <w:bCs w:val="1"/>
                <w:color w:val="auto"/>
              </w:rPr>
              <w:t>CONSOLIDATED STATEMENTS OF OPERATIONS AND COMPREHENSIVE (LOSS) INCOME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jc w:val="center"/>
              <w:ind w:left="4099"/>
              <w:spacing w:after="0"/>
              <w:rPr>
                <w:sz w:val="20"/>
                <w:szCs w:val="20"/>
                <w:color w:val="auto"/>
              </w:rPr>
            </w:pPr>
            <w:r>
              <w:rPr>
                <w:rFonts w:ascii="Arial" w:cs="Arial" w:eastAsia="Arial" w:hAnsi="Arial"/>
                <w:sz w:val="16"/>
                <w:szCs w:val="16"/>
                <w:b w:val="1"/>
                <w:bCs w:val="1"/>
                <w:color w:val="auto"/>
                <w:w w:val="90"/>
              </w:rPr>
              <w:t>(In Thousands except per share amounts)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40" w:type="dxa"/>
            <w:vAlign w:val="bottom"/>
          </w:tcPr>
          <w:p>
            <w:pPr>
              <w:jc w:val="center"/>
              <w:ind w:left="4099"/>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40" w:type="dxa"/>
            <w:vAlign w:val="bottom"/>
            <w:gridSpan w:val="7"/>
            <w:vMerge w:val="restart"/>
          </w:tcPr>
          <w:p>
            <w:pPr>
              <w:jc w:val="right"/>
              <w:ind w:right="1100"/>
              <w:spacing w:after="0"/>
              <w:rPr>
                <w:sz w:val="20"/>
                <w:szCs w:val="20"/>
                <w:color w:val="auto"/>
              </w:rPr>
            </w:pPr>
            <w:r>
              <w:rPr>
                <w:rFonts w:ascii="Arial" w:cs="Arial" w:eastAsia="Arial" w:hAnsi="Arial"/>
                <w:sz w:val="16"/>
                <w:szCs w:val="16"/>
                <w:b w:val="1"/>
                <w:bCs w:val="1"/>
                <w:color w:val="auto"/>
              </w:rPr>
              <w:t>Three month periods ended</w:t>
            </w:r>
          </w:p>
        </w:tc>
        <w:tc>
          <w:tcPr>
            <w:tcW w:w="0" w:type="dxa"/>
            <w:vAlign w:val="bottom"/>
          </w:tcPr>
          <w:p>
            <w:pPr>
              <w:spacing w:after="0"/>
              <w:rPr>
                <w:sz w:val="1"/>
                <w:szCs w:val="1"/>
                <w:color w:val="auto"/>
              </w:rPr>
            </w:pPr>
          </w:p>
        </w:tc>
      </w:tr>
      <w:tr>
        <w:trPr>
          <w:trHeight w:val="195"/>
        </w:trPr>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15,285</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Cost of products sold</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10,950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tcPr>
          <w:p>
            <w:pPr>
              <w:ind w:left="300"/>
              <w:spacing w:after="0"/>
              <w:rPr>
                <w:sz w:val="20"/>
                <w:szCs w:val="20"/>
                <w:color w:val="auto"/>
              </w:rPr>
            </w:pPr>
            <w:r>
              <w:rPr>
                <w:rFonts w:ascii="Arial" w:cs="Arial" w:eastAsia="Arial" w:hAnsi="Arial"/>
                <w:sz w:val="16"/>
                <w:szCs w:val="16"/>
                <w:b w:val="1"/>
                <w:bCs w:val="1"/>
                <w:color w:val="auto"/>
              </w:rPr>
              <w:t>Gross profit</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30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3,995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Operating (loss) income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Other (expense) income: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and financing expense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7240" w:type="dxa"/>
            <w:vAlign w:val="bottom"/>
          </w:tcPr>
          <w:p>
            <w:pPr>
              <w:ind w:left="300"/>
              <w:spacing w:after="0"/>
              <w:rPr>
                <w:sz w:val="20"/>
                <w:szCs w:val="20"/>
                <w:color w:val="auto"/>
              </w:rPr>
            </w:pPr>
            <w:r>
              <w:rPr>
                <w:rFonts w:ascii="Arial" w:cs="Arial" w:eastAsia="Arial" w:hAnsi="Arial"/>
                <w:sz w:val="16"/>
                <w:szCs w:val="16"/>
                <w:color w:val="auto"/>
              </w:rPr>
              <w:t>Miscellaneous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100"/>
              <w:spacing w:after="0"/>
              <w:rPr>
                <w:sz w:val="20"/>
                <w:szCs w:val="20"/>
                <w:color w:val="auto"/>
              </w:rPr>
            </w:pPr>
            <w:r>
              <w:rPr>
                <w:rFonts w:ascii="Arial" w:cs="Arial" w:eastAsia="Arial" w:hAnsi="Arial"/>
                <w:sz w:val="16"/>
                <w:szCs w:val="16"/>
                <w:color w:val="auto"/>
              </w:rPr>
              <w:t>Income tax provision</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Net (loss) income from continuing operations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(1,219)</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net of tax</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(loss) income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 attributable to noncontrolling interest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(loss) income attributable to Ultralife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Other comprehensive income (loss):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66</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Comprehensive (loss) income attributable to Ultralife</w:t>
            </w:r>
          </w:p>
        </w:tc>
        <w:tc>
          <w:tcPr>
            <w:tcW w:w="44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(1,220)</w:t>
            </w:r>
          </w:p>
        </w:tc>
        <w:tc>
          <w:tcPr>
            <w:tcW w:w="560" w:type="dxa"/>
            <w:vAlign w:val="bottom"/>
          </w:tcPr>
          <w:p>
            <w:pPr>
              <w:spacing w:after="0"/>
              <w:rPr>
                <w:sz w:val="23"/>
                <w:szCs w:val="23"/>
                <w:color w:val="auto"/>
              </w:rPr>
            </w:pPr>
          </w:p>
        </w:tc>
        <w:tc>
          <w:tcPr>
            <w:tcW w:w="6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7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Net (loss) income per share attributable to Ultralife common shareholders – basic:</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Continuing operations</w:t>
            </w:r>
          </w:p>
        </w:tc>
        <w:tc>
          <w:tcPr>
            <w:tcW w:w="44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5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2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.00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income per share attributable to Ultralife common shareholders – diluted:</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42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240" w:type="dxa"/>
            <w:vAlign w:val="bottom"/>
          </w:tcPr>
          <w:p>
            <w:pPr>
              <w:ind w:left="42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Weighted average shares outstanding – basic</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17,513</w:t>
            </w: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7240" w:type="dxa"/>
            <w:vAlign w:val="bottom"/>
            <w:tcBorders>
              <w:top w:val="single" w:sz="8" w:color="CCEEFF"/>
            </w:tcBorders>
            <w:shd w:val="clear" w:color="auto" w:fill="CCEEFF"/>
          </w:tcPr>
          <w:p>
            <w:pPr>
              <w:ind w:left="300"/>
              <w:spacing w:after="0" w:line="167" w:lineRule="exact"/>
              <w:rPr>
                <w:sz w:val="20"/>
                <w:szCs w:val="20"/>
                <w:color w:val="auto"/>
              </w:rPr>
            </w:pPr>
            <w:r>
              <w:rPr>
                <w:rFonts w:ascii="Arial" w:cs="Arial" w:eastAsia="Arial" w:hAnsi="Arial"/>
                <w:sz w:val="16"/>
                <w:szCs w:val="16"/>
                <w:color w:val="auto"/>
              </w:rPr>
              <w:t>Potential common shares</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auto"/>
            </w:tcBorders>
            <w:shd w:val="clear" w:color="auto" w:fill="CCEEFF"/>
          </w:tcPr>
          <w:p>
            <w:pPr>
              <w:spacing w:after="0"/>
              <w:rPr>
                <w:sz w:val="15"/>
                <w:szCs w:val="15"/>
                <w:color w:val="auto"/>
              </w:rPr>
            </w:pPr>
          </w:p>
        </w:tc>
        <w:tc>
          <w:tcPr>
            <w:tcW w:w="1240" w:type="dxa"/>
            <w:vAlign w:val="bottom"/>
            <w:tcBorders>
              <w:top w:val="single" w:sz="8" w:color="CCEEFF"/>
              <w:bottom w:val="single" w:sz="8" w:color="auto"/>
              <w:right w:val="single" w:sz="8" w:color="CCEEF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21</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Weighted average shares outstanding – diluted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0" w:lineRule="exact"/>
        <w:rPr>
          <w:sz w:val="20"/>
          <w:szCs w:val="20"/>
          <w:color w:val="auto"/>
        </w:rPr>
      </w:pPr>
    </w:p>
    <w:p>
      <w:pPr>
        <w:jc w:val="both"/>
        <w:ind w:left="568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gridSpan w:val="3"/>
          </w:tcPr>
          <w:p>
            <w:pPr>
              <w:jc w:val="center"/>
              <w:ind w:left="3659"/>
              <w:spacing w:after="0"/>
              <w:rPr>
                <w:sz w:val="20"/>
                <w:szCs w:val="20"/>
                <w:color w:val="auto"/>
              </w:rPr>
            </w:pPr>
            <w:r>
              <w:rPr>
                <w:rFonts w:ascii="Arial" w:cs="Arial" w:eastAsia="Arial" w:hAnsi="Arial"/>
                <w:sz w:val="16"/>
                <w:szCs w:val="16"/>
                <w:b w:val="1"/>
                <w:bCs w:val="1"/>
                <w:color w:val="auto"/>
              </w:rPr>
              <w:t>ULTRALIFE CORPORATION AND SUBSIDIARIES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3"/>
          </w:tcPr>
          <w:p>
            <w:pPr>
              <w:jc w:val="center"/>
              <w:ind w:left="3619"/>
              <w:spacing w:after="0"/>
              <w:rPr>
                <w:sz w:val="20"/>
                <w:szCs w:val="20"/>
                <w:color w:val="auto"/>
              </w:rPr>
            </w:pPr>
            <w:r>
              <w:rPr>
                <w:rFonts w:ascii="Arial" w:cs="Arial" w:eastAsia="Arial" w:hAnsi="Arial"/>
                <w:sz w:val="16"/>
                <w:szCs w:val="16"/>
                <w:b w:val="1"/>
                <w:bCs w:val="1"/>
                <w:color w:val="auto"/>
              </w:rPr>
              <w:t>CONSOLIDATED STATEMENTS OF CASH FLOWS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jc w:val="center"/>
              <w:ind w:left="4519"/>
              <w:spacing w:after="0"/>
              <w:rPr>
                <w:sz w:val="20"/>
                <w:szCs w:val="20"/>
                <w:color w:val="auto"/>
              </w:rPr>
            </w:pPr>
            <w:r>
              <w:rPr>
                <w:rFonts w:ascii="Arial" w:cs="Arial" w:eastAsia="Arial" w:hAnsi="Arial"/>
                <w:sz w:val="16"/>
                <w:szCs w:val="16"/>
                <w:b w:val="1"/>
                <w:bCs w:val="1"/>
                <w:color w:val="auto"/>
                <w:w w:val="92"/>
              </w:rPr>
              <w:t>(In Thousands)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20" w:type="dxa"/>
            <w:vAlign w:val="bottom"/>
          </w:tcPr>
          <w:p>
            <w:pPr>
              <w:jc w:val="center"/>
              <w:ind w:left="4519"/>
              <w:spacing w:after="0"/>
              <w:rPr>
                <w:sz w:val="20"/>
                <w:szCs w:val="20"/>
                <w:color w:val="auto"/>
              </w:rPr>
            </w:pPr>
            <w:r>
              <w:rPr>
                <w:rFonts w:ascii="Arial" w:cs="Arial" w:eastAsia="Arial" w:hAnsi="Arial"/>
                <w:sz w:val="16"/>
                <w:szCs w:val="16"/>
                <w:b w:val="1"/>
                <w:bCs w:val="1"/>
                <w:color w:val="auto"/>
                <w:w w:val="94"/>
              </w:rPr>
              <w:t>(unaudited)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40" w:type="dxa"/>
            <w:vAlign w:val="bottom"/>
            <w:gridSpan w:val="6"/>
            <w:vMerge w:val="restart"/>
          </w:tcPr>
          <w:p>
            <w:pPr>
              <w:jc w:val="right"/>
              <w:ind w:right="1059"/>
              <w:spacing w:after="0"/>
              <w:rPr>
                <w:sz w:val="20"/>
                <w:szCs w:val="20"/>
                <w:color w:val="auto"/>
              </w:rPr>
            </w:pPr>
            <w:r>
              <w:rPr>
                <w:rFonts w:ascii="Arial" w:cs="Arial" w:eastAsia="Arial" w:hAnsi="Arial"/>
                <w:sz w:val="16"/>
                <w:szCs w:val="16"/>
                <w:b w:val="1"/>
                <w:bCs w:val="1"/>
                <w:color w:val="auto"/>
              </w:rPr>
              <w:t>Three month periods ended</w:t>
            </w: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OPERATING ACTIVITIES: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(1,280)</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5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from discontinued operations, net of tax</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3"/>
        </w:trPr>
        <w:tc>
          <w:tcPr>
            <w:tcW w:w="6820" w:type="dxa"/>
            <w:vAlign w:val="bottom"/>
          </w:tcPr>
          <w:p>
            <w:pPr>
              <w:ind w:left="160"/>
              <w:spacing w:after="0"/>
              <w:rPr>
                <w:sz w:val="20"/>
                <w:szCs w:val="20"/>
                <w:color w:val="auto"/>
              </w:rPr>
            </w:pPr>
            <w:r>
              <w:rPr>
                <w:rFonts w:ascii="Arial" w:cs="Arial" w:eastAsia="Arial" w:hAnsi="Arial"/>
                <w:sz w:val="16"/>
                <w:szCs w:val="16"/>
                <w:color w:val="auto"/>
              </w:rPr>
              <w:t>Adjustments to reconcile net (loss) income from continuing operations to net cash provided by</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6"/>
                <w:szCs w:val="16"/>
                <w:color w:val="auto"/>
              </w:rPr>
              <w:t>(used in) operating activities: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Depreciation and amortization of financing fees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3"/>
        </w:trPr>
        <w:tc>
          <w:tcPr>
            <w:tcW w:w="6820" w:type="dxa"/>
            <w:vAlign w:val="bottom"/>
          </w:tcPr>
          <w:p>
            <w:pPr>
              <w:ind w:left="42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74</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Foreign exchange loss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68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269</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Changes in deferred income taxes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3"/>
        </w:trPr>
        <w:tc>
          <w:tcPr>
            <w:tcW w:w="6820" w:type="dxa"/>
            <w:vAlign w:val="bottom"/>
          </w:tcPr>
          <w:p>
            <w:pPr>
              <w:ind w:left="420"/>
              <w:spacing w:after="0"/>
              <w:rPr>
                <w:sz w:val="20"/>
                <w:szCs w:val="20"/>
                <w:color w:val="auto"/>
              </w:rPr>
            </w:pPr>
            <w:r>
              <w:rPr>
                <w:rFonts w:ascii="Arial" w:cs="Arial" w:eastAsia="Arial" w:hAnsi="Arial"/>
                <w:sz w:val="16"/>
                <w:szCs w:val="16"/>
                <w:color w:val="auto"/>
              </w:rPr>
              <w:t>Changes in operating assets and liabilities: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4,183</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03"/>
        </w:trPr>
        <w:tc>
          <w:tcPr>
            <w:tcW w:w="6820" w:type="dxa"/>
            <w:vAlign w:val="bottom"/>
          </w:tcPr>
          <w:p>
            <w:pPr>
              <w:ind w:left="560"/>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(627)</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 and other assets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13"/>
        </w:trPr>
        <w:tc>
          <w:tcPr>
            <w:tcW w:w="6820" w:type="dxa"/>
            <w:vAlign w:val="bottom"/>
          </w:tcPr>
          <w:p>
            <w:pPr>
              <w:ind w:left="540"/>
              <w:spacing w:after="0"/>
              <w:rPr>
                <w:sz w:val="20"/>
                <w:szCs w:val="20"/>
                <w:color w:val="auto"/>
              </w:rPr>
            </w:pPr>
            <w:r>
              <w:rPr>
                <w:rFonts w:ascii="Arial" w:cs="Arial" w:eastAsia="Arial" w:hAnsi="Arial"/>
                <w:sz w:val="16"/>
                <w:szCs w:val="16"/>
                <w:color w:val="auto"/>
              </w:rPr>
              <w:t>Accounts payable and other liabilities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(862)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199"/>
        </w:trPr>
        <w:tc>
          <w:tcPr>
            <w:tcW w:w="6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180"/>
              <w:spacing w:after="0"/>
              <w:rPr>
                <w:sz w:val="20"/>
                <w:szCs w:val="20"/>
                <w:color w:val="auto"/>
              </w:rPr>
            </w:pPr>
            <w:r>
              <w:rPr>
                <w:rFonts w:ascii="Arial" w:cs="Arial" w:eastAsia="Arial" w:hAnsi="Arial"/>
                <w:sz w:val="16"/>
                <w:szCs w:val="16"/>
                <w:color w:val="auto"/>
              </w:rPr>
              <w:t>Net cash used in operating activities of discontinued operations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99"/>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INVESTING ACTIVITIES:</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180"/>
              <w:spacing w:after="0"/>
              <w:rPr>
                <w:sz w:val="20"/>
                <w:szCs w:val="20"/>
                <w:color w:val="auto"/>
              </w:rPr>
            </w:pPr>
            <w:r>
              <w:rPr>
                <w:rFonts w:ascii="Arial" w:cs="Arial" w:eastAsia="Arial" w:hAnsi="Arial"/>
                <w:sz w:val="16"/>
                <w:szCs w:val="16"/>
                <w:color w:val="auto"/>
              </w:rPr>
              <w:t>Cash paid for property, equipment and improvements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99"/>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420"/>
          </w:cols>
          <w:pgMar w:left="240" w:top="233" w:right="239" w:bottom="1440" w:gutter="0" w:footer="0" w:header="0"/>
        </w:sectPr>
      </w:pPr>
    </w:p>
    <w:p>
      <w:pPr>
        <w:ind w:left="100"/>
        <w:spacing w:after="0"/>
        <w:rPr>
          <w:sz w:val="20"/>
          <w:szCs w:val="20"/>
          <w:color w:val="auto"/>
        </w:rPr>
      </w:pPr>
      <w:r>
        <w:rPr>
          <w:rFonts w:ascii="Arial" w:cs="Arial" w:eastAsia="Arial" w:hAnsi="Arial"/>
          <w:sz w:val="16"/>
          <w:szCs w:val="16"/>
          <w:b w:val="1"/>
          <w:bCs w:val="1"/>
          <w:color w:val="auto"/>
        </w:rPr>
        <w:t>FINANCING ACTIVITIES: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to repurchase treasury stock</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issuance of common stock</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520" w:type="dxa"/>
            <w:vAlign w:val="bottom"/>
            <w:gridSpan w:val="2"/>
          </w:tcPr>
          <w:p>
            <w:pPr>
              <w:jc w:val="right"/>
              <w:ind w:right="879"/>
              <w:spacing w:after="0"/>
              <w:rPr>
                <w:sz w:val="20"/>
                <w:szCs w:val="20"/>
                <w:color w:val="auto"/>
              </w:rPr>
            </w:pPr>
            <w:r>
              <w:rPr>
                <w:rFonts w:ascii="Arial" w:cs="Arial" w:eastAsia="Arial" w:hAnsi="Arial"/>
                <w:sz w:val="16"/>
                <w:szCs w:val="16"/>
                <w:color w:val="auto"/>
              </w:rPr>
              <w:t>(39)</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52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2"/>
        </w:trPr>
        <w:tc>
          <w:tcPr>
            <w:tcW w:w="15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6"/>
                <w:szCs w:val="16"/>
                <w:color w:val="auto"/>
                <w:w w:val="77"/>
              </w:rPr>
              <w:t>(39</w:t>
            </w:r>
          </w:p>
        </w:tc>
        <w:tc>
          <w:tcPr>
            <w:tcW w:w="1020" w:type="dxa"/>
            <w:vAlign w:val="bottom"/>
          </w:tcPr>
          <w:p>
            <w:pPr>
              <w:jc w:val="right"/>
              <w:ind w:right="879"/>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-539750</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-282575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41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60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6"/>
                <w:szCs w:val="16"/>
                <w:color w:val="auto"/>
              </w:rPr>
              <w:t>57</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9"/>
        </w:trPr>
        <w:tc>
          <w:tcPr>
            <w:tcW w:w="6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0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6"/>
                <w:szCs w:val="16"/>
                <w:color w:val="auto"/>
              </w:rPr>
              <w:t>2,410</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00"/>
              <w:spacing w:after="0"/>
              <w:rPr>
                <w:sz w:val="20"/>
                <w:szCs w:val="20"/>
                <w:color w:val="auto"/>
              </w:rPr>
            </w:pPr>
            <w:r>
              <w:rPr>
                <w:rFonts w:ascii="Arial" w:cs="Arial" w:eastAsia="Arial" w:hAnsi="Arial"/>
                <w:sz w:val="16"/>
                <w:szCs w:val="16"/>
                <w:color w:val="auto"/>
              </w:rPr>
              <w:t>Cash and cash equivalents, beginning of period</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6"/>
                <w:szCs w:val="16"/>
                <w:color w:val="auto"/>
              </w:rPr>
              <w:t>16,489</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9,656</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Cash and cash equivalents, end of period</w:t>
            </w:r>
          </w:p>
        </w:tc>
        <w:tc>
          <w:tcPr>
            <w:tcW w:w="1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18,899</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8,486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both"/>
        <w:ind w:left="568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5</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2013.</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2013 condensed consolidated balance sheet data was derived from audited financial statements, but does not include all disclosures required by GAAP.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plans to repurchase up to 1.8 million shares of its outstanding common stock over a period not to exceed twelve months. Share repurchases, if any,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at the Company’s discretion and the Share Repurchase Program may be suspended, terminated or modified at any time and for any reason. The Share Repurchase Program does not obligate the Company to repurchase any specific number of shares.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April 30, 2014, the Company and PNC Bank, National Association (“PNC”) entered into an amendment (the “Amendment”) to the Revolving Credit, Guaranty and Security Agreement between the Company and PNC (the “Credit Agreement” – see Note 6 below) dated as of May 24, 2013. The Amendment permits the Company to commence the Share Repurchase Program described above, provided that (a) the Company is not in default under the Credit Agreement, (b) the Company’s undrawn availability under the Credit Agreement is at least $6 million both prior to and immediately following the repurchase,</w:t>
      </w:r>
    </w:p>
    <w:p>
      <w:pPr>
        <w:spacing w:after="0" w:line="2" w:lineRule="exact"/>
        <w:rPr>
          <w:sz w:val="20"/>
          <w:szCs w:val="20"/>
          <w:color w:val="auto"/>
        </w:rPr>
      </w:pPr>
    </w:p>
    <w:p>
      <w:pPr>
        <w:jc w:val="both"/>
        <w:ind w:firstLine="8"/>
        <w:spacing w:after="0" w:line="255" w:lineRule="auto"/>
        <w:tabs>
          <w:tab w:leader="none" w:pos="26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undrawn availability under the Credit Agreement plus domestic unrestricted cash is at least $8 million both prior to and immediately following any given repurchase, and (d) the Company uses its unrestricted cash for such repurchases and does not request advances against the Credit Agreement for such purposes.</w:t>
      </w:r>
    </w:p>
    <w:p>
      <w:pPr>
        <w:spacing w:after="0" w:line="200" w:lineRule="exact"/>
        <w:rPr>
          <w:sz w:val="20"/>
          <w:szCs w:val="20"/>
          <w:color w:val="auto"/>
        </w:rPr>
      </w:pPr>
    </w:p>
    <w:p>
      <w:pPr>
        <w:spacing w:after="0" w:line="206" w:lineRule="exact"/>
        <w:rPr>
          <w:sz w:val="20"/>
          <w:szCs w:val="20"/>
          <w:color w:val="auto"/>
        </w:rPr>
      </w:pPr>
    </w:p>
    <w:p>
      <w:pPr>
        <w:jc w:val="both"/>
        <w:ind w:left="568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6</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3"/>
              </w:rPr>
              <w:t>March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16,147</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2,218</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8,297</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7,418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47,643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1,888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Construction in process</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Less-accumulated depreciation</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(52,619)</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(51,924)</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equipment and improvements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expense for property, equipment and improvements was $666 and $830 for the three-month periods ended March 30, 2014 and March 31, 2013, respectively.</w:t>
      </w:r>
    </w:p>
    <w:p>
      <w:pPr>
        <w:spacing w:after="0" w:line="170" w:lineRule="exact"/>
        <w:rPr>
          <w:sz w:val="20"/>
          <w:szCs w:val="20"/>
          <w:color w:val="auto"/>
        </w:rPr>
      </w:pPr>
    </w:p>
    <w:p>
      <w:pPr>
        <w:ind w:left="340" w:right="6020" w:hanging="332"/>
        <w:spacing w:after="0" w:line="501" w:lineRule="auto"/>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INTANGIBLE ASSETS AND LONG TERM ASSETS </w:t>
      </w:r>
      <w:r>
        <w:rPr>
          <w:rFonts w:ascii="Arial" w:cs="Arial" w:eastAsia="Arial" w:hAnsi="Arial"/>
          <w:sz w:val="18"/>
          <w:szCs w:val="18"/>
          <w:color w:val="auto"/>
        </w:rPr>
        <w:t>a. Goodwill</w:t>
      </w:r>
    </w:p>
    <w:p>
      <w:pPr>
        <w:ind w:left="260"/>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March 30, 2014 and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7"/>
              </w:rPr>
              <w:t>Battery &amp;</w:t>
            </w:r>
          </w:p>
        </w:tc>
        <w:tc>
          <w:tcPr>
            <w:tcW w:w="200" w:type="dxa"/>
            <w:vAlign w:val="bottom"/>
          </w:tcPr>
          <w:p>
            <w:pPr>
              <w:spacing w:after="0"/>
              <w:rPr>
                <w:sz w:val="18"/>
                <w:szCs w:val="18"/>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4"/>
              </w:rPr>
              <w:t>Communi-</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Energy</w:t>
            </w:r>
          </w:p>
        </w:tc>
        <w:tc>
          <w:tcPr>
            <w:tcW w:w="200" w:type="dxa"/>
            <w:vAlign w:val="bottom"/>
          </w:tcPr>
          <w:p>
            <w:pPr>
              <w:spacing w:after="0"/>
              <w:rPr>
                <w:sz w:val="19"/>
                <w:szCs w:val="19"/>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3"/>
              </w:rPr>
              <w:t>Systems</w:t>
            </w:r>
          </w:p>
        </w:tc>
        <w:tc>
          <w:tcPr>
            <w:tcW w:w="32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1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30, 2014</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Borders>
              <w:bottom w:val="single" w:sz="8" w:color="0000EE"/>
            </w:tcBorders>
            <w:gridSpan w:val="2"/>
          </w:tcPr>
          <w:p>
            <w:pPr>
              <w:jc w:val="right"/>
              <w:spacing w:after="0"/>
              <w:rPr>
                <w:rFonts w:ascii="Arial" w:cs="Arial" w:eastAsia="Arial" w:hAnsi="Arial"/>
                <w:sz w:val="18"/>
                <w:szCs w:val="18"/>
                <w:i w:val="1"/>
                <w:iCs w:val="1"/>
                <w:color w:val="0000EE"/>
                <w:w w:val="86"/>
              </w:rPr>
            </w:pPr>
            <w:hyperlink w:anchor="page2">
              <w:r>
                <w:rPr>
                  <w:rFonts w:ascii="Arial" w:cs="Arial" w:eastAsia="Arial" w:hAnsi="Arial"/>
                  <w:sz w:val="18"/>
                  <w:szCs w:val="18"/>
                  <w:i w:val="1"/>
                  <w:iCs w:val="1"/>
                  <w:color w:val="0000EE"/>
                  <w:w w:val="86"/>
                </w:rPr>
                <w:t>Index</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rPr>
              <w:t>b. Intangible Assets</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The composition of intangible assets was:</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at March 30, 2014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Patents and technology</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(3,980)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Distributor relationships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at December 31, 2013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(3,562)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relationships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intangible assets was $74 and $101 for the three-month periods ended March 30, 2014 and March 31, 2013, respectively. Amortization included in research and development expenses was $42 and $56 for the three-month periods ended March 30, 2014 and March 31, 2013, respectively. Amortization included in selling, general and administrative expenses was $32 and $45 for the three-month periods ended March 30, 2014 and March 31, 2013,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change in the cost value of total intangible assets from December 31, 2013 to March 30, 2014 is a result of the effect of foreign currency translations.</w:t>
      </w:r>
    </w:p>
    <w:p>
      <w:pPr>
        <w:spacing w:after="0" w:line="24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a Revolving Credit, Guaranty and Security Agreement (the “Credit Agreement”) and related security agreements with PNC Bank, National Association (“PNC Bank”), which provides a $20 million secured asset-based revolving credit facility that includes a $1 million letter of credit sub-facility (the “Credit Facility”). The Credit Agreement provides that the Credit Facility may be increased with PNC Bank’s concurrence to an amount not to exceed $35 million prior to the last six months of the term and expires on May 24,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ind w:left="5680"/>
        <w:spacing w:after="0"/>
        <w:tabs>
          <w:tab w:leader="none" w:pos="11000" w:val="left"/>
        </w:tabs>
        <w:rPr>
          <w:rFonts w:ascii="Arial" w:cs="Arial" w:eastAsia="Arial" w:hAnsi="Arial"/>
          <w:sz w:val="16"/>
          <w:szCs w:val="16"/>
          <w:i w:val="1"/>
          <w:iCs w:val="1"/>
          <w:u w:val="single" w:color="auto"/>
          <w:color w:val="0000EE"/>
        </w:rPr>
      </w:pPr>
      <w:r>
        <w:rPr>
          <w:rFonts w:ascii="Arial" w:cs="Arial" w:eastAsia="Arial" w:hAnsi="Arial"/>
          <w:sz w:val="16"/>
          <w:szCs w:val="16"/>
          <w:color w:val="auto"/>
        </w:rPr>
        <w:t>8</w:t>
      </w:r>
      <w:r>
        <w:rPr>
          <w:sz w:val="20"/>
          <w:szCs w:val="20"/>
          <w:color w:val="auto"/>
        </w:rPr>
        <w:tab/>
      </w:r>
      <w:hyperlink w:anchor="page2">
        <w:r>
          <w:rPr>
            <w:rFonts w:ascii="Arial" w:cs="Arial" w:eastAsia="Arial" w:hAnsi="Arial"/>
            <w:sz w:val="16"/>
            <w:szCs w:val="16"/>
            <w:i w:val="1"/>
            <w:iCs w:val="1"/>
            <w:u w:val="single" w:color="auto"/>
            <w:color w:val="0000EE"/>
          </w:rPr>
          <w:t>Index</w:t>
        </w:r>
      </w:hyperlink>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30, 2014, we had approximately $11,473 of borrowing capacity in addition to our cash on hand of $18,899, and we had no outstanding borrowings or outstanding letters of credit under the Credit Facility at either March 30, 2014 or March 31, 2013.</w:t>
      </w:r>
    </w:p>
    <w:p>
      <w:pPr>
        <w:spacing w:after="0" w:line="170" w:lineRule="exact"/>
        <w:rPr>
          <w:sz w:val="20"/>
          <w:szCs w:val="20"/>
          <w:color w:val="auto"/>
        </w:rPr>
      </w:pPr>
    </w:p>
    <w:p>
      <w:pPr>
        <w:ind w:left="340" w:right="8880" w:hanging="332"/>
        <w:spacing w:after="0" w:line="501" w:lineRule="auto"/>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SHAREHOLDERS’ EQUITY </w:t>
      </w:r>
      <w:r>
        <w:rPr>
          <w:rFonts w:ascii="Arial" w:cs="Arial" w:eastAsia="Arial" w:hAnsi="Arial"/>
          <w:sz w:val="18"/>
          <w:szCs w:val="18"/>
          <w:color w:val="auto"/>
        </w:rPr>
        <w:t>a. Common Stock</w:t>
      </w:r>
    </w:p>
    <w:p>
      <w:pPr>
        <w:ind w:left="340"/>
        <w:spacing w:after="0"/>
        <w:rPr>
          <w:sz w:val="20"/>
          <w:szCs w:val="20"/>
          <w:color w:val="auto"/>
        </w:rPr>
      </w:pPr>
      <w:r>
        <w:rPr>
          <w:rFonts w:ascii="Arial" w:cs="Arial" w:eastAsia="Arial" w:hAnsi="Arial"/>
          <w:sz w:val="18"/>
          <w:szCs w:val="18"/>
          <w:color w:val="auto"/>
        </w:rPr>
        <w:t>In the first quarter of 2014, we issued 14,639 shares of common stock to our non-employee directors, valued at $57.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Stock Options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stock options outstanding from various stock-based employee compensation plans, for which we record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Compensation cost related to stock options was $174 and $190 for the three-month periods ended March 30, 2014 and March 31, 2013, respectively. As of March 30, 2014, there was $962 of total unrecognized compensation cost related to outstanding stock options, which is expected to be recognized over a weighted average period of 1.6 years.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first quarter of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94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Intrinsic Value</w:t>
            </w:r>
          </w:p>
        </w:tc>
      </w:tr>
      <w:tr>
        <w:trPr>
          <w:trHeight w:val="210"/>
        </w:trPr>
        <w:tc>
          <w:tcPr>
            <w:tcW w:w="4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2014</w:t>
            </w: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2,131,622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252,500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(18,731)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(47,034)</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3"/>
        </w:trPr>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Outstanding at March 30, 2014</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2,315,457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6.62</w:t>
            </w:r>
          </w:p>
        </w:tc>
        <w:tc>
          <w:tcPr>
            <w:tcW w:w="3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4.46</w:t>
            </w:r>
          </w:p>
        </w:tc>
        <w:tc>
          <w:tcPr>
            <w:tcW w:w="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center"/>
              <w:ind w:left="690"/>
              <w:spacing w:after="0"/>
              <w:rPr>
                <w:sz w:val="20"/>
                <w:szCs w:val="20"/>
                <w:color w:val="auto"/>
              </w:rPr>
            </w:pPr>
            <w:r>
              <w:rPr>
                <w:rFonts w:ascii="Arial" w:cs="Arial" w:eastAsia="Arial" w:hAnsi="Arial"/>
                <w:sz w:val="18"/>
                <w:szCs w:val="18"/>
                <w:color w:val="auto"/>
                <w:w w:val="93"/>
              </w:rPr>
              <w:t>407</w:t>
            </w:r>
          </w:p>
        </w:tc>
      </w:tr>
      <w:tr>
        <w:trPr>
          <w:trHeight w:val="197"/>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83"/>
        </w:trPr>
        <w:tc>
          <w:tcPr>
            <w:tcW w:w="4940" w:type="dxa"/>
            <w:vAlign w:val="bottom"/>
          </w:tcPr>
          <w:p>
            <w:pPr>
              <w:ind w:left="140"/>
              <w:spacing w:after="0"/>
              <w:rPr>
                <w:sz w:val="20"/>
                <w:szCs w:val="20"/>
                <w:color w:val="auto"/>
              </w:rPr>
            </w:pPr>
            <w:r>
              <w:rPr>
                <w:rFonts w:ascii="Arial" w:cs="Arial" w:eastAsia="Arial" w:hAnsi="Arial"/>
                <w:sz w:val="18"/>
                <w:szCs w:val="18"/>
                <w:color w:val="auto"/>
              </w:rPr>
              <w:t>March 30, 2014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2,107,093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3"/>
              </w:rPr>
              <w:t>333</w:t>
            </w:r>
          </w:p>
        </w:tc>
      </w:tr>
      <w:tr>
        <w:trPr>
          <w:trHeight w:val="197"/>
        </w:trPr>
        <w:tc>
          <w:tcPr>
            <w:tcW w:w="49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30, 2014</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1,183,986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2"/>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3.37</w:t>
            </w:r>
          </w:p>
        </w:tc>
        <w:tc>
          <w:tcPr>
            <w:tcW w:w="4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center"/>
              <w:ind w:left="690"/>
              <w:spacing w:after="0" w:line="196" w:lineRule="exact"/>
              <w:rPr>
                <w:sz w:val="20"/>
                <w:szCs w:val="20"/>
                <w:color w:val="auto"/>
              </w:rPr>
            </w:pPr>
            <w:r>
              <w:rPr>
                <w:rFonts w:ascii="Arial" w:cs="Arial" w:eastAsia="Arial" w:hAnsi="Arial"/>
                <w:sz w:val="18"/>
                <w:szCs w:val="18"/>
                <w:color w:val="auto"/>
                <w:w w:val="93"/>
              </w:rPr>
              <w:t>135</w:t>
            </w: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3"/>
        </w:trPr>
        <w:tc>
          <w:tcPr>
            <w:tcW w:w="8380" w:type="dxa"/>
            <w:vAlign w:val="bottom"/>
            <w:gridSpan w:val="7"/>
          </w:tcPr>
          <w:p>
            <w:pPr>
              <w:ind w:left="340"/>
              <w:spacing w:after="0"/>
              <w:rPr>
                <w:sz w:val="20"/>
                <w:szCs w:val="20"/>
                <w:color w:val="auto"/>
              </w:rPr>
            </w:pPr>
            <w:r>
              <w:rPr>
                <w:rFonts w:ascii="Arial" w:cs="Arial" w:eastAsia="Arial" w:hAnsi="Arial"/>
                <w:sz w:val="18"/>
                <w:szCs w:val="18"/>
                <w:color w:val="auto"/>
              </w:rPr>
              <w:t>The following assumptions were used to value stock options granted during the first quarter of 2014:</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1.10%</w:t>
            </w: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Volatility factor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59.94%</w:t>
            </w: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0.00%</w:t>
            </w: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Weighted average expected life (years)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4.15</w:t>
            </w:r>
          </w:p>
        </w:tc>
      </w:tr>
    </w:tbl>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FASB’s guidance for share-b</w:t>
      </w:r>
      <w:r>
        <w:rPr>
          <w:rFonts w:ascii="Arial" w:cs="Arial" w:eastAsia="Arial" w:hAnsi="Arial"/>
          <w:sz w:val="16"/>
          <w:szCs w:val="16"/>
          <w:color w:val="auto"/>
        </w:rPr>
        <w:t>ased payments</w:t>
      </w:r>
      <w:r>
        <w:rPr>
          <w:rFonts w:ascii="Arial" w:cs="Arial" w:eastAsia="Arial" w:hAnsi="Arial"/>
          <w:sz w:val="18"/>
          <w:szCs w:val="18"/>
          <w:color w:val="auto"/>
        </w:rPr>
        <w:t xml:space="preserve">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2014 and 2013. Cash received from stock option exercises under our stock-based compensation plans for the three-month periods ended March 30, 2014 and March 31, 2013 was $0 and $12, respectively.</w:t>
      </w:r>
    </w:p>
    <w:p>
      <w:pPr>
        <w:spacing w:after="0" w:line="188" w:lineRule="exact"/>
        <w:rPr>
          <w:sz w:val="20"/>
          <w:szCs w:val="20"/>
          <w:color w:val="auto"/>
        </w:rPr>
      </w:pPr>
    </w:p>
    <w:p>
      <w:pPr>
        <w:ind w:left="5680"/>
        <w:spacing w:after="0"/>
        <w:tabs>
          <w:tab w:leader="none" w:pos="11000" w:val="left"/>
        </w:tabs>
        <w:rPr>
          <w:rFonts w:ascii="Arial" w:cs="Arial" w:eastAsia="Arial" w:hAnsi="Arial"/>
          <w:sz w:val="16"/>
          <w:szCs w:val="16"/>
          <w:i w:val="1"/>
          <w:iCs w:val="1"/>
          <w:u w:val="single" w:color="auto"/>
          <w:color w:val="0000EE"/>
        </w:rPr>
      </w:pPr>
      <w:r>
        <w:rPr>
          <w:rFonts w:ascii="Arial" w:cs="Arial" w:eastAsia="Arial" w:hAnsi="Arial"/>
          <w:sz w:val="16"/>
          <w:szCs w:val="16"/>
          <w:color w:val="auto"/>
        </w:rPr>
        <w:t>9</w:t>
      </w:r>
      <w:r>
        <w:rPr>
          <w:sz w:val="20"/>
          <w:szCs w:val="20"/>
          <w:color w:val="auto"/>
        </w:rPr>
        <w:tab/>
      </w:r>
      <w:hyperlink w:anchor="page2">
        <w:r>
          <w:rPr>
            <w:rFonts w:ascii="Arial" w:cs="Arial" w:eastAsia="Arial" w:hAnsi="Arial"/>
            <w:sz w:val="16"/>
            <w:szCs w:val="16"/>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Restricted Stock Awards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 restricted stock was awarded during the three month period ending March 30, 2014. Included in stock compensation expense recorded in our financial statements in the first quarter of 2014 was $49 relating to the restricted stock units held by our President and Chief Executive Officer. There was no stock compensation expense relating to restricted stock awards in the first quarter of 2013. There is $102 of unrecognized compensation cost related to restricted stock units as of March 30, 2014. 30,000 shares of restricted stock units vested during the first quarter of 2014.</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0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three-month periods ended March 30, 2014 and March 31, 2013, we recorded $60 and $98, respectively, in income tax expense. The expense is primarily due to the recognition of deferred tax liabilities generated from goodwill and certain intangible assets that cannot be predicted to reverse for book purposes during our loss carryforward periods. The remaining expense in 2014 was due to state income taxes, and in 2013 was primarily due to the income reported for our China operations during the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three-month periods ended March 30, 2014 and March 30, 2013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5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30,</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44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continuing operations before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262</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w:t>
            </w:r>
          </w:p>
        </w:tc>
      </w:tr>
    </w:tbl>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 We have substantial net operating loss (“NOL”) carryforwards which offset taxable income in the United States. However, we remain subject to the alternative minimum tax in the United States. The alternative minimum tax limits the amount of NOL available to offset taxable income to 90% of the current year income. We incurred $0 and $12 in alternative minimum tax for the three months ended March 30, 2014 and March 31, 2013, respectively. The payment of the alternative minimum tax normally results in the establishment of a deferred tax asset; however, we have established a valuation allowance for this related deferred tax asset.</w:t>
      </w:r>
    </w:p>
    <w:p>
      <w:pPr>
        <w:spacing w:after="0" w:line="167"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30, 2014, we have foreign and domestic NOL’s totaling approximately $63,400 available to reduce future taxable income. Foreign loss carryforwards of approximately $12,500 can be carried forward indefinitely. The domestic NOL carryforward of $50,900 expires from 2019 through 2034. The domestic NOL carryforward includes approximately $2,949 for which a benefit will be recorded in capital in excess of par value when realized.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March 30, 2014 relate to Federal and various state jurisdictions. The following table summarizes the activity related to our unrecognized tax benefits: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30,</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 beginning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7,296</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93"/>
              </w:rPr>
              <w:t>7,508</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26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Increases related to prior year tax positions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Decreases related to prior year tax positions</w:t>
            </w:r>
          </w:p>
        </w:tc>
        <w:tc>
          <w:tcPr>
            <w:tcW w:w="26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Expiration of statute of limitations for assessment of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7,296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3"/>
              </w:rPr>
              <w:t>7,508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unrecognized tax benefits balance has been recorded as a decrease in the deferred tax asset relating to our NOL carryforward. Because we have recorded a full valuation allowance against our deferred tax assets, the unrecognized tax benefits balance has no effect on our net (loss) income or financial position, as presented. Interest and penalties would begin to accrue in the period in which the NOL carryforwards related to the uncertain tax positions are utilized. We do not expect our unrecognized tax benefits to change significantly over the next twelve months.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file income tax returns in various jurisdictions including U.S. federal, U.S. state and foreign jurisdictions. We are routinely subject to examination by taxing authorities in these various jurisdictions. Our U.S. tax matters for the years 2000 through 2013 remain subject to examination by the Internal Revenue Service (“IRS”) and by various state and local tax jurisdictions due to our NOL carryforwards. Our tax matters for the years 2007 through 2013 remain subject to examination by the respective foreign tax jurisdiction authorities. The IRS has completed the examination of our 2009 U.S. federal income tax return, with no resulting material effect to our financial position or results of operations, and has initiated an examination of our 2011 and 2012 U.S. federal income tax returns.</w:t>
      </w:r>
    </w:p>
    <w:p>
      <w:pPr>
        <w:spacing w:after="0" w:line="19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40"/>
        <w:spacing w:after="0"/>
        <w:tabs>
          <w:tab w:leader="none" w:pos="11000" w:val="left"/>
        </w:tabs>
        <w:rPr>
          <w:rFonts w:ascii="Arial" w:cs="Arial" w:eastAsia="Arial" w:hAnsi="Arial"/>
          <w:sz w:val="16"/>
          <w:szCs w:val="16"/>
          <w:i w:val="1"/>
          <w:iCs w:val="1"/>
          <w:u w:val="single" w:color="auto"/>
          <w:color w:val="0000EE"/>
        </w:rPr>
      </w:pPr>
      <w:r>
        <w:rPr>
          <w:rFonts w:ascii="Arial" w:cs="Arial" w:eastAsia="Arial" w:hAnsi="Arial"/>
          <w:sz w:val="16"/>
          <w:szCs w:val="16"/>
          <w:color w:val="auto"/>
        </w:rPr>
        <w:t>11</w:t>
      </w:r>
      <w:r>
        <w:rPr>
          <w:sz w:val="20"/>
          <w:szCs w:val="20"/>
          <w:color w:val="auto"/>
        </w:rPr>
        <w:tab/>
      </w:r>
      <w:hyperlink w:anchor="page2">
        <w:r>
          <w:rPr>
            <w:rFonts w:ascii="Arial" w:cs="Arial" w:eastAsia="Arial" w:hAnsi="Arial"/>
            <w:sz w:val="16"/>
            <w:szCs w:val="16"/>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earnings per share (“EPS”) is determined using the Two-Class Method and is computed by dividing earnings attributable to the Company’s common shareholders by the weighted-average shares outstanding during the period. The Two-Class Method is an earnings allocation formula that determines EPS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Due to our net loss in the three-month period ended March 30, 2014, no dilutive securities were considered. For the three-month period ended March 31, 2013, both the Two-Class Method and the treasury stock method calculations for diluted EPS yielded the same result.</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2,315,457 and 2,055,606 outstanding stock options for the three-month periods ended March 30, 2014 and March 31, 2013, respectively, that were not included in EPS as the effect would be anti-dilutive.</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30, 2014, we have made commitments to purchase approximately $381 of production machinery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2014 and 2013 were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Accrued warranty obligations – beginning</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Accruals for warranties issued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Settlements made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Accrued warranty obligations – ending</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Contingencies and Legal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Three month periods ended</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30,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2013</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513</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c>
          <w:tcPr>
            <w:tcW w:w="1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-608330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600" w:space="720"/>
            <w:col w:w="4100"/>
          </w:cols>
          <w:pgMar w:left="240" w:top="233" w:right="239" w:bottom="1440" w:gutter="0" w:footer="0" w:header="0"/>
          <w:type w:val="continuous"/>
        </w:sectPr>
      </w:pPr>
    </w:p>
    <w:p>
      <w:pPr>
        <w:spacing w:after="0" w:line="3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12</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owed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Wayne County Action continues and discovery is in process.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Other Matters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While we have not received formal notice from the village regarding these changes, we believe it is very likely that we will be obliged to relocate our China facility and have begun to plan for a move and seek alternative space to meet our needs. In addition, we have changed the period over which the China plant’s leasehold improvements are being depreciated to coincide with the expiration of the lease in October 2014. Finally, we have made plans to increase our manufacturing output in advance of the likely move so as to minimize the disruption of such a move to both our customers and the Company’s operations. We have not yet developed a reliable estimate of the costs of the likely move, nor is it certain to what extent the local government will contribute to defray such costs.</w:t>
      </w:r>
    </w:p>
    <w:p>
      <w:pPr>
        <w:spacing w:after="0" w:line="178" w:lineRule="exact"/>
        <w:rPr>
          <w:sz w:val="20"/>
          <w:szCs w:val="20"/>
          <w:color w:val="auto"/>
        </w:rPr>
      </w:pPr>
    </w:p>
    <w:p>
      <w:pPr>
        <w:ind w:left="740" w:hanging="732"/>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93"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13</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March 30, 2014: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attributable to</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Ultralife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38,630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28,254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21,485</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88,369</w:t>
            </w:r>
          </w:p>
        </w:tc>
      </w:tr>
      <w:tr>
        <w:trPr>
          <w:trHeight w:val="418"/>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March 31, 2013: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21,019</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3,279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attributable to</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Ultralife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47,742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32,645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11,855</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92,242</w:t>
            </w:r>
          </w:p>
        </w:tc>
      </w:tr>
    </w:tbl>
    <w:p>
      <w:pPr>
        <w:spacing w:after="0" w:line="1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March 30, 2014 and December 31, 2013. The fair value of cash, trade accounts receivable, trade accounts payable and accrued liabilities approximates carrying value due to the short-term nature of these instruments.</w:t>
      </w:r>
    </w:p>
    <w:p>
      <w:pPr>
        <w:spacing w:after="0" w:line="187"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14</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FIRE AT MANUFACTURING FACILITY</w:t>
      </w:r>
    </w:p>
    <w:p>
      <w:pPr>
        <w:spacing w:after="0" w:line="225"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5"/>
          <w:szCs w:val="15"/>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March 30, 2014 and December 31, 2013, we reflect a receivable from the insurance company relating to this claim of $185, which is net of our deductible of approximately $132, and represents additional proceeds to be received.</w:t>
      </w:r>
    </w:p>
    <w:p>
      <w:pPr>
        <w:spacing w:after="0" w:line="14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April 2014, the Financial Accounting Standards Board (FASB) issued authoritative guidance amending existing requirements for reporting discontinued operations. Under the new guidance, discontinued operations reporting will be limited to disposal transactions that represent strategic shifts having a major effect on operations and financial results. The amended guidance also enhances disclosures and requires assets and liabilities of a discontinued operation to be classified as such for all periods presented in the financial statements. Public entities will apply the amended guidance prospectively to all disposals occurring within annual periods beginning on or after December 15, 2014 and interim periods within those years. The Company will adopt this standard on January 1, 2015. Due to the change in requirements for reporting discontinued operations described above, presentation and disclosures of future disposal transactions after adoption may be different than under current standards.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2013.</w:t>
      </w:r>
    </w:p>
    <w:p>
      <w:pPr>
        <w:spacing w:after="0" w:line="190"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15</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2013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2013.</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of $15,285 for the three-month period ended March 30, 2014, decreased by $5,734 or 27.3%, from $21,019 during the three-month period ended March 31, 2013, primarily due to continued slowness in closing new orders for Communications Systems from the U.S. Government, which offset a 7% revenue increase for the Battery &amp; Energy Products business.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profit for the three-month period ended March 30, 2014 was $4,335, or 28.4% of revenues, compared to $6,379, or 30.3% of revenues, for the same quarter a year ago. The 190 basis points decline is due primarily to the decreased overall revenue contribution of the higher margin Communications Systems sales, which declined from 38% in the first quarter of 2013 to 9% in the 2014 period. The impact of the sales mix offset a year-over-year 360 basis point improvement for the Battery &amp; Energy Products gross margin which grew to 27.3% for the 2014 period reflecting ongoing productivity improvements and higher production volumes.</w:t>
      </w:r>
    </w:p>
    <w:p>
      <w:pPr>
        <w:spacing w:after="0" w:line="188"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16</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expenses decreased to $5,431 during the three-month period ended March 30, 2014, compared to $6,004 during the three-month period ended March 31, 2013, resulting primarily from continued actions to reduce general and administrative expenses, focused spending in the development of new products and lower overall sales commissions and selling expense.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lower revenue and resulting impact on gross profit partially offset by lower operating expenses resulted in an operating loss of $1,096 for the three-month period ended March 30, 2014, compared to an operating profit of $375 for the three-month period ended March 31, 2013.</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Net loss from continuing operations was $(1,219), or $(0.07) per share, for the three-month period ended March 30, 2014, compared to a net income of $164 or $0.01 per share, for the three-month period ended March 31, 2013. Net loss from discontinued operations was $(61), or $0.00 per share, for the three-month period ended March 30, 2014 versus a net income of $264, or $0.02 per share, for the three-month period ended March 31, 2013.</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$(45) in the first quarter of 2014 compared to $1,477 for the first quarter of 2013. See the section “Adjusted EBITDA from continuing operations” beginning on page 20 for a reconciliation of Adjusted EBITDA from continuing operations to net (loss) income attributable to Ultralife.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no debt, and cash and cash equivalents of $18,899, a $9,991 (or 89%) improvement over the cash position of $8,908 as of the first quarter of 2013. The increase in cash and cash equivalents from the first quarter of 2013 is primarily attributable to our financial performance and cash generated from our Lean initiatives, including reductions in inventory and more timely accounts receivable collections. Cash and cash equivalents as of March 30, 2014 increased by $2,410 from $16,489 as of December 31, 2013. The increase in cash and cash equivalents from December 31, 2013 is primarily attributable to more timely collections of accounts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2014, management still expects mid-single digit organic revenue growth, despite continued constraints on global government spending. Based on this outlook for revenue growth and the improvements made to the business model in 2013, management expects to increase operating profit year-over-year and generate a mid-single digit operating margin.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cautions that the timing of orders and shipments may cause variability in quarterly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30, 2014 and March 31, 2013</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March 30, 2014 amounted to $15,285, a decrease of $5,734, or 27.3%,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$21,019 reported for the three-month period ended March 30, 2013.</w:t>
      </w:r>
    </w:p>
    <w:p>
      <w:pPr>
        <w:spacing w:after="0" w:line="166"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17</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Battery &amp; Energy Products revenues increased $869, or 6.7%, from $13,053 for the three-month period ended March 30, 2013 to $13,922 for the three-month period ended March 30, 2014. The increase was attributable to higher shipments to commercial customers which increased by 28.8% over the 2013 period and now comprise 60% of total Battery &amp; Energy Products revenues versus 50% for the first quarter of 2013. Conversely, shipments to government and defense customers declined by 15% from 2013 primarily due to the continued slowdown in U.S. government and defense order rate for rechargeable and non-rechargeable batteries.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Communications Systems revenues decreased $6,603, or 82.9%, from $7,966 during the three-month period ended March 31, 2013 to $1,363 for the three-month period ended March 30, 2014, reflecting ongoing slowness in closing orders with the U.S. government. The 2013 first quarter also reflected larger shipments of amplifiers to an allied country in conjunction with a soldier modernization program.</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$10,950 for the quarter ended March 30, 2014, a decrease of $3,690, or 25.2%, from the $14,640</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same three-month period a year ago. Consolidated cost of products sold as a percentage of total revenue increased from 69.7% for the three-month period ended March 31, 2013 to 71.6% for the three-month period ended March 30, 2014. Correspondingly, consolidated gross margin was 28.4% for the three-month period ended March 30, 2014, compared with 30.3% for the three-month period ended March 31, 2013, reflecting a lower mix of the Communications Systems revenues.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Battery &amp; Energy Products segment, the cost of products sold increased $168, from $9,953 during the three-month period ended March 31, 2013 to $10,121 during the three-month period ended March 30, 2014. Battery &amp; Energy Products’ gross profit for the first quarter of 2014 was $3,801, or 27.3% of revenues, an increase of $701 from gross profit of $3,100, or 23.7% of revenues, for the first quarter of 2013. Battery &amp; Energy Products’ gross margin as a percentage of revenues increased for the three-month period ended March 30, 2014 by 360 basis points, reflecting ongoing productivity improvements and higher production volumes.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Communications Systems segment, the cost of products sold decreased by $3,858 or 82.3% from $4,687 during the three-month period ended March 31, 2013 to $829 during the three-month period ended March 30, 2014. Communications Systems’ gross profit for the first quarter of 2014 was $534, or 39.2% of revenues, a decrease of $2,745 from gross profit of $3,279, or 41.2% of revenues, for the first quarter of 2013. The 200 basis points decrease in gross margin as a percentage of revenue during 2014 is primarily due to the lower shipments for that period and the resulting impact of lower production volumes on factory overhead absorption.</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March 30, 2014 totaled $5,431, a decrease of $573 or 9.5%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$6,004 recorded during the three-month period ended March 31, 2013, resulting primarily from continued tight control over general and administrative expenses.</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Overall, operating expenses as a percentage of revenues were 35.5% for the quarter ended March 30, 2014 compared to 28.6% for the quarter ended March 31, 2013. Amortization expense associated with intangible assets related to our acquisitions was $76 for the first quarter of 2014 ($32 in selling, general and administrative expenses and $44 in research and development costs), compared with $101 for the first quarter of 2013 ($45 in selling, general, and administrative expenses and $56 in research and development costs). Research and development costs were $1,436 for the three-month period ended March 30, 2014, an increase of $67, or 4.9%, from $1,369 for the three-months ended March 31, 2013, as we continued to focus our spending on the development of new products with the highest estimated return on investment. Selling, general, and administrative expenses decreased $640, or 13.8%, to $3,995 during the first quarter of 2014 from $4,635 during the first quarter of 2013, reflecting continued actions to reduce discretionary general and administrative expenses and lower sales commissions earned.</w:t>
      </w:r>
    </w:p>
    <w:p>
      <w:pPr>
        <w:spacing w:after="0" w:line="192"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18</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$(63) for the three-month period ended March 31, 2014 compared to $(113)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March 31, 2013. Interest and financing expense, net of interest income, decreased $41, to $47 for the first quarter of 2014 from $88 for the comparable period in 2013, as a result of the more favorable unused line fee under our new Credit Agreement with PNC Bank. Miscellaneous income (expense) amounted to $(16) for the first quarter of 2014 compared with ($25) for the first quarter of 2013, primarily due to transactions impacted by changes in foreign currencies relative to the U.S. dollar.</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$60 for the first quarter of 2014 compared with a tax provision of $98 for the first quarter of 2013.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consolidated tax rate for the three-month periods ended March 30, 2014 and March 31, 2013 was: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5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30,</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44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continuing operations before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262</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our NOL carryforwards are subject to U.S. alternative minimum tax such that carryforwards can offset only 90% of alternative minimum taxable income. The use of our U.K. NOL carryforwards may be limited due to the change in the U.K. operation during 2008 from a manufacturing and assembly center to primarily a distribution and service center and its subsequent change to a sales center in 2012.</w:t>
      </w:r>
    </w:p>
    <w:p>
      <w:pPr>
        <w:spacing w:after="0" w:line="1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Loss from discontinued operations, net of tax, totaled $(61) for the first quarter of 2014, compared to income from</w:t>
      </w:r>
      <w:r>
        <w:rPr>
          <w:rFonts w:ascii="Arial" w:cs="Arial" w:eastAsia="Arial" w:hAnsi="Arial"/>
          <w:sz w:val="17"/>
          <w:szCs w:val="17"/>
          <w:b w:val="1"/>
          <w:bCs w:val="1"/>
          <w:color w:val="auto"/>
        </w:rPr>
        <w:t xml:space="preserve"> </w:t>
      </w:r>
      <w:r>
        <w:rPr>
          <w:rFonts w:ascii="Arial" w:cs="Arial" w:eastAsia="Arial" w:hAnsi="Arial"/>
          <w:sz w:val="17"/>
          <w:szCs w:val="17"/>
          <w:color w:val="auto"/>
        </w:rPr>
        <w:t>discontinued operations, net of tax, of $264 for the first quarter of 2013. The income realized in the first quarter of 2013 was primarily related to the final settlement of the obligation to return the Company’s former UK facility back to its original condition per a previous contractual commitment.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loss attributable to Ultralife and loss attributable to Ultralife common shareholders per diluted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was $(1,286) and $(0.07), respectively, for the three months ended March 30, 2014, compared to a net income attributable to Ultralife and income attributable to Ultralife common shareholders per diluted share of $434 and $0.02, respectively, for the three months ended March 31, 2013. Average common shares outstanding used to compute diluted earnings per share increased from 17,478,000 in the first quarter of 2013 to 17,513,000 in the first quarter of 2014, mainly due to stock option exercises and shares of common stock issued to our non-employee directors.</w:t>
      </w:r>
    </w:p>
    <w:p>
      <w:pPr>
        <w:spacing w:after="0" w:line="172"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19</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363"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20</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5" w:lineRule="exact"/>
        <w:rPr>
          <w:sz w:val="20"/>
          <w:szCs w:val="20"/>
          <w:color w:val="auto"/>
        </w:rPr>
      </w:pPr>
    </w:p>
    <w:p>
      <w:pPr>
        <w:jc w:val="both"/>
        <w:ind w:left="1080" w:hanging="316"/>
        <w:spacing w:after="0" w:line="26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ind w:left="1080" w:right="20" w:hanging="316"/>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Three month periods ended</w:t>
            </w:r>
          </w:p>
        </w:tc>
      </w:tr>
      <w:tr>
        <w:trPr>
          <w:trHeight w:val="234"/>
        </w:trPr>
        <w:tc>
          <w:tcPr>
            <w:tcW w:w="7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5"/>
              </w:rPr>
              <w:t>March 30, 2014</w:t>
            </w: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2013</w:t>
            </w: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Ultralife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Add (subtract):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and financing expense, net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30"/>
        </w:trPr>
        <w:tc>
          <w:tcPr>
            <w:tcW w:w="7320" w:type="dxa"/>
            <w:vAlign w:val="bottom"/>
          </w:tcPr>
          <w:p>
            <w:pPr>
              <w:ind w:left="280"/>
              <w:spacing w:after="0"/>
              <w:rPr>
                <w:sz w:val="20"/>
                <w:szCs w:val="20"/>
                <w:color w:val="auto"/>
              </w:rPr>
            </w:pPr>
            <w:r>
              <w:rPr>
                <w:rFonts w:ascii="Arial" w:cs="Arial" w:eastAsia="Arial" w:hAnsi="Arial"/>
                <w:sz w:val="18"/>
                <w:szCs w:val="18"/>
                <w:color w:val="auto"/>
              </w:rPr>
              <w:t>Loss (gain) from discontinued operations</w:t>
            </w: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30, 2014, cash and cash equivalents totaled $18,899, an increase of $2,410 from the beginning of the year. During the three-month period ended March 30, 2014, we generated $2,704 of cash from our operating activities as compared to using $701 of cash for the three-month period ended March 31, 2013. Cash generated from operations in 2014 was positive despite our net loss of $1,286, as the loss was largely offset by non-cash expenses (depreciation, amortization and stock-based compensation) totaling $1,073. Cash generated from operations in 2014 resulted primarily from a $4,183 decrease in accounts receivable, offset partially by our loss of $1,286, a decrease in accounts payable and other liabilities of $862 and an increase in inventories which totaled $627. The use of cash from operating activities in 2013 resulted mainly from our net income of $434 combined with decreases in our accounts receivable and inventory, more than offset by the decrease in our accounts payable from the end of the year, including our payout in connection with our U.K. facility lease, and the increase in long term receivables.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$312 in cash for investing activities during the first three months of 2014 compared with $332 in cash used for investing activities in the same period in 2013. In both periods, this spending was entirely for the purchase of property, equipment and improvements.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Inventory turnover for the first three months of 2014 was an annualized rate of approximately 1.8 turns per year as compared with 2.0 turns for the first three months of 2013. The decrease in this metric is due mainly to lower sales period over period and the prebuild of inventory to meet expected government orders which were delayed into the second quarter of 2014.</w:t>
      </w:r>
    </w:p>
    <w:p>
      <w:pPr>
        <w:spacing w:after="0" w:line="181" w:lineRule="exact"/>
        <w:rPr>
          <w:sz w:val="20"/>
          <w:szCs w:val="20"/>
          <w:color w:val="auto"/>
        </w:rPr>
      </w:pPr>
    </w:p>
    <w:p>
      <w:pPr>
        <w:ind w:left="5640"/>
        <w:spacing w:after="0"/>
        <w:tabs>
          <w:tab w:leader="none" w:pos="11000" w:val="left"/>
        </w:tabs>
        <w:rPr>
          <w:rFonts w:ascii="Arial" w:cs="Arial" w:eastAsia="Arial" w:hAnsi="Arial"/>
          <w:sz w:val="16"/>
          <w:szCs w:val="16"/>
          <w:i w:val="1"/>
          <w:iCs w:val="1"/>
          <w:u w:val="single" w:color="auto"/>
          <w:color w:val="0000EE"/>
        </w:rPr>
      </w:pPr>
      <w:r>
        <w:rPr>
          <w:rFonts w:ascii="Arial" w:cs="Arial" w:eastAsia="Arial" w:hAnsi="Arial"/>
          <w:sz w:val="16"/>
          <w:szCs w:val="16"/>
          <w:color w:val="auto"/>
        </w:rPr>
        <w:t>21</w:t>
      </w:r>
      <w:r>
        <w:rPr>
          <w:sz w:val="20"/>
          <w:szCs w:val="20"/>
          <w:color w:val="auto"/>
        </w:rPr>
        <w:tab/>
      </w:r>
      <w:hyperlink w:anchor="page2">
        <w:r>
          <w:rPr>
            <w:rFonts w:ascii="Arial" w:cs="Arial" w:eastAsia="Arial" w:hAnsi="Arial"/>
            <w:sz w:val="16"/>
            <w:szCs w:val="16"/>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30, 2014, we had made commitments to purchase approximately $381 of production machinery and equipment, which we expect to fund through operating cash flows or debt borrowings.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plans to repurchase up to 1.8 million shares of its outstanding common stock over a period not to exceed twelve months. Share repurchases, if any,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in the Company’s discretion and the Share Repurchase Program may be suspended, terminated or modified at any time and for any reason. The Share Repurchase Program does not obligate the Company to repurchase any specific number of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our Credit Facility with PNC Bank, which provides a $20 million secured asset-based revolving credit facility that includes a $1 million letter of credit sub-facility. As of March 30, 2014, we had approximately $11,473 of borrowing capacity under our $20 million Credit Facility with PNC Bank, in addition to our cash on hand of $18,899, and we had no outstanding borrowings or outstanding letters of credit under the Credit Facility at either March 30, 2014 or March 31, 2013.</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30, 2014, the Company and PNC entered into an amendment (the “Amendment”) to the Revolving Credit, Guaranty and Security Agreement between the Company and PNC (the “Credit Agreement”) dated as of May 24, 2013. The Amendment permits the Company to commence the Share Repurchase Program described above,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While we have not received formal notice from the village regarding these changes, we believe it is very likely that we will be obliged to relocate our China facility and have begun to plan for a move and seek alternative space to meet our needs. In addition, we have changed the period over which the China plant’s leasehold improvements are being depreciated to coincide with the expiration of the lease in October 2014. Finally, we have made plans to increase our manufacturing output in advance of the likely move so as to minimize the disruption of such a move to both our customers and the Company’s operations. We have not yet developed a reliable estimate of the costs of the likely move, nor is it certain to what extent the local government will contribute to defray such costs.</w:t>
      </w:r>
    </w:p>
    <w:p>
      <w:pPr>
        <w:spacing w:after="0" w:line="178"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22</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2013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three months of 2014, there were no significant changes in the manner in which our significant accounting policies were applied or in which related assumptions and estimates were developed.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23</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owed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Wayne County Action continues and discovery is in process.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1140" w:type="dxa"/>
            <w:vAlign w:val="bottom"/>
          </w:tcPr>
          <w:p>
            <w:pPr>
              <w:ind w:left="100"/>
              <w:spacing w:after="0"/>
              <w:rPr>
                <w:sz w:val="20"/>
                <w:szCs w:val="20"/>
                <w:color w:val="auto"/>
              </w:rPr>
            </w:pPr>
            <w:r>
              <w:rPr>
                <w:rFonts w:ascii="Arial" w:cs="Arial" w:eastAsia="Arial" w:hAnsi="Arial"/>
                <w:sz w:val="18"/>
                <w:szCs w:val="18"/>
                <w:color w:val="auto"/>
              </w:rPr>
              <w:t>Exhibit</w:t>
            </w:r>
          </w:p>
        </w:tc>
        <w:tc>
          <w:tcPr>
            <w:tcW w:w="5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1140" w:type="dxa"/>
            <w:vAlign w:val="bottom"/>
          </w:tcPr>
          <w:p>
            <w:pPr>
              <w:ind w:left="100"/>
              <w:spacing w:after="0"/>
              <w:rPr>
                <w:sz w:val="20"/>
                <w:szCs w:val="20"/>
                <w:color w:val="auto"/>
              </w:rPr>
            </w:pPr>
            <w:r>
              <w:rPr>
                <w:rFonts w:ascii="Arial" w:cs="Arial" w:eastAsia="Arial" w:hAnsi="Arial"/>
                <w:sz w:val="18"/>
                <w:szCs w:val="18"/>
                <w:color w:val="auto"/>
              </w:rPr>
              <w:t>Index</w:t>
            </w:r>
          </w:p>
        </w:tc>
        <w:tc>
          <w:tcPr>
            <w:tcW w:w="5700" w:type="dxa"/>
            <w:vAlign w:val="bottom"/>
          </w:tcPr>
          <w:p>
            <w:pPr>
              <w:ind w:left="340"/>
              <w:spacing w:after="0"/>
              <w:rPr>
                <w:sz w:val="20"/>
                <w:szCs w:val="20"/>
                <w:color w:val="auto"/>
              </w:rPr>
            </w:pPr>
            <w:r>
              <w:rPr>
                <w:rFonts w:ascii="Arial" w:cs="Arial" w:eastAsia="Arial" w:hAnsi="Arial"/>
                <w:sz w:val="18"/>
                <w:szCs w:val="18"/>
                <w:color w:val="auto"/>
              </w:rPr>
              <w:t>Description of Document</w:t>
            </w: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140" w:type="dxa"/>
            <w:vAlign w:val="bottom"/>
          </w:tcPr>
          <w:p>
            <w:pPr>
              <w:ind w:left="100"/>
              <w:spacing w:after="0"/>
              <w:rPr>
                <w:sz w:val="20"/>
                <w:szCs w:val="20"/>
                <w:color w:val="auto"/>
              </w:rPr>
            </w:pPr>
            <w:r>
              <w:rPr>
                <w:rFonts w:ascii="Arial" w:cs="Arial" w:eastAsia="Arial" w:hAnsi="Arial"/>
                <w:sz w:val="18"/>
                <w:szCs w:val="18"/>
                <w:color w:val="auto"/>
              </w:rPr>
              <w:t>10.1</w:t>
            </w:r>
          </w:p>
        </w:tc>
        <w:tc>
          <w:tcPr>
            <w:tcW w:w="5700" w:type="dxa"/>
            <w:vAlign w:val="bottom"/>
          </w:tcPr>
          <w:p>
            <w:pPr>
              <w:ind w:left="340"/>
              <w:spacing w:after="0"/>
              <w:rPr>
                <w:sz w:val="20"/>
                <w:szCs w:val="20"/>
                <w:color w:val="auto"/>
              </w:rPr>
            </w:pPr>
            <w:r>
              <w:rPr>
                <w:rFonts w:ascii="Arial" w:cs="Arial" w:eastAsia="Arial" w:hAnsi="Arial"/>
                <w:sz w:val="18"/>
                <w:szCs w:val="18"/>
                <w:color w:val="auto"/>
              </w:rPr>
              <w:t>First Amendment, dated April 30, 2014, to the Revolving Credit,</w:t>
            </w:r>
          </w:p>
        </w:tc>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w w:val="97"/>
              </w:rPr>
              <w:t>Guaranty, and Security Agreement between Ultralife Corporation and</w:t>
            </w: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PNC Bank, National Association, dated as of May 24, 2013</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5700" w:type="dxa"/>
            <w:vAlign w:val="bottom"/>
          </w:tcPr>
          <w:p>
            <w:pPr>
              <w:ind w:left="340"/>
              <w:spacing w:after="0"/>
              <w:rPr>
                <w:sz w:val="20"/>
                <w:szCs w:val="20"/>
                <w:color w:val="auto"/>
              </w:rPr>
            </w:pPr>
            <w:r>
              <w:rPr>
                <w:rFonts w:ascii="Arial" w:cs="Arial" w:eastAsia="Arial" w:hAnsi="Arial"/>
                <w:sz w:val="18"/>
                <w:szCs w:val="18"/>
                <w:color w:val="auto"/>
              </w:rPr>
              <w:t>Rule 13a-14(a) / 15d-14(a) CEO Certifications</w:t>
            </w: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5700" w:type="dxa"/>
            <w:vAlign w:val="bottom"/>
          </w:tcPr>
          <w:p>
            <w:pPr>
              <w:ind w:left="340"/>
              <w:spacing w:after="0"/>
              <w:rPr>
                <w:sz w:val="20"/>
                <w:szCs w:val="20"/>
                <w:color w:val="auto"/>
              </w:rPr>
            </w:pPr>
            <w:r>
              <w:rPr>
                <w:rFonts w:ascii="Arial" w:cs="Arial" w:eastAsia="Arial" w:hAnsi="Arial"/>
                <w:sz w:val="18"/>
                <w:szCs w:val="18"/>
                <w:color w:val="auto"/>
              </w:rPr>
              <w:t>Rule 13a-14(a) / 15d-14(a) CFO Certifications</w:t>
            </w: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32</w:t>
            </w:r>
          </w:p>
        </w:tc>
        <w:tc>
          <w:tcPr>
            <w:tcW w:w="5700" w:type="dxa"/>
            <w:vAlign w:val="bottom"/>
          </w:tcPr>
          <w:p>
            <w:pPr>
              <w:ind w:left="340"/>
              <w:spacing w:after="0"/>
              <w:rPr>
                <w:sz w:val="20"/>
                <w:szCs w:val="20"/>
                <w:color w:val="auto"/>
              </w:rPr>
            </w:pPr>
            <w:r>
              <w:rPr>
                <w:rFonts w:ascii="Arial" w:cs="Arial" w:eastAsia="Arial" w:hAnsi="Arial"/>
                <w:sz w:val="18"/>
                <w:szCs w:val="18"/>
                <w:color w:val="auto"/>
              </w:rPr>
              <w:t>Section 1350 Certifications</w:t>
            </w: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101.INS</w:t>
            </w:r>
          </w:p>
        </w:tc>
        <w:tc>
          <w:tcPr>
            <w:tcW w:w="5700" w:type="dxa"/>
            <w:vAlign w:val="bottom"/>
          </w:tcPr>
          <w:p>
            <w:pPr>
              <w:ind w:left="340"/>
              <w:spacing w:after="0"/>
              <w:rPr>
                <w:sz w:val="20"/>
                <w:szCs w:val="20"/>
                <w:color w:val="auto"/>
              </w:rPr>
            </w:pPr>
            <w:r>
              <w:rPr>
                <w:rFonts w:ascii="Arial" w:cs="Arial" w:eastAsia="Arial" w:hAnsi="Arial"/>
                <w:sz w:val="18"/>
                <w:szCs w:val="18"/>
                <w:color w:val="auto"/>
              </w:rPr>
              <w:t>XBRL Instance Document</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101.SCH</w:t>
            </w:r>
          </w:p>
        </w:tc>
        <w:tc>
          <w:tcPr>
            <w:tcW w:w="57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101.CAL</w:t>
            </w:r>
          </w:p>
        </w:tc>
        <w:tc>
          <w:tcPr>
            <w:tcW w:w="5700" w:type="dxa"/>
            <w:vAlign w:val="bottom"/>
          </w:tcPr>
          <w:p>
            <w:pPr>
              <w:ind w:left="340"/>
              <w:spacing w:after="0"/>
              <w:rPr>
                <w:sz w:val="20"/>
                <w:szCs w:val="20"/>
                <w:color w:val="auto"/>
              </w:rPr>
            </w:pPr>
            <w:r>
              <w:rPr>
                <w:rFonts w:ascii="Arial" w:cs="Arial" w:eastAsia="Arial" w:hAnsi="Arial"/>
                <w:sz w:val="18"/>
                <w:szCs w:val="18"/>
                <w:color w:val="auto"/>
              </w:rPr>
              <w:t>XBRL Taxonomy Calculation Linkbase Document</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101.LAB</w:t>
            </w:r>
          </w:p>
        </w:tc>
        <w:tc>
          <w:tcPr>
            <w:tcW w:w="5700" w:type="dxa"/>
            <w:vAlign w:val="bottom"/>
          </w:tcPr>
          <w:p>
            <w:pPr>
              <w:ind w:left="340"/>
              <w:spacing w:after="0"/>
              <w:rPr>
                <w:sz w:val="20"/>
                <w:szCs w:val="20"/>
                <w:color w:val="auto"/>
              </w:rPr>
            </w:pPr>
            <w:r>
              <w:rPr>
                <w:rFonts w:ascii="Arial" w:cs="Arial" w:eastAsia="Arial" w:hAnsi="Arial"/>
                <w:sz w:val="18"/>
                <w:szCs w:val="18"/>
                <w:color w:val="auto"/>
              </w:rPr>
              <w:t>XBRL Taxonomy Label Linkbase Document</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40" w:type="dxa"/>
            <w:vAlign w:val="bottom"/>
          </w:tcPr>
          <w:p>
            <w:pPr>
              <w:ind w:left="100"/>
              <w:spacing w:after="0"/>
              <w:rPr>
                <w:sz w:val="20"/>
                <w:szCs w:val="20"/>
                <w:color w:val="auto"/>
              </w:rPr>
            </w:pPr>
            <w:r>
              <w:rPr>
                <w:rFonts w:ascii="Arial" w:cs="Arial" w:eastAsia="Arial" w:hAnsi="Arial"/>
                <w:sz w:val="18"/>
                <w:szCs w:val="18"/>
                <w:color w:val="auto"/>
              </w:rPr>
              <w:t>101.PRE</w:t>
            </w:r>
          </w:p>
        </w:tc>
        <w:tc>
          <w:tcPr>
            <w:tcW w:w="5700" w:type="dxa"/>
            <w:vAlign w:val="bottom"/>
          </w:tcPr>
          <w:p>
            <w:pPr>
              <w:ind w:left="340"/>
              <w:spacing w:after="0"/>
              <w:rPr>
                <w:sz w:val="20"/>
                <w:szCs w:val="20"/>
                <w:color w:val="auto"/>
              </w:rPr>
            </w:pPr>
            <w:r>
              <w:rPr>
                <w:rFonts w:ascii="Arial" w:cs="Arial" w:eastAsia="Arial" w:hAnsi="Arial"/>
                <w:sz w:val="18"/>
                <w:szCs w:val="18"/>
                <w:color w:val="auto"/>
              </w:rPr>
              <w:t>XBRL Taxonomy Presentation Linkbase Document</w:t>
            </w: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1140" w:type="dxa"/>
            <w:vAlign w:val="bottom"/>
          </w:tcPr>
          <w:p>
            <w:pPr>
              <w:ind w:left="100"/>
              <w:spacing w:after="0"/>
              <w:rPr>
                <w:sz w:val="20"/>
                <w:szCs w:val="20"/>
                <w:color w:val="auto"/>
              </w:rPr>
            </w:pPr>
            <w:r>
              <w:rPr>
                <w:rFonts w:ascii="Arial" w:cs="Arial" w:eastAsia="Arial" w:hAnsi="Arial"/>
                <w:sz w:val="18"/>
                <w:szCs w:val="18"/>
                <w:color w:val="auto"/>
              </w:rPr>
              <w:t>101.DEF</w:t>
            </w:r>
          </w:p>
        </w:tc>
        <w:tc>
          <w:tcPr>
            <w:tcW w:w="5700" w:type="dxa"/>
            <w:vAlign w:val="bottom"/>
          </w:tcPr>
          <w:p>
            <w:pPr>
              <w:ind w:left="340"/>
              <w:spacing w:after="0"/>
              <w:rPr>
                <w:sz w:val="20"/>
                <w:szCs w:val="20"/>
                <w:color w:val="auto"/>
              </w:rPr>
            </w:pPr>
            <w:r>
              <w:rPr>
                <w:rFonts w:ascii="Arial" w:cs="Arial" w:eastAsia="Arial" w:hAnsi="Arial"/>
                <w:sz w:val="18"/>
                <w:szCs w:val="18"/>
                <w:color w:val="auto"/>
              </w:rPr>
              <w:t>XBRL Taxonomy Definition Document</w:t>
            </w:r>
          </w:p>
        </w:tc>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08"/>
        </w:trPr>
        <w:tc>
          <w:tcPr>
            <w:tcW w:w="1140" w:type="dxa"/>
            <w:vAlign w:val="bottom"/>
          </w:tcPr>
          <w:p>
            <w:pPr>
              <w:spacing w:after="0"/>
              <w:rPr>
                <w:sz w:val="24"/>
                <w:szCs w:val="24"/>
                <w:color w:val="auto"/>
              </w:rPr>
            </w:pPr>
          </w:p>
        </w:tc>
        <w:tc>
          <w:tcPr>
            <w:tcW w:w="5700" w:type="dxa"/>
            <w:vAlign w:val="bottom"/>
          </w:tcPr>
          <w:p>
            <w:pPr>
              <w:ind w:left="4500"/>
              <w:spacing w:after="0"/>
              <w:rPr>
                <w:sz w:val="20"/>
                <w:szCs w:val="20"/>
                <w:color w:val="auto"/>
              </w:rPr>
            </w:pPr>
            <w:r>
              <w:rPr>
                <w:rFonts w:ascii="Arial" w:cs="Arial" w:eastAsia="Arial" w:hAnsi="Arial"/>
                <w:sz w:val="18"/>
                <w:szCs w:val="18"/>
                <w:color w:val="auto"/>
              </w:rPr>
              <w:t>24</w:t>
            </w:r>
          </w:p>
        </w:tc>
        <w:tc>
          <w:tcPr>
            <w:tcW w:w="418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i w:val="1"/>
                <w:iCs w:val="1"/>
                <w:color w:val="0000EE"/>
                <w:w w:val="86"/>
              </w:rPr>
            </w:pPr>
            <w:hyperlink w:anchor="page2">
              <w:r>
                <w:rPr>
                  <w:rFonts w:ascii="Arial" w:cs="Arial" w:eastAsia="Arial" w:hAnsi="Arial"/>
                  <w:sz w:val="18"/>
                  <w:szCs w:val="18"/>
                  <w:i w:val="1"/>
                  <w:iCs w:val="1"/>
                  <w:color w:val="0000EE"/>
                  <w:w w:val="86"/>
                </w:rPr>
                <w:t>Index</w:t>
              </w:r>
            </w:hyperlink>
          </w:p>
        </w:tc>
      </w:tr>
    </w:tbl>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ULTRALIFE CORPORATION</w:t>
            </w:r>
          </w:p>
        </w:tc>
        <w:tc>
          <w:tcPr>
            <w:tcW w:w="1540" w:type="dxa"/>
            <w:vAlign w:val="bottom"/>
          </w:tcPr>
          <w:p>
            <w:pPr>
              <w:spacing w:after="0"/>
              <w:rPr>
                <w:sz w:val="17"/>
                <w:szCs w:val="17"/>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20" w:type="dxa"/>
            <w:vAlign w:val="bottom"/>
            <w:gridSpan w:val="2"/>
          </w:tcPr>
          <w:p>
            <w:pPr>
              <w:jc w:val="center"/>
              <w:ind w:right="1520"/>
              <w:spacing w:after="0"/>
              <w:rPr>
                <w:sz w:val="20"/>
                <w:szCs w:val="20"/>
                <w:color w:val="auto"/>
              </w:rPr>
            </w:pPr>
            <w:r>
              <w:rPr>
                <w:rFonts w:ascii="Arial" w:cs="Arial" w:eastAsia="Arial" w:hAnsi="Arial"/>
                <w:sz w:val="18"/>
                <w:szCs w:val="18"/>
                <w:color w:val="auto"/>
                <w:w w:val="91"/>
              </w:rPr>
              <w:t>(Registrant)</w:t>
            </w:r>
          </w:p>
        </w:tc>
      </w:tr>
      <w:tr>
        <w:trPr>
          <w:trHeight w:val="608"/>
        </w:trPr>
        <w:tc>
          <w:tcPr>
            <w:tcW w:w="3420" w:type="dxa"/>
            <w:vAlign w:val="bottom"/>
            <w:gridSpan w:val="3"/>
          </w:tcPr>
          <w:p>
            <w:pPr>
              <w:spacing w:after="0"/>
              <w:rPr>
                <w:sz w:val="20"/>
                <w:szCs w:val="20"/>
                <w:color w:val="auto"/>
              </w:rPr>
            </w:pPr>
            <w:r>
              <w:rPr>
                <w:rFonts w:ascii="Arial" w:cs="Arial" w:eastAsia="Arial" w:hAnsi="Arial"/>
                <w:sz w:val="18"/>
                <w:szCs w:val="18"/>
                <w:color w:val="auto"/>
              </w:rPr>
              <w:t>Date: May 9, 2014</w:t>
            </w:r>
          </w:p>
        </w:tc>
        <w:tc>
          <w:tcPr>
            <w:tcW w:w="7200" w:type="dxa"/>
            <w:vAlign w:val="bottom"/>
            <w:gridSpan w:val="4"/>
          </w:tcPr>
          <w:p>
            <w:pPr>
              <w:ind w:left="2060"/>
              <w:spacing w:after="0"/>
              <w:rPr>
                <w:sz w:val="20"/>
                <w:szCs w:val="20"/>
                <w:color w:val="auto"/>
              </w:rPr>
            </w:pPr>
            <w:r>
              <w:rPr>
                <w:rFonts w:ascii="Arial" w:cs="Arial" w:eastAsia="Arial" w:hAnsi="Arial"/>
                <w:sz w:val="18"/>
                <w:szCs w:val="18"/>
                <w:color w:val="auto"/>
              </w:rPr>
              <w:t>By: /s/ Michael D. Popielec</w:t>
            </w:r>
          </w:p>
        </w:tc>
      </w:tr>
      <w:tr>
        <w:trPr>
          <w:trHeight w:val="21"/>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780" w:type="dxa"/>
            <w:vAlign w:val="bottom"/>
            <w:gridSpan w:val="3"/>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16"/>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3420" w:type="dxa"/>
            <w:vAlign w:val="bottom"/>
            <w:gridSpan w:val="3"/>
          </w:tcPr>
          <w:p>
            <w:pPr>
              <w:spacing w:after="0"/>
              <w:rPr>
                <w:sz w:val="20"/>
                <w:szCs w:val="20"/>
                <w:color w:val="auto"/>
              </w:rPr>
            </w:pPr>
            <w:r>
              <w:rPr>
                <w:rFonts w:ascii="Arial" w:cs="Arial" w:eastAsia="Arial" w:hAnsi="Arial"/>
                <w:sz w:val="18"/>
                <w:szCs w:val="18"/>
                <w:color w:val="auto"/>
              </w:rPr>
              <w:t>Date: May 9, 2014</w:t>
            </w:r>
          </w:p>
        </w:tc>
        <w:tc>
          <w:tcPr>
            <w:tcW w:w="7200" w:type="dxa"/>
            <w:vAlign w:val="bottom"/>
            <w:gridSpan w:val="4"/>
          </w:tcPr>
          <w:p>
            <w:pPr>
              <w:ind w:left="2060"/>
              <w:spacing w:after="0"/>
              <w:rPr>
                <w:sz w:val="20"/>
                <w:szCs w:val="20"/>
                <w:color w:val="auto"/>
              </w:rPr>
            </w:pPr>
            <w:r>
              <w:rPr>
                <w:rFonts w:ascii="Arial" w:cs="Arial" w:eastAsia="Arial" w:hAnsi="Arial"/>
                <w:sz w:val="18"/>
                <w:szCs w:val="18"/>
                <w:color w:val="auto"/>
              </w:rPr>
              <w:t>By: /s/ Philip A. Fain</w:t>
            </w:r>
          </w:p>
        </w:tc>
      </w:tr>
      <w:tr>
        <w:trPr>
          <w:trHeight w:val="21"/>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780" w:type="dxa"/>
            <w:vAlign w:val="bottom"/>
            <w:gridSpan w:val="3"/>
          </w:tcPr>
          <w:p>
            <w:pPr>
              <w:spacing w:after="0" w:line="195" w:lineRule="exact"/>
              <w:rPr>
                <w:sz w:val="20"/>
                <w:szCs w:val="20"/>
                <w:color w:val="auto"/>
              </w:rPr>
            </w:pPr>
            <w:r>
              <w:rPr>
                <w:rFonts w:ascii="Arial" w:cs="Arial" w:eastAsia="Arial" w:hAnsi="Arial"/>
                <w:sz w:val="18"/>
                <w:szCs w:val="18"/>
                <w:color w:val="auto"/>
              </w:rPr>
              <w:t>Philip A. Fain</w:t>
            </w:r>
          </w:p>
        </w:tc>
      </w:tr>
      <w:tr>
        <w:trPr>
          <w:trHeight w:val="216"/>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w w:val="99"/>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5640"/>
        <w:spacing w:after="0"/>
        <w:tabs>
          <w:tab w:leader="none" w:pos="1100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25</w:t>
      </w:r>
      <w:r>
        <w:rPr>
          <w:sz w:val="20"/>
          <w:szCs w:val="20"/>
          <w:color w:val="auto"/>
        </w:rPr>
        <w:tab/>
      </w:r>
      <w:hyperlink w:anchor="page2">
        <w:r>
          <w:rPr>
            <w:rFonts w:ascii="Arial" w:cs="Arial" w:eastAsia="Arial" w:hAnsi="Arial"/>
            <w:sz w:val="18"/>
            <w:szCs w:val="18"/>
            <w:i w:val="1"/>
            <w:iCs w:val="1"/>
            <w:u w:val="single" w:color="auto"/>
            <w:color w:val="0000EE"/>
          </w:rPr>
          <w:t>Index</w:t>
        </w:r>
      </w:hyperlink>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88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tcPr>
          <w:p>
            <w:pPr>
              <w:ind w:left="140"/>
              <w:spacing w:after="0"/>
              <w:rPr>
                <w:sz w:val="20"/>
                <w:szCs w:val="20"/>
                <w:color w:val="auto"/>
              </w:rPr>
            </w:pPr>
            <w:r>
              <w:rPr>
                <w:rFonts w:ascii="Arial" w:cs="Arial" w:eastAsia="Arial" w:hAnsi="Arial"/>
                <w:sz w:val="18"/>
                <w:szCs w:val="18"/>
                <w:color w:val="auto"/>
                <w:w w:val="91"/>
              </w:rPr>
              <w:t>First Amendment, dated April 30, 2014, to the Revolving Credit, Guaranty, and Security Agreement between Ultralife Corporation and</w:t>
            </w:r>
          </w:p>
        </w:tc>
      </w:tr>
      <w:tr>
        <w:trPr>
          <w:trHeight w:val="216"/>
        </w:trPr>
        <w:tc>
          <w:tcPr>
            <w:tcW w:w="8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PNC Bank, National Association, dated as of May 24, 2013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tcPr>
          <w:p>
            <w:pPr>
              <w:ind w:left="140"/>
              <w:spacing w:after="0"/>
              <w:rPr>
                <w:sz w:val="20"/>
                <w:szCs w:val="20"/>
                <w:color w:val="auto"/>
              </w:rPr>
            </w:pPr>
            <w:r>
              <w:rPr>
                <w:rFonts w:ascii="Arial" w:cs="Arial" w:eastAsia="Arial" w:hAnsi="Arial"/>
                <w:sz w:val="18"/>
                <w:szCs w:val="18"/>
                <w:color w:val="auto"/>
                <w:w w:val="94"/>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26" w:name="page27"/>
    <w:bookmarkEnd w:id="26"/>
    <w:p>
      <w:pPr>
        <w:spacing w:after="0" w:line="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REVOLVING CREDIT, GUARANTY AND SECURITY AGREEMENT</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This First Amendment Agreement to Revolving Credit, Guaranty and Security Agreement (this “Agreement”) is dated as of April 30, 2014 (the “Effective Date”), by and between ULTRALIFE CORPORATION, a corporation organized under the laws of the State of Delaware (“Borrower”), and PNC BANK, NATIONAL ASSOCIATION (“Lender”).</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Borrower and Lender are party to a Revolving Credit, Guaranty and Security Agreement dated as of May 24, 2013 (as amended, restated or otherwise modified from time to time, the “Credit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Borrower and Lender desire to amend the Credit Agreement to modify certain provisions thereof; and</w:t>
      </w:r>
    </w:p>
    <w:p>
      <w:pPr>
        <w:spacing w:after="0" w:line="24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each term used herein shall be defined in accordance with the Credit Agreement, except to the extent such term is otherwise defined herein.</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NOW, THEREFORE, in consideration of the premises and of the mutual covenants herein and for other valuable consideration, Borrower and Lender agree as follows:</w:t>
      </w:r>
    </w:p>
    <w:p>
      <w:pPr>
        <w:spacing w:after="0" w:line="173" w:lineRule="exact"/>
        <w:rPr>
          <w:sz w:val="20"/>
          <w:szCs w:val="20"/>
          <w:color w:val="auto"/>
        </w:rPr>
      </w:pPr>
    </w:p>
    <w:p>
      <w:pPr>
        <w:ind w:right="20" w:firstLine="656"/>
        <w:spacing w:after="0" w:line="251" w:lineRule="auto"/>
        <w:tabs>
          <w:tab w:leader="none" w:pos="87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Credit Agreement is hereby amended to delete Section 7.7 therefrom in its entirety and to insert in place thereof the following:</w:t>
      </w:r>
    </w:p>
    <w:p>
      <w:pPr>
        <w:spacing w:after="0" w:line="200" w:lineRule="exact"/>
        <w:rPr>
          <w:sz w:val="20"/>
          <w:szCs w:val="20"/>
          <w:color w:val="auto"/>
        </w:rPr>
      </w:pPr>
    </w:p>
    <w:p>
      <w:pPr>
        <w:jc w:val="both"/>
        <w:ind w:left="660" w:right="580" w:firstLine="648"/>
        <w:spacing w:after="0" w:line="271"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Distributions</w:t>
      </w:r>
      <w:r>
        <w:rPr>
          <w:rFonts w:ascii="Arial" w:cs="Arial" w:eastAsia="Arial" w:hAnsi="Arial"/>
          <w:sz w:val="19"/>
          <w:szCs w:val="19"/>
          <w:color w:val="auto"/>
        </w:rPr>
        <w:t>. Pay or make any dividend or distribution on any Equity Interests of Borrower (other than dividends or distributions payable in its stock, or split-ups or reclassifications of its stock) or apply any of its funds, property or assets to the purchase, redemption or other retirement of any Equity Interests of Borrower, or of any options to purchase or acquire any such Equity Interests of any Credit Party (excluding any cashless exercise of options) or pay any management, consulting or similar fee; provided, however that Borrower may repurchase up to 1,800,000 of its common stock from its shareholders for an aggregate amount not to exceed $8,000,000 during the period from May 1, 2014 through and including May 1, 2015 so long as (a) no Default or Event of Default then exists or would otherwise exist as result thereof (it being recognized by Lender that Borrower’s actions directly effecting such repurchase shall not be deemed as Event of Default, e.g. Borrower’s repurchase of its own Equity Interests shall not be deemed to be a breach of Section 7.4 above); (b) Undrawn Availability is greater than or equal to $6,000,000 both immediately before and immediately after giving effect to any such repurchase; (c) Undrawn Availability plus domestic unrestricted cash of Borrower is greater than or equal to $8,000,000 both immediately before and immediately after giving effect to any such repurchase; and (d) Borrower uses its unrestricted cash to consummate such repurchases and does not request any Revolving Advances for such purpose.</w:t>
      </w:r>
    </w:p>
    <w:p>
      <w:pPr>
        <w:spacing w:after="0" w:line="192" w:lineRule="exact"/>
        <w:rPr>
          <w:sz w:val="20"/>
          <w:szCs w:val="20"/>
          <w:color w:val="auto"/>
        </w:rPr>
      </w:pPr>
    </w:p>
    <w:p>
      <w:pPr>
        <w:ind w:firstLine="656"/>
        <w:spacing w:after="0" w:line="251" w:lineRule="auto"/>
        <w:tabs>
          <w:tab w:leader="none" w:pos="884" w:val="left"/>
        </w:tabs>
        <w:numPr>
          <w:ilvl w:val="1"/>
          <w:numId w:val="21"/>
        </w:numPr>
        <w:rPr>
          <w:rFonts w:ascii="Arial" w:cs="Arial" w:eastAsia="Arial" w:hAnsi="Arial"/>
          <w:sz w:val="22"/>
          <w:szCs w:val="22"/>
          <w:color w:val="auto"/>
        </w:rPr>
      </w:pPr>
      <w:r>
        <w:rPr>
          <w:rFonts w:ascii="Arial" w:cs="Arial" w:eastAsia="Arial" w:hAnsi="Arial"/>
          <w:sz w:val="22"/>
          <w:szCs w:val="22"/>
          <w:color w:val="auto"/>
        </w:rPr>
        <w:t>As a condition precedent to the effectiveness of this Agreement, Borrower shall pay all reasonable out-of-pocket legal fees and expenses of Lender incurred in connection with this Agreement.</w:t>
      </w:r>
    </w:p>
    <w:p>
      <w:pPr>
        <w:spacing w:after="0" w:line="200" w:lineRule="exact"/>
        <w:rPr>
          <w:rFonts w:ascii="Arial" w:cs="Arial" w:eastAsia="Arial" w:hAnsi="Arial"/>
          <w:sz w:val="22"/>
          <w:szCs w:val="22"/>
          <w:color w:val="auto"/>
        </w:rPr>
      </w:pPr>
    </w:p>
    <w:p>
      <w:pPr>
        <w:jc w:val="both"/>
        <w:ind w:firstLine="656"/>
        <w:spacing w:after="0" w:line="244" w:lineRule="auto"/>
        <w:tabs>
          <w:tab w:leader="none" w:pos="879" w:val="left"/>
        </w:tabs>
        <w:numPr>
          <w:ilvl w:val="1"/>
          <w:numId w:val="21"/>
        </w:numPr>
        <w:rPr>
          <w:rFonts w:ascii="Arial" w:cs="Arial" w:eastAsia="Arial" w:hAnsi="Arial"/>
          <w:sz w:val="21"/>
          <w:szCs w:val="21"/>
          <w:color w:val="auto"/>
        </w:rPr>
      </w:pPr>
      <w:r>
        <w:rPr>
          <w:rFonts w:ascii="Arial" w:cs="Arial" w:eastAsia="Arial" w:hAnsi="Arial"/>
          <w:sz w:val="21"/>
          <w:szCs w:val="21"/>
          <w:color w:val="auto"/>
        </w:rPr>
        <w:t>Borrower hereby represents and warrants to Lender that as of the Effective Date: (a) Borrower has the legal power and authority to execute and deliver this Agreement and each other document executed by a Borrower in connection herewith (the “Amendment Documents”); (b) the officers, managers, or members, as the case may be, executing the Amendment Documents have been duly authorized to execute and deliver the same and bind Borrower with respect to the provisions thereof; (c) the execution and delivery hereof by Borrower of the Amendment Documents and the performance and observance by Borrower of the provisions thereof do not violate or conflict with the Organizational Documents of Borrower or any law applicable to Borrower or result in a breach of any provision of or constitute a default under any other agreement, instrument or document binding upon or enforceable against Borrower; (d) no Default or Event of Default exists under the Credit Agreement, nor will any occur immediately after the execution and delivery of the Amendment Documents or by the performance or observance of any provision thereof; (e) Borrower has no claim or offset against, or defense or counterclaim to, any of Borrower’s obligations or liabilities under the Credit Agreement, the Other Documents or any document related thereto or otherwise with respect to the Obligations; and (f) the Amendment Documents constitute the valid and binding obligation of Borrower, enforceable in accordance with their respective terms.</w:t>
      </w:r>
    </w:p>
    <w:p>
      <w:pPr>
        <w:spacing w:after="0" w:line="211" w:lineRule="exact"/>
        <w:rPr>
          <w:rFonts w:ascii="Arial" w:cs="Arial" w:eastAsia="Arial" w:hAnsi="Arial"/>
          <w:sz w:val="21"/>
          <w:szCs w:val="21"/>
          <w:color w:val="auto"/>
        </w:rPr>
      </w:pPr>
    </w:p>
    <w:p>
      <w:pPr>
        <w:jc w:val="both"/>
        <w:ind w:firstLine="8"/>
        <w:spacing w:after="0" w:line="287" w:lineRule="auto"/>
        <w:tabs>
          <w:tab w:leader="none" w:pos="221"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 consideration of this Agreement, Borrower hereby waives and releases Lender and its representatives, shareholders, directors, officers, employees, attorneys, affiliates and subsidiaries from any and all such claims, offsets, defenses and counterclaims of which Borrower is aware or unaware as of the Effective Date, such waiver and release being with full knowledge and understanding of the circumstances and effect thereof and after having consulted legal counsel with respect thereto.</w:t>
      </w:r>
    </w:p>
    <w:p>
      <w:pPr>
        <w:spacing w:after="0" w:line="170" w:lineRule="exact"/>
        <w:rPr>
          <w:rFonts w:ascii="Arial" w:cs="Arial" w:eastAsia="Arial" w:hAnsi="Arial"/>
          <w:sz w:val="19"/>
          <w:szCs w:val="19"/>
          <w:color w:val="auto"/>
        </w:rPr>
      </w:pPr>
    </w:p>
    <w:p>
      <w:pPr>
        <w:jc w:val="both"/>
        <w:ind w:firstLine="8"/>
        <w:spacing w:after="0" w:line="279" w:lineRule="auto"/>
        <w:tabs>
          <w:tab w:leader="none" w:pos="2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reference that is made in the Credit Agreement shall hereafter be construed as a reference to the Credit Agreement as amended hereby. The Amendment Documents shall each constitute “Other Documents” as defined in the Credit Agreement. Borrower hereby reaffirms its obligations under the Credit Agreement and each Other Document to which it is a party, as any of them may from time to time be amended, restated or otherwise modified, and further agrees that the Credit Agreement and each Other Document shall, except to the extent modified herein, remain in full force and effect following the execution and delivery of this Agreement and all documents being executed and delivered in connection herewith.</w:t>
      </w:r>
    </w:p>
    <w:p>
      <w:pPr>
        <w:spacing w:after="0" w:line="177" w:lineRule="exact"/>
        <w:rPr>
          <w:rFonts w:ascii="Arial" w:cs="Arial" w:eastAsia="Arial" w:hAnsi="Arial"/>
          <w:sz w:val="19"/>
          <w:szCs w:val="19"/>
          <w:color w:val="auto"/>
        </w:rPr>
      </w:pPr>
    </w:p>
    <w:p>
      <w:pPr>
        <w:jc w:val="both"/>
        <w:ind w:firstLine="656"/>
        <w:spacing w:after="0" w:line="328" w:lineRule="auto"/>
        <w:tabs>
          <w:tab w:leader="none" w:pos="873"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This Agreement may be executed in any number of counterparts, by different parties hereto in separate counterparts and by electronic signature, each of which when so executed and delivered shall be deemed to be an original and all of which taken</w:t>
      </w:r>
    </w:p>
    <w:p>
      <w:pPr>
        <w:sectPr>
          <w:pgSz w:w="11900" w:h="16879" w:orient="portrait"/>
          <w:cols w:equalWidth="0" w:num="1">
            <w:col w:w="11420"/>
          </w:cols>
          <w:pgMar w:left="240" w:top="118" w:right="239" w:bottom="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together shall constitute but one and the same agreement.</w:t>
      </w:r>
    </w:p>
    <w:p>
      <w:pPr>
        <w:spacing w:after="0" w:line="234" w:lineRule="exact"/>
        <w:rPr>
          <w:sz w:val="20"/>
          <w:szCs w:val="20"/>
          <w:color w:val="auto"/>
        </w:rPr>
      </w:pPr>
    </w:p>
    <w:p>
      <w:pPr>
        <w:ind w:right="20" w:firstLine="8"/>
        <w:spacing w:after="0" w:line="251" w:lineRule="auto"/>
        <w:tabs>
          <w:tab w:leader="none" w:pos="25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rights and obligations of all parties hereto shall be governed by the laws of the State of New York, without regard to principles of conflicts of laws.</w:t>
      </w:r>
    </w:p>
    <w:p>
      <w:pPr>
        <w:spacing w:after="0" w:line="200" w:lineRule="exact"/>
        <w:rPr>
          <w:rFonts w:ascii="Arial" w:cs="Arial" w:eastAsia="Arial" w:hAnsi="Arial"/>
          <w:sz w:val="22"/>
          <w:szCs w:val="22"/>
          <w:color w:val="auto"/>
        </w:rPr>
      </w:pPr>
    </w:p>
    <w:p>
      <w:pPr>
        <w:jc w:val="both"/>
        <w:ind w:firstLine="656"/>
        <w:spacing w:after="0" w:line="233" w:lineRule="auto"/>
        <w:tabs>
          <w:tab w:leader="none" w:pos="916" w:val="left"/>
        </w:tabs>
        <w:numPr>
          <w:ilvl w:val="1"/>
          <w:numId w:val="23"/>
        </w:numPr>
        <w:rPr>
          <w:rFonts w:ascii="Arial" w:cs="Arial" w:eastAsia="Arial" w:hAnsi="Arial"/>
          <w:sz w:val="22"/>
          <w:szCs w:val="22"/>
          <w:color w:val="auto"/>
        </w:rPr>
      </w:pPr>
      <w:r>
        <w:rPr>
          <w:rFonts w:ascii="Arial" w:cs="Arial" w:eastAsia="Arial" w:hAnsi="Arial"/>
          <w:sz w:val="22"/>
          <w:szCs w:val="22"/>
          <w:color w:val="auto"/>
        </w:rPr>
        <w:t>BORROWER AND LENDER WAIVE ANY RIGHT TO HAVE A JURY PARTICIPATE IN RESOLVING ANY DISPUTE, WHETHER SOUNDING IN CONTRACT, TORT OR OTHERWISE, BETWEEN BORROWER AND LENDER, ARISING OUT OF, IN CONNECTION WITH, RELATED TO, OR INCIDENTAL TO THE RELATIONSHIP ESTABLISHED BETWEEN THEM IN CONNECTION WITH THIS AGREEMENT OR ANY NOTE OR OTHER INSTRUMENT, DOCUMENT OR AGREEMENT EXECUTED OR DELIVERED IN CONNECTION HEREWITH OR THE TRANSACTIONS RELATED THERETO. THIS WAIVER SHALL NOT IN ANY WAY AFFECT, WAIVE, LIMIT, AMEND OR MODIFY LENDER’S ABILITY TO PURSUE REMEDIES PURSUANT TO ANY CONFESSION OF JUDGMENT OR COGNOVIT PROVISION CONTAINED IN ANY NOTE OR OTHER INSTRUMENT, DOCUMENT OR AGREEMENT BETWEEN BORROWER AND LENDER.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420"/>
          </w:cols>
          <w:pgMar w:left="240" w:top="11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3"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ULTRALIFE CORPORATION</w:t>
      </w:r>
    </w:p>
    <w:p>
      <w:pPr>
        <w:spacing w:after="0" w:line="239"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 /s/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-17780</wp:posOffset>
            </wp:positionV>
            <wp:extent cx="1932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2305" cy="8890"/>
                    </a:xfrm>
                    <a:prstGeom prst="rect">
                      <a:avLst/>
                    </a:prstGeom>
                    <a:noFill/>
                  </pic:spPr>
                </pic:pic>
              </a:graphicData>
            </a:graphic>
          </wp:anchor>
        </w:drawing>
      </w:r>
    </w:p>
    <w:p>
      <w:pPr>
        <w:ind w:left="5360"/>
        <w:spacing w:after="0" w:line="238" w:lineRule="auto"/>
        <w:rPr>
          <w:sz w:val="20"/>
          <w:szCs w:val="20"/>
          <w:color w:val="auto"/>
        </w:rPr>
      </w:pPr>
      <w:r>
        <w:rPr>
          <w:rFonts w:ascii="Arial" w:cs="Arial" w:eastAsia="Arial" w:hAnsi="Arial"/>
          <w:sz w:val="22"/>
          <w:szCs w:val="22"/>
          <w:color w:val="auto"/>
        </w:rPr>
        <w:t>Print Name: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-22860</wp:posOffset>
            </wp:positionV>
            <wp:extent cx="1494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Its: CFO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-29210</wp:posOffset>
            </wp:positionV>
            <wp:extent cx="1877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LENDER:</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21"/>
          <w:szCs w:val="21"/>
          <w:color w:val="auto"/>
        </w:rPr>
        <w:t>PNC BANK, NATIONAL ASSOCIATION</w:t>
      </w:r>
    </w:p>
    <w:p>
      <w:pPr>
        <w:spacing w:after="0" w:line="227"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 /s/Kevin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-17780</wp:posOffset>
            </wp:positionV>
            <wp:extent cx="1787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2"/>
          <w:szCs w:val="22"/>
          <w:color w:val="auto"/>
        </w:rPr>
        <w:t>Kevin Rich, Vice President</w:t>
      </w:r>
    </w:p>
    <w:p>
      <w:pPr>
        <w:sectPr>
          <w:pgSz w:w="11900" w:h="16838" w:orient="portrait"/>
          <w:cols w:equalWidth="0" w:num="1">
            <w:col w:w="10219"/>
          </w:cols>
          <w:pgMar w:left="240" w:top="469"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2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2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800" w:type="dxa"/>
            <w:vAlign w:val="bottom"/>
            <w:gridSpan w:val="3"/>
          </w:tcPr>
          <w:p>
            <w:pPr>
              <w:spacing w:after="0"/>
              <w:rPr>
                <w:sz w:val="20"/>
                <w:szCs w:val="20"/>
                <w:color w:val="auto"/>
              </w:rPr>
            </w:pPr>
            <w:r>
              <w:rPr>
                <w:rFonts w:ascii="Arial" w:cs="Arial" w:eastAsia="Arial" w:hAnsi="Arial"/>
                <w:sz w:val="20"/>
                <w:szCs w:val="20"/>
                <w:color w:val="auto"/>
              </w:rPr>
              <w:t>Date: May 9, 2014</w:t>
            </w:r>
          </w:p>
        </w:tc>
        <w:tc>
          <w:tcPr>
            <w:tcW w:w="4980" w:type="dxa"/>
            <w:vAlign w:val="bottom"/>
            <w:gridSpan w:val="3"/>
          </w:tcPr>
          <w:p>
            <w:pPr>
              <w:ind w:left="132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Michael D. Popielec</w:t>
            </w:r>
          </w:p>
        </w:tc>
        <w:tc>
          <w:tcPr>
            <w:tcW w:w="5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2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2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800" w:type="dxa"/>
            <w:vAlign w:val="bottom"/>
            <w:gridSpan w:val="3"/>
          </w:tcPr>
          <w:p>
            <w:pPr>
              <w:spacing w:after="0"/>
              <w:rPr>
                <w:sz w:val="20"/>
                <w:szCs w:val="20"/>
                <w:color w:val="auto"/>
              </w:rPr>
            </w:pPr>
            <w:r>
              <w:rPr>
                <w:rFonts w:ascii="Arial" w:cs="Arial" w:eastAsia="Arial" w:hAnsi="Arial"/>
                <w:sz w:val="20"/>
                <w:szCs w:val="20"/>
                <w:color w:val="auto"/>
              </w:rPr>
              <w:t>Date: May 9, 2014</w:t>
            </w:r>
          </w:p>
        </w:tc>
        <w:tc>
          <w:tcPr>
            <w:tcW w:w="4900" w:type="dxa"/>
            <w:vAlign w:val="bottom"/>
            <w:gridSpan w:val="3"/>
          </w:tcPr>
          <w:p>
            <w:pPr>
              <w:ind w:left="132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4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Philip A. Fain</w:t>
            </w:r>
          </w:p>
        </w:tc>
        <w:tc>
          <w:tcPr>
            <w:tcW w:w="80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30, 2014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800" w:type="dxa"/>
            <w:vAlign w:val="bottom"/>
            <w:gridSpan w:val="3"/>
          </w:tcPr>
          <w:p>
            <w:pPr>
              <w:spacing w:after="0"/>
              <w:rPr>
                <w:sz w:val="20"/>
                <w:szCs w:val="20"/>
                <w:color w:val="auto"/>
              </w:rPr>
            </w:pPr>
            <w:r>
              <w:rPr>
                <w:rFonts w:ascii="Arial" w:cs="Arial" w:eastAsia="Arial" w:hAnsi="Arial"/>
                <w:sz w:val="20"/>
                <w:szCs w:val="20"/>
                <w:color w:val="auto"/>
              </w:rPr>
              <w:t>Date: May 9, 2014</w:t>
            </w:r>
          </w:p>
        </w:tc>
        <w:tc>
          <w:tcPr>
            <w:tcW w:w="1680" w:type="dxa"/>
            <w:vAlign w:val="bottom"/>
          </w:tcPr>
          <w:p>
            <w:pPr>
              <w:ind w:left="132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Michael D. Popielec</w:t>
            </w: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40" w:type="dxa"/>
            <w:vAlign w:val="bottom"/>
            <w:gridSpan w:val="4"/>
          </w:tcPr>
          <w:p>
            <w:pPr>
              <w:ind w:left="1320"/>
              <w:spacing w:after="0"/>
              <w:rPr>
                <w:sz w:val="20"/>
                <w:szCs w:val="20"/>
                <w:color w:val="auto"/>
              </w:rPr>
            </w:pPr>
            <w:r>
              <w:rPr>
                <w:rFonts w:ascii="Arial" w:cs="Arial" w:eastAsia="Arial" w:hAnsi="Arial"/>
                <w:sz w:val="20"/>
                <w:szCs w:val="20"/>
                <w:color w:val="auto"/>
              </w:rPr>
              <w:t>Michael D. Popielec</w:t>
            </w:r>
          </w:p>
        </w:tc>
      </w:tr>
      <w:tr>
        <w:trPr>
          <w:trHeight w:val="250"/>
        </w:trPr>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340" w:type="dxa"/>
            <w:vAlign w:val="bottom"/>
            <w:gridSpan w:val="4"/>
          </w:tcPr>
          <w:p>
            <w:pPr>
              <w:ind w:left="132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2800" w:type="dxa"/>
            <w:vAlign w:val="bottom"/>
            <w:gridSpan w:val="3"/>
          </w:tcPr>
          <w:p>
            <w:pPr>
              <w:spacing w:after="0"/>
              <w:rPr>
                <w:sz w:val="20"/>
                <w:szCs w:val="20"/>
                <w:color w:val="auto"/>
              </w:rPr>
            </w:pPr>
            <w:r>
              <w:rPr>
                <w:rFonts w:ascii="Arial" w:cs="Arial" w:eastAsia="Arial" w:hAnsi="Arial"/>
                <w:sz w:val="20"/>
                <w:szCs w:val="20"/>
                <w:color w:val="auto"/>
              </w:rPr>
              <w:t>Date: May 9, 2014</w:t>
            </w:r>
          </w:p>
        </w:tc>
        <w:tc>
          <w:tcPr>
            <w:tcW w:w="1680" w:type="dxa"/>
            <w:vAlign w:val="bottom"/>
          </w:tcPr>
          <w:p>
            <w:pPr>
              <w:ind w:left="132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Philip A. Fain</w:t>
            </w: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40" w:type="dxa"/>
            <w:vAlign w:val="bottom"/>
            <w:gridSpan w:val="4"/>
          </w:tcPr>
          <w:p>
            <w:pPr>
              <w:ind w:left="1320"/>
              <w:spacing w:after="0"/>
              <w:rPr>
                <w:sz w:val="20"/>
                <w:szCs w:val="20"/>
                <w:color w:val="auto"/>
              </w:rPr>
            </w:pPr>
            <w:r>
              <w:rPr>
                <w:rFonts w:ascii="Arial" w:cs="Arial" w:eastAsia="Arial" w:hAnsi="Arial"/>
                <w:sz w:val="20"/>
                <w:szCs w:val="20"/>
                <w:color w:val="auto"/>
              </w:rPr>
              <w:t>Philip A. Fain</w:t>
            </w:r>
          </w:p>
        </w:tc>
      </w:tr>
      <w:tr>
        <w:trPr>
          <w:trHeight w:val="250"/>
        </w:trPr>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340" w:type="dxa"/>
            <w:vAlign w:val="bottom"/>
            <w:gridSpan w:val="4"/>
          </w:tcPr>
          <w:p>
            <w:pPr>
              <w:ind w:left="132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1."/>
      <w:numFmt w:val="decimal"/>
      <w:start w:val="14"/>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lvl w:ilvl="1">
      <w:lvlJc w:val="left"/>
      <w:lvlText w:val="%2."/>
      <w:numFmt w:val="decimal"/>
      <w:start w:val="2"/>
    </w:lvl>
  </w:abstractNum>
  <w:abstractNum w:abstractNumId="21">
    <w:nsid w:val="6763845E"/>
    <w:multiLevelType w:val="hybridMultilevel"/>
    <w:lvl w:ilvl="0">
      <w:lvlJc w:val="left"/>
      <w:lvlText w:val="%1."/>
      <w:numFmt w:val="decimal"/>
      <w:start w:val="4"/>
    </w:lvl>
    <w:lvl w:ilvl="1">
      <w:lvlJc w:val="left"/>
      <w:lvlText w:val="%2."/>
      <w:numFmt w:val="decimal"/>
      <w:start w:val="6"/>
    </w:lvl>
  </w:abstractNum>
  <w:abstractNum w:abstractNumId="22">
    <w:nsid w:val="75A2A8D4"/>
    <w:multiLevelType w:val="hybridMultilevel"/>
    <w:lvl w:ilvl="0">
      <w:lvlJc w:val="left"/>
      <w:lvlText w:val="%1."/>
      <w:numFmt w:val="decimal"/>
      <w:start w:val="7"/>
    </w:lvl>
    <w:lvl w:ilvl="1">
      <w:lvlJc w:val="left"/>
      <w:lvlText w:val="%2."/>
      <w:numFmt w:val="decimal"/>
      <w:start w:val="8"/>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2019-12-06T04:57:10Z</dcterms:created>
  <dcterms:modified xsi:type="dcterms:W3CDTF">2019-12-06T04:57:10Z</dcterms:modified>
</cp:coreProperties>
</file>