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150495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168910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ectPr>
          <w:pgSz w:w="11900" w:h="16838" w:orient="portrait"/>
          <w:cols w:equalWidth="0" w:num="1">
            <w:col w:w="11420"/>
          </w:cols>
          <w:pgMar w:left="240" w:top="230" w:right="239" w:bottom="1440" w:gutter="0" w:footer="0" w:header="0"/>
        </w:sectPr>
      </w:pPr>
    </w:p>
    <w:p>
      <w:pPr>
        <w:spacing w:after="0" w:line="27" w:lineRule="exact"/>
        <w:rPr>
          <w:sz w:val="24"/>
          <w:szCs w:val="24"/>
          <w:color w:val="auto"/>
        </w:rPr>
      </w:pPr>
    </w:p>
    <w:p>
      <w:pPr>
        <w:ind w:left="1040"/>
        <w:spacing w:after="0"/>
        <w:tabs>
          <w:tab w:leader="none" w:pos="1580" w:val="left"/>
        </w:tabs>
        <w:rPr>
          <w:sz w:val="20"/>
          <w:szCs w:val="20"/>
          <w:color w:val="auto"/>
        </w:rPr>
      </w:pPr>
      <w:r>
        <w:rPr>
          <w:rFonts w:ascii="Arial" w:cs="Arial" w:eastAsia="Arial" w:hAnsi="Arial"/>
          <w:sz w:val="16"/>
          <w:szCs w:val="16"/>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w:t>
      </w:r>
    </w:p>
    <w:p>
      <w:pPr>
        <w:spacing w:after="0" w:line="13"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SECURITIES EXCHANGE ACT OF 1934</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5"/>
          <w:szCs w:val="15"/>
          <w:b w:val="1"/>
          <w:bCs w:val="1"/>
          <w:color w:val="auto"/>
        </w:rPr>
        <w:t>For the Quarter Ended March 27, 2016</w:t>
      </w:r>
    </w:p>
    <w:p>
      <w:pPr>
        <w:spacing w:after="0" w:line="30" w:lineRule="exact"/>
        <w:rPr>
          <w:sz w:val="24"/>
          <w:szCs w:val="24"/>
          <w:color w:val="auto"/>
        </w:rPr>
      </w:pPr>
    </w:p>
    <w:p>
      <w:pPr>
        <w:ind w:left="560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1040"/>
        <w:spacing w:after="0"/>
        <w:tabs>
          <w:tab w:leader="none" w:pos="1240" w:val="left"/>
          <w:tab w:leader="none" w:pos="1580" w:val="left"/>
        </w:tabs>
        <w:rPr>
          <w:sz w:val="20"/>
          <w:szCs w:val="20"/>
          <w:color w:val="auto"/>
        </w:rPr>
      </w:pPr>
      <w:r>
        <w:rPr>
          <w:rFonts w:ascii="Arial" w:cs="Arial" w:eastAsia="Arial" w:hAnsi="Arial"/>
          <w:sz w:val="16"/>
          <w:szCs w:val="16"/>
          <w:b w:val="1"/>
          <w:bCs w:val="1"/>
          <w:color w:val="auto"/>
        </w:rPr>
        <w:t>[</w:t>
        <w:tab/>
        <w:t>]</w:t>
      </w:r>
      <w:r>
        <w:rPr>
          <w:sz w:val="20"/>
          <w:szCs w:val="20"/>
          <w:color w:val="auto"/>
        </w:rPr>
        <w:tab/>
      </w:r>
      <w:r>
        <w:rPr>
          <w:rFonts w:ascii="Arial" w:cs="Arial" w:eastAsia="Arial" w:hAnsi="Arial"/>
          <w:sz w:val="16"/>
          <w:szCs w:val="16"/>
          <w:b w:val="1"/>
          <w:bCs w:val="1"/>
          <w:color w:val="auto"/>
        </w:rPr>
        <w:t>TRANSITION REPORT PURSUANT TO SECTION 13 OR 15(d) OF</w:t>
      </w:r>
    </w:p>
    <w:p>
      <w:pPr>
        <w:spacing w:after="0" w:line="19"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30" w:lineRule="exact"/>
        <w:rPr>
          <w:sz w:val="24"/>
          <w:szCs w:val="24"/>
          <w:color w:val="auto"/>
        </w:rPr>
      </w:pPr>
    </w:p>
    <w:p>
      <w:pPr>
        <w:sectPr>
          <w:pgSz w:w="11900" w:h="16838" w:orient="portrait"/>
          <w:cols w:equalWidth="0" w:num="2">
            <w:col w:w="7080" w:space="200"/>
            <w:col w:w="4140"/>
          </w:cols>
          <w:pgMar w:left="240" w:top="230" w:right="2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0-27460</w:t>
      </w:r>
    </w:p>
    <w:p>
      <w:pPr>
        <w:sectPr>
          <w:pgSz w:w="11900" w:h="16838" w:orient="portrait"/>
          <w:cols w:equalWidth="0" w:num="1">
            <w:col w:w="11420"/>
          </w:cols>
          <w:pgMar w:left="240" w:top="230" w:right="239" w:bottom="1440" w:gutter="0" w:footer="0" w:header="0"/>
          <w:type w:val="continuous"/>
        </w:sectPr>
      </w:pPr>
    </w:p>
    <w:p>
      <w:pPr>
        <w:spacing w:after="0" w:line="276" w:lineRule="exact"/>
        <w:rPr>
          <w:sz w:val="24"/>
          <w:szCs w:val="24"/>
          <w:color w:val="auto"/>
        </w:rPr>
      </w:pPr>
    </w:p>
    <w:tbl>
      <w:tblPr>
        <w:tblLayout w:type="fixed"/>
        <w:tblInd w:w="1620" w:type="dxa"/>
        <w:tblCellMar>
          <w:top w:w="0" w:type="dxa"/>
          <w:left w:w="0" w:type="dxa"/>
          <w:bottom w:w="0" w:type="dxa"/>
          <w:right w:w="0" w:type="dxa"/>
        </w:tblCellMar>
      </w:tblPr>
      <w:tr>
        <w:trPr>
          <w:trHeight w:val="297"/>
        </w:trPr>
        <w:tc>
          <w:tcPr>
            <w:tcW w:w="2580" w:type="dxa"/>
            <w:vAlign w:val="bottom"/>
          </w:tcPr>
          <w:p>
            <w:pPr>
              <w:spacing w:after="0"/>
              <w:rPr>
                <w:sz w:val="24"/>
                <w:szCs w:val="24"/>
                <w:color w:val="auto"/>
              </w:rPr>
            </w:pPr>
          </w:p>
        </w:tc>
        <w:tc>
          <w:tcPr>
            <w:tcW w:w="5500" w:type="dxa"/>
            <w:vAlign w:val="bottom"/>
          </w:tcPr>
          <w:p>
            <w:pPr>
              <w:ind w:left="1860"/>
              <w:spacing w:after="0"/>
              <w:rPr>
                <w:sz w:val="20"/>
                <w:szCs w:val="20"/>
                <w:color w:val="auto"/>
              </w:rPr>
            </w:pPr>
            <w:r>
              <w:rPr>
                <w:rFonts w:ascii="Arial" w:cs="Arial" w:eastAsia="Arial" w:hAnsi="Arial"/>
                <w:sz w:val="25"/>
                <w:szCs w:val="25"/>
                <w:b w:val="1"/>
                <w:bCs w:val="1"/>
                <w:color w:val="auto"/>
              </w:rPr>
              <w:t>ULTRALIFE</w:t>
            </w:r>
          </w:p>
        </w:tc>
      </w:tr>
      <w:tr>
        <w:trPr>
          <w:trHeight w:val="329"/>
        </w:trPr>
        <w:tc>
          <w:tcPr>
            <w:tcW w:w="2580" w:type="dxa"/>
            <w:vAlign w:val="bottom"/>
          </w:tcPr>
          <w:p>
            <w:pPr>
              <w:spacing w:after="0"/>
              <w:rPr>
                <w:sz w:val="24"/>
                <w:szCs w:val="24"/>
                <w:color w:val="auto"/>
              </w:rPr>
            </w:pPr>
          </w:p>
        </w:tc>
        <w:tc>
          <w:tcPr>
            <w:tcW w:w="5500" w:type="dxa"/>
            <w:vAlign w:val="bottom"/>
          </w:tcPr>
          <w:p>
            <w:pPr>
              <w:ind w:left="1860"/>
              <w:spacing w:after="0"/>
              <w:rPr>
                <w:sz w:val="20"/>
                <w:szCs w:val="20"/>
                <w:color w:val="auto"/>
              </w:rPr>
            </w:pPr>
            <w:r>
              <w:rPr>
                <w:rFonts w:ascii="Arial" w:cs="Arial" w:eastAsia="Arial" w:hAnsi="Arial"/>
                <w:sz w:val="25"/>
                <w:szCs w:val="25"/>
                <w:b w:val="1"/>
                <w:bCs w:val="1"/>
                <w:color w:val="auto"/>
              </w:rPr>
              <w:t>CORPORATION</w:t>
            </w:r>
          </w:p>
        </w:tc>
      </w:tr>
      <w:tr>
        <w:trPr>
          <w:trHeight w:val="385"/>
        </w:trPr>
        <w:tc>
          <w:tcPr>
            <w:tcW w:w="25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(Exact name of registrant as specified in its charter)</w:t>
            </w:r>
          </w:p>
        </w:tc>
      </w:tr>
      <w:tr>
        <w:trPr>
          <w:trHeight w:val="44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500" w:type="dxa"/>
            <w:vAlign w:val="bottom"/>
          </w:tcPr>
          <w:p>
            <w:pPr>
              <w:jc w:val="right"/>
              <w:ind w:right="467"/>
              <w:spacing w:after="0"/>
              <w:rPr>
                <w:sz w:val="20"/>
                <w:szCs w:val="20"/>
                <w:color w:val="auto"/>
              </w:rPr>
            </w:pPr>
            <w:r>
              <w:rPr>
                <w:rFonts w:ascii="Arial" w:cs="Arial" w:eastAsia="Arial" w:hAnsi="Arial"/>
                <w:sz w:val="18"/>
                <w:szCs w:val="18"/>
                <w:b w:val="1"/>
                <w:bCs w:val="1"/>
                <w:color w:val="auto"/>
              </w:rPr>
              <w:t>16-1387013</w:t>
            </w:r>
          </w:p>
        </w:tc>
      </w:tr>
      <w:tr>
        <w:trPr>
          <w:trHeight w:val="218"/>
        </w:trPr>
        <w:tc>
          <w:tcPr>
            <w:tcW w:w="25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5500" w:type="dxa"/>
            <w:vAlign w:val="bottom"/>
          </w:tcPr>
          <w:p>
            <w:pPr>
              <w:jc w:val="center"/>
              <w:ind w:left="3307"/>
              <w:spacing w:after="0"/>
              <w:rPr>
                <w:sz w:val="20"/>
                <w:szCs w:val="20"/>
                <w:color w:val="auto"/>
              </w:rPr>
            </w:pPr>
            <w:r>
              <w:rPr>
                <w:rFonts w:ascii="Arial" w:cs="Arial" w:eastAsia="Arial" w:hAnsi="Arial"/>
                <w:sz w:val="14"/>
                <w:szCs w:val="14"/>
                <w:color w:val="auto"/>
                <w:w w:val="97"/>
              </w:rPr>
              <w:t>(I.R.S. Employer Identification No.)</w:t>
            </w:r>
          </w:p>
        </w:tc>
      </w:tr>
      <w:tr>
        <w:trPr>
          <w:trHeight w:val="421"/>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9"/>
              </w:rPr>
              <w:t>2000 Technology Parkway</w:t>
            </w:r>
          </w:p>
        </w:tc>
        <w:tc>
          <w:tcPr>
            <w:tcW w:w="5500" w:type="dxa"/>
            <w:vAlign w:val="bottom"/>
          </w:tcPr>
          <w:p>
            <w:pPr>
              <w:jc w:val="right"/>
              <w:ind w:right="707"/>
              <w:spacing w:after="0"/>
              <w:rPr>
                <w:sz w:val="20"/>
                <w:szCs w:val="20"/>
                <w:color w:val="auto"/>
              </w:rPr>
            </w:pPr>
            <w:r>
              <w:rPr>
                <w:rFonts w:ascii="Arial" w:cs="Arial" w:eastAsia="Arial" w:hAnsi="Arial"/>
                <w:sz w:val="18"/>
                <w:szCs w:val="18"/>
                <w:b w:val="1"/>
                <w:bCs w:val="1"/>
                <w:color w:val="auto"/>
              </w:rPr>
              <w:t>14513</w:t>
            </w:r>
          </w:p>
        </w:tc>
      </w:tr>
      <w:tr>
        <w:trPr>
          <w:trHeight w:val="25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8"/>
              </w:rPr>
              <w:t>Newark, New York</w:t>
            </w:r>
          </w:p>
        </w:tc>
        <w:tc>
          <w:tcPr>
            <w:tcW w:w="5500" w:type="dxa"/>
            <w:vAlign w:val="bottom"/>
          </w:tcPr>
          <w:p>
            <w:pPr>
              <w:jc w:val="center"/>
              <w:ind w:left="3307"/>
              <w:spacing w:after="0"/>
              <w:rPr>
                <w:sz w:val="20"/>
                <w:szCs w:val="20"/>
                <w:color w:val="auto"/>
              </w:rPr>
            </w:pPr>
            <w:r>
              <w:rPr>
                <w:rFonts w:ascii="Arial" w:cs="Arial" w:eastAsia="Arial" w:hAnsi="Arial"/>
                <w:sz w:val="14"/>
                <w:szCs w:val="14"/>
                <w:color w:val="auto"/>
                <w:w w:val="93"/>
              </w:rPr>
              <w:t>(Zip Code)</w:t>
            </w:r>
          </w:p>
        </w:tc>
      </w:tr>
      <w:tr>
        <w:trPr>
          <w:trHeight w:val="203"/>
        </w:trPr>
        <w:tc>
          <w:tcPr>
            <w:tcW w:w="25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5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153670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-1604010</wp:posOffset>
            </wp:positionV>
            <wp:extent cx="15951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5120" cy="25717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(315) 332-7100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152400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17"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03"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Large accelerated filer [ ] Accelerated filer [ ] Non-accelerated filer [ ] Smaller reporting company [ X ]</w:t>
      </w:r>
    </w:p>
    <w:p>
      <w:pPr>
        <w:spacing w:after="0" w:line="104" w:lineRule="exact"/>
        <w:rPr>
          <w:sz w:val="24"/>
          <w:szCs w:val="24"/>
          <w:color w:val="auto"/>
        </w:rPr>
      </w:pPr>
    </w:p>
    <w:p>
      <w:pPr>
        <w:spacing w:after="0"/>
        <w:tabs>
          <w:tab w:leader="none" w:pos="78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w:t>
        <w:tab/>
        <w:t>] No [ X ]</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was 15,329,423, net of 3,859,660 treasury shares, as of April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80" w:type="dxa"/>
            <w:vAlign w:val="bottom"/>
            <w:gridSpan w:val="12"/>
          </w:tcPr>
          <w:p>
            <w:pPr>
              <w:ind w:left="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line="20" w:lineRule="exact"/>
              <w:rPr>
                <w:sz w:val="1"/>
                <w:szCs w:val="1"/>
                <w:color w:val="auto"/>
              </w:rPr>
            </w:pPr>
          </w:p>
        </w:tc>
      </w:tr>
      <w:tr>
        <w:trPr>
          <w:trHeight w:val="439"/>
        </w:trPr>
        <w:tc>
          <w:tcPr>
            <w:tcW w:w="10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9720" w:type="dxa"/>
            <w:vAlign w:val="bottom"/>
            <w:gridSpan w:val="16"/>
            <w:vMerge w:val="continue"/>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63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27, 2016 (unaudited) and December 31, 2015</w:t>
              </w:r>
            </w:hyperlink>
          </w:p>
        </w:tc>
        <w:tc>
          <w:tcPr>
            <w:tcW w:w="3400" w:type="dxa"/>
            <w:vAlign w:val="bottom"/>
            <w:gridSpan w:val="4"/>
          </w:tcPr>
          <w:p>
            <w:pPr>
              <w:spacing w:after="0"/>
              <w:rPr>
                <w:sz w:val="24"/>
                <w:szCs w:val="24"/>
                <w:color w:val="auto"/>
              </w:rPr>
            </w:pPr>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Income and Comprehensive Income for the Three Months Ended March 27, 2016 and March 29, 2015</w:t>
              </w:r>
            </w:hyperlink>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8560" w:type="dxa"/>
            <w:vAlign w:val="bottom"/>
            <w:tcBorders>
              <w:top w:val="single" w:sz="8" w:color="0000EE"/>
            </w:tcBorders>
            <w:gridSpan w:val="12"/>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center"/>
              <w:ind w:left="2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Three Months Ended March 27, 2016 and March 29, 2015 (unaudited)</w:t>
              </w:r>
            </w:hyperlink>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Notes to Consolidated Financial Statements (unaudited)</w:t>
              </w:r>
            </w:hyperlink>
          </w:p>
        </w:tc>
        <w:tc>
          <w:tcPr>
            <w:tcW w:w="4480" w:type="dxa"/>
            <w:vAlign w:val="bottom"/>
            <w:tcBorders>
              <w:top w:val="single" w:sz="8" w:color="0000EE"/>
            </w:tcBorders>
            <w:gridSpan w:val="4"/>
          </w:tcPr>
          <w:p>
            <w:pPr>
              <w:spacing w:after="0"/>
              <w:rPr>
                <w:sz w:val="24"/>
                <w:szCs w:val="24"/>
                <w:color w:val="auto"/>
              </w:rPr>
            </w:pPr>
          </w:p>
        </w:tc>
        <w:tc>
          <w:tcPr>
            <w:tcW w:w="1200" w:type="dxa"/>
            <w:vAlign w:val="bottom"/>
            <w:gridSpan w:val="2"/>
          </w:tcPr>
          <w:p>
            <w:pPr>
              <w:spacing w:after="0"/>
              <w:rPr>
                <w:sz w:val="24"/>
                <w:szCs w:val="24"/>
                <w:color w:val="auto"/>
              </w:rPr>
            </w:pPr>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4680" w:type="dxa"/>
            <w:vAlign w:val="bottom"/>
            <w:tcBorders>
              <w:top w:val="single" w:sz="8" w:color="0000EE"/>
            </w:tcBorders>
            <w:gridSpan w:val="7"/>
          </w:tcPr>
          <w:p>
            <w:pPr>
              <w:spacing w:after="0"/>
              <w:rPr>
                <w:sz w:val="24"/>
                <w:szCs w:val="24"/>
                <w:color w:val="auto"/>
              </w:rPr>
            </w:pPr>
          </w:p>
        </w:tc>
        <w:tc>
          <w:tcPr>
            <w:tcW w:w="3260" w:type="dxa"/>
            <w:vAlign w:val="bottom"/>
            <w:gridSpan w:val="3"/>
          </w:tcPr>
          <w:p>
            <w:pPr>
              <w:spacing w:after="0"/>
              <w:rPr>
                <w:sz w:val="24"/>
                <w:szCs w:val="24"/>
                <w:color w:val="auto"/>
              </w:rPr>
            </w:pPr>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20" w:type="dxa"/>
            <w:vAlign w:val="bottom"/>
            <w:gridSpan w:val="1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7700" w:type="dxa"/>
            <w:vAlign w:val="bottom"/>
            <w:gridSpan w:val="9"/>
          </w:tcPr>
          <w:p>
            <w:pPr>
              <w:spacing w:after="0"/>
              <w:rPr>
                <w:sz w:val="24"/>
                <w:szCs w:val="24"/>
                <w:color w:val="auto"/>
              </w:rPr>
            </w:pPr>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360" w:type="dxa"/>
            <w:vAlign w:val="bottom"/>
            <w:gridSpan w:val="5"/>
          </w:tcPr>
          <w:p>
            <w:pPr>
              <w:spacing w:after="0"/>
              <w:rPr>
                <w:sz w:val="24"/>
                <w:szCs w:val="24"/>
                <w:color w:val="auto"/>
              </w:rPr>
            </w:pPr>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Index to Exhibits</w:t>
              </w:r>
            </w:hyperlink>
          </w:p>
        </w:tc>
        <w:tc>
          <w:tcPr>
            <w:tcW w:w="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1240" w:type="dxa"/>
            <w:vAlign w:val="bottom"/>
            <w:tcBorders>
              <w:top w:val="single" w:sz="8" w:color="0000EE"/>
            </w:tcBorders>
            <w:gridSpan w:val="4"/>
          </w:tcPr>
          <w:p>
            <w:pPr>
              <w:spacing w:after="0"/>
              <w:rPr>
                <w:sz w:val="24"/>
                <w:szCs w:val="24"/>
                <w:color w:val="auto"/>
              </w:rPr>
            </w:pPr>
          </w:p>
        </w:tc>
        <w:tc>
          <w:tcPr>
            <w:tcW w:w="5080" w:type="dxa"/>
            <w:vAlign w:val="bottom"/>
            <w:gridSpan w:val="8"/>
          </w:tcPr>
          <w:p>
            <w:pPr>
              <w:jc w:val="right"/>
              <w:ind w:right="15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PART I. FINANCIAL INFORMATION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ITEM 1.  CONDENSED CONSOLIDATED FINANCIAL STATEMENTS</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380" w:type="dxa"/>
            <w:vAlign w:val="bottom"/>
            <w:gridSpan w:val="2"/>
          </w:tcPr>
          <w:p>
            <w:pPr>
              <w:jc w:val="center"/>
              <w:ind w:left="2928"/>
              <w:spacing w:after="0"/>
              <w:rPr>
                <w:sz w:val="20"/>
                <w:szCs w:val="20"/>
                <w:color w:val="auto"/>
              </w:rPr>
            </w:pPr>
            <w:r>
              <w:rPr>
                <w:rFonts w:ascii="Arial" w:cs="Arial" w:eastAsia="Arial" w:hAnsi="Arial"/>
                <w:sz w:val="14"/>
                <w:szCs w:val="14"/>
                <w:b w:val="1"/>
                <w:bCs w:val="1"/>
                <w:color w:val="auto"/>
              </w:rPr>
              <w:t>ULTRALIFE CORPORATION AND SUBSIDIARIES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jc w:val="center"/>
              <w:ind w:left="2928"/>
              <w:spacing w:after="0" w:line="149" w:lineRule="exact"/>
              <w:rPr>
                <w:sz w:val="20"/>
                <w:szCs w:val="20"/>
                <w:color w:val="auto"/>
              </w:rPr>
            </w:pPr>
            <w:r>
              <w:rPr>
                <w:rFonts w:ascii="Arial" w:cs="Arial" w:eastAsia="Arial" w:hAnsi="Arial"/>
                <w:sz w:val="14"/>
                <w:szCs w:val="14"/>
                <w:b w:val="1"/>
                <w:bCs w:val="1"/>
                <w:color w:val="auto"/>
              </w:rPr>
              <w:t>CONSOLIDATED BALANCE SHEETS</w:t>
            </w: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80" w:type="dxa"/>
            <w:vAlign w:val="bottom"/>
            <w:gridSpan w:val="2"/>
          </w:tcPr>
          <w:p>
            <w:pPr>
              <w:jc w:val="center"/>
              <w:ind w:left="2948"/>
              <w:spacing w:after="0"/>
              <w:rPr>
                <w:sz w:val="20"/>
                <w:szCs w:val="20"/>
                <w:color w:val="auto"/>
              </w:rPr>
            </w:pPr>
            <w:r>
              <w:rPr>
                <w:rFonts w:ascii="Arial" w:cs="Arial" w:eastAsia="Arial" w:hAnsi="Arial"/>
                <w:sz w:val="14"/>
                <w:szCs w:val="14"/>
                <w:b w:val="1"/>
                <w:bCs w:val="1"/>
                <w:color w:val="auto"/>
                <w:w w:val="92"/>
              </w:rPr>
              <w:t>(Dollars in Thousands)</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gridSpan w:val="2"/>
          </w:tcPr>
          <w:p>
            <w:pPr>
              <w:jc w:val="center"/>
              <w:ind w:left="2948"/>
              <w:spacing w:after="0"/>
              <w:rPr>
                <w:sz w:val="20"/>
                <w:szCs w:val="20"/>
                <w:color w:val="auto"/>
              </w:rPr>
            </w:pPr>
            <w:r>
              <w:rPr>
                <w:rFonts w:ascii="Arial" w:cs="Arial" w:eastAsia="Arial" w:hAnsi="Arial"/>
                <w:sz w:val="14"/>
                <w:szCs w:val="14"/>
                <w:b w:val="1"/>
                <w:bCs w:val="1"/>
                <w:color w:val="auto"/>
                <w:w w:val="94"/>
              </w:rPr>
              <w:t>(unaudited)</w:t>
            </w: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380" w:type="dxa"/>
            <w:vAlign w:val="bottom"/>
            <w:gridSpan w:val="2"/>
          </w:tcPr>
          <w:p>
            <w:pPr>
              <w:jc w:val="center"/>
              <w:ind w:left="2928"/>
              <w:spacing w:after="0"/>
              <w:rPr>
                <w:sz w:val="20"/>
                <w:szCs w:val="20"/>
                <w:color w:val="auto"/>
              </w:rPr>
            </w:pPr>
            <w:r>
              <w:rPr>
                <w:rFonts w:ascii="Arial" w:cs="Arial" w:eastAsia="Arial" w:hAnsi="Arial"/>
                <w:sz w:val="14"/>
                <w:szCs w:val="14"/>
                <w:b w:val="1"/>
                <w:bCs w:val="1"/>
                <w:color w:val="auto"/>
                <w:w w:val="96"/>
              </w:rPr>
              <w:t>ASSETS</w:t>
            </w: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March 27,</w:t>
            </w:r>
          </w:p>
        </w:tc>
        <w:tc>
          <w:tcPr>
            <w:tcW w:w="380" w:type="dxa"/>
            <w:vAlign w:val="bottom"/>
          </w:tcPr>
          <w:p>
            <w:pPr>
              <w:spacing w:after="0"/>
              <w:rPr>
                <w:sz w:val="24"/>
                <w:szCs w:val="24"/>
                <w:color w:val="auto"/>
              </w:rPr>
            </w:pPr>
          </w:p>
        </w:tc>
        <w:tc>
          <w:tcPr>
            <w:tcW w:w="14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7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Current assets:</w:t>
            </w:r>
          </w:p>
        </w:tc>
        <w:tc>
          <w:tcPr>
            <w:tcW w:w="20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Cash and cash equivalents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$ 2,759</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$ 14,393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Restricted cash</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Trade accounts receivable, net of allowance for doubtful accounts of $302 and $300, respectively</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15,140</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11,430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Inventories, net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26,980</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23,814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2,334</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Due from insurance company</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ind w:left="14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w:t>
            </w:r>
          </w:p>
        </w:tc>
        <w:tc>
          <w:tcPr>
            <w:tcW w:w="380" w:type="dxa"/>
            <w:vAlign w:val="bottom"/>
          </w:tcPr>
          <w:p>
            <w:pPr>
              <w:spacing w:after="0"/>
              <w:rPr>
                <w:sz w:val="13"/>
                <w:szCs w:val="13"/>
                <w:color w:val="auto"/>
              </w:rPr>
            </w:pPr>
          </w:p>
        </w:tc>
        <w:tc>
          <w:tcPr>
            <w:tcW w:w="13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assets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47,625</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51,946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Property, equipment and improvements, net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8,865</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9,038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20,584</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16,283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8,475</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3,946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Security deposits and other non-current assets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ind w:left="280"/>
              <w:spacing w:after="0" w:line="155" w:lineRule="exact"/>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$ 85,643</w:t>
            </w:r>
          </w:p>
        </w:tc>
        <w:tc>
          <w:tcPr>
            <w:tcW w:w="3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$ 81,522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8400" w:type="dxa"/>
            <w:vAlign w:val="bottom"/>
            <w:gridSpan w:val="3"/>
          </w:tcPr>
          <w:p>
            <w:pPr>
              <w:spacing w:after="0"/>
              <w:rPr>
                <w:sz w:val="20"/>
                <w:szCs w:val="20"/>
                <w:color w:val="auto"/>
              </w:rPr>
            </w:pPr>
            <w:r>
              <w:rPr>
                <w:rFonts w:ascii="Arial" w:cs="Arial" w:eastAsia="Arial" w:hAnsi="Arial"/>
                <w:sz w:val="14"/>
                <w:szCs w:val="14"/>
                <w:color w:val="auto"/>
              </w:rPr>
              <w:t>Current liabilities: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Accounts payable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$ 8,018</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  6,494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1,928</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2,377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2,413</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Current portion of debt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taxes payable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ind w:left="28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13,888</w:t>
            </w:r>
          </w:p>
        </w:tc>
        <w:tc>
          <w:tcPr>
            <w:tcW w:w="380" w:type="dxa"/>
            <w:vAlign w:val="bottom"/>
          </w:tcPr>
          <w:p>
            <w:pPr>
              <w:spacing w:after="0"/>
              <w:rPr>
                <w:sz w:val="13"/>
                <w:szCs w:val="13"/>
                <w:color w:val="auto"/>
              </w:rPr>
            </w:pPr>
          </w:p>
        </w:tc>
        <w:tc>
          <w:tcPr>
            <w:tcW w:w="13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10,847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5,513</w:t>
            </w:r>
          </w:p>
        </w:tc>
        <w:tc>
          <w:tcPr>
            <w:tcW w:w="1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4,631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380" w:type="dxa"/>
            <w:vAlign w:val="bottom"/>
          </w:tcPr>
          <w:p>
            <w:pPr>
              <w:spacing w:after="0"/>
              <w:rPr>
                <w:sz w:val="13"/>
                <w:szCs w:val="13"/>
                <w:color w:val="auto"/>
              </w:rPr>
            </w:pPr>
          </w:p>
        </w:tc>
        <w:tc>
          <w:tcPr>
            <w:tcW w:w="13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19,429</w:t>
            </w:r>
          </w:p>
        </w:tc>
        <w:tc>
          <w:tcPr>
            <w:tcW w:w="38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15,506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8400" w:type="dxa"/>
            <w:vAlign w:val="bottom"/>
            <w:gridSpan w:val="3"/>
          </w:tcPr>
          <w:p>
            <w:pPr>
              <w:spacing w:after="0"/>
              <w:rPr>
                <w:sz w:val="20"/>
                <w:szCs w:val="20"/>
                <w:color w:val="auto"/>
              </w:rPr>
            </w:pPr>
            <w:r>
              <w:rPr>
                <w:rFonts w:ascii="Arial" w:cs="Arial" w:eastAsia="Arial" w:hAnsi="Arial"/>
                <w:sz w:val="14"/>
                <w:szCs w:val="14"/>
                <w:color w:val="auto"/>
              </w:rPr>
              <w:t>Commitments and contingencies (Note 11)</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38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 par value $.10 per share; authorized 40,000,000 shares; issued – 19,185,899 shares at March 27, 2016 and</w:t>
            </w: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7"/>
              </w:rPr>
              <w:t>19,181,815 shares at December 31, 2015; outstanding – 15,326,239 shares at March 27, 2016 and 15,322,155 at December 31, 2015</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1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1,918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Capital in excess of par value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177,202</w:t>
            </w:r>
          </w:p>
        </w:tc>
        <w:tc>
          <w:tcPr>
            <w:tcW w:w="1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177,007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(93,752)</w:t>
            </w:r>
          </w:p>
        </w:tc>
        <w:tc>
          <w:tcPr>
            <w:tcW w:w="1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Accumulated other comprehensive loss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(1,186)</w:t>
            </w:r>
          </w:p>
        </w:tc>
        <w:tc>
          <w:tcPr>
            <w:tcW w:w="1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Treasury stock - at cost; 3,859,660 shares at March 27, 2016 and at December 31, 2015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(17,808)</w:t>
            </w: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ind w:left="280"/>
              <w:spacing w:after="0" w:line="155" w:lineRule="exact"/>
              <w:rPr>
                <w:sz w:val="20"/>
                <w:szCs w:val="20"/>
                <w:color w:val="auto"/>
              </w:rPr>
            </w:pPr>
            <w:r>
              <w:rPr>
                <w:rFonts w:ascii="Arial" w:cs="Arial" w:eastAsia="Arial" w:hAnsi="Arial"/>
                <w:sz w:val="14"/>
                <w:szCs w:val="14"/>
                <w:color w:val="auto"/>
              </w:rPr>
              <w:t>Total Ultralife Corporation equity</w:t>
            </w: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66,375</w:t>
            </w:r>
          </w:p>
        </w:tc>
        <w:tc>
          <w:tcPr>
            <w:tcW w:w="380" w:type="dxa"/>
            <w:vAlign w:val="bottom"/>
          </w:tcPr>
          <w:p>
            <w:pPr>
              <w:spacing w:after="0"/>
              <w:rPr>
                <w:sz w:val="13"/>
                <w:szCs w:val="13"/>
                <w:color w:val="auto"/>
              </w:rPr>
            </w:pPr>
          </w:p>
        </w:tc>
        <w:tc>
          <w:tcPr>
            <w:tcW w:w="13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66,159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1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ind w:left="280"/>
              <w:spacing w:after="0" w:line="155" w:lineRule="exact"/>
              <w:rPr>
                <w:sz w:val="20"/>
                <w:szCs w:val="20"/>
                <w:color w:val="auto"/>
              </w:rPr>
            </w:pPr>
            <w:r>
              <w:rPr>
                <w:rFonts w:ascii="Arial" w:cs="Arial" w:eastAsia="Arial" w:hAnsi="Arial"/>
                <w:sz w:val="14"/>
                <w:szCs w:val="14"/>
                <w:color w:val="auto"/>
              </w:rPr>
              <w:t>Total shareholders’ equity</w:t>
            </w:r>
          </w:p>
        </w:tc>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66,214</w:t>
            </w:r>
          </w:p>
        </w:tc>
        <w:tc>
          <w:tcPr>
            <w:tcW w:w="3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66,016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2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$ 85,643</w:t>
            </w:r>
          </w:p>
        </w:tc>
        <w:tc>
          <w:tcPr>
            <w:tcW w:w="38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$ 81,522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8380" w:type="dxa"/>
            <w:vAlign w:val="bottom"/>
            <w:gridSpan w:val="2"/>
          </w:tcPr>
          <w:p>
            <w:pPr>
              <w:jc w:val="center"/>
              <w:ind w:left="2928"/>
              <w:spacing w:after="0"/>
              <w:rPr>
                <w:sz w:val="20"/>
                <w:szCs w:val="20"/>
                <w:color w:val="auto"/>
              </w:rPr>
            </w:pPr>
            <w:r>
              <w:rPr>
                <w:rFonts w:ascii="Arial" w:cs="Arial" w:eastAsia="Arial" w:hAnsi="Arial"/>
                <w:sz w:val="14"/>
                <w:szCs w:val="14"/>
                <w:color w:val="auto"/>
                <w:w w:val="92"/>
              </w:rPr>
              <w:t>The accompanying notes are an integral part of these consolidated financial statements.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200" w:type="dxa"/>
            <w:vAlign w:val="bottom"/>
            <w:gridSpan w:val="2"/>
          </w:tcPr>
          <w:p>
            <w:pPr>
              <w:jc w:val="center"/>
              <w:ind w:left="3144"/>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INCOME AND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 periods ended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2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March 27,</w:t>
            </w:r>
          </w:p>
        </w:tc>
        <w:tc>
          <w:tcPr>
            <w:tcW w:w="260" w:type="dxa"/>
            <w:vAlign w:val="bottom"/>
          </w:tcPr>
          <w:p>
            <w:pPr>
              <w:spacing w:after="0"/>
              <w:rPr>
                <w:sz w:val="17"/>
                <w:szCs w:val="17"/>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22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$20,833</w:t>
            </w:r>
          </w:p>
        </w:tc>
        <w:tc>
          <w:tcPr>
            <w:tcW w:w="2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$19,177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Cost of products sold</w:t>
            </w: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14,428</w:t>
            </w:r>
          </w:p>
        </w:tc>
        <w:tc>
          <w:tcPr>
            <w:tcW w:w="1480" w:type="dxa"/>
            <w:vAlign w:val="bottom"/>
            <w:gridSpan w:val="3"/>
          </w:tcPr>
          <w:p>
            <w:pPr>
              <w:jc w:val="right"/>
              <w:ind w:right="28"/>
              <w:spacing w:after="0"/>
              <w:rPr>
                <w:sz w:val="20"/>
                <w:szCs w:val="20"/>
                <w:color w:val="auto"/>
              </w:rPr>
            </w:pPr>
            <w:r>
              <w:rPr>
                <w:rFonts w:ascii="Arial" w:cs="Arial" w:eastAsia="Arial" w:hAnsi="Arial"/>
                <w:sz w:val="14"/>
                <w:szCs w:val="14"/>
                <w:color w:val="auto"/>
              </w:rPr>
              <w:t>13,170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Gross profit</w:t>
            </w: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5"/>
              </w:rPr>
              <w:t>6,405</w:t>
            </w: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1"/>
              </w:rPr>
              <w:t>6,007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Research and development</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5"/>
              </w:rPr>
              <w:t>1,656</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1"/>
              </w:rPr>
              <w:t>1,359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20" w:type="dxa"/>
            <w:vAlign w:val="bottom"/>
          </w:tcPr>
          <w:p>
            <w:pPr>
              <w:ind w:left="140"/>
              <w:spacing w:after="0" w:line="149" w:lineRule="exact"/>
              <w:rPr>
                <w:sz w:val="20"/>
                <w:szCs w:val="20"/>
                <w:color w:val="auto"/>
              </w:rPr>
            </w:pPr>
            <w:r>
              <w:rPr>
                <w:rFonts w:ascii="Arial" w:cs="Arial" w:eastAsia="Arial" w:hAnsi="Arial"/>
                <w:sz w:val="14"/>
                <w:szCs w:val="14"/>
                <w:color w:val="auto"/>
              </w:rPr>
              <w:t>Selling, general and administrative</w:t>
            </w: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85"/>
              </w:rPr>
              <w:t>4,267</w:t>
            </w: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91"/>
              </w:rPr>
              <w:t>3,826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5"/>
              </w:rPr>
              <w:t>5,923</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1"/>
              </w:rPr>
              <w:t>5,185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482</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822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8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(expense) income:</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ind w:left="140"/>
              <w:spacing w:after="0" w:line="149" w:lineRule="exact"/>
              <w:rPr>
                <w:sz w:val="20"/>
                <w:szCs w:val="20"/>
                <w:color w:val="auto"/>
              </w:rPr>
            </w:pPr>
            <w:r>
              <w:rPr>
                <w:rFonts w:ascii="Arial" w:cs="Arial" w:eastAsia="Arial" w:hAnsi="Arial"/>
                <w:sz w:val="14"/>
                <w:szCs w:val="14"/>
                <w:color w:val="auto"/>
              </w:rPr>
              <w:t>Interest income</w:t>
            </w:r>
          </w:p>
        </w:tc>
        <w:tc>
          <w:tcPr>
            <w:tcW w:w="7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Interest and financing expense</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(102)</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20" w:type="dxa"/>
            <w:vAlign w:val="bottom"/>
          </w:tcPr>
          <w:p>
            <w:pPr>
              <w:ind w:left="140"/>
              <w:spacing w:after="0" w:line="149" w:lineRule="exact"/>
              <w:rPr>
                <w:sz w:val="20"/>
                <w:szCs w:val="20"/>
                <w:color w:val="auto"/>
              </w:rPr>
            </w:pPr>
            <w:r>
              <w:rPr>
                <w:rFonts w:ascii="Arial" w:cs="Arial" w:eastAsia="Arial" w:hAnsi="Arial"/>
                <w:sz w:val="14"/>
                <w:szCs w:val="14"/>
                <w:color w:val="auto"/>
              </w:rPr>
              <w:t>Miscellaneous</w:t>
            </w: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(113)</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Income before income taxes</w:t>
            </w:r>
          </w:p>
        </w:tc>
        <w:tc>
          <w:tcPr>
            <w:tcW w:w="78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w:t>
            </w: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(88)</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78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8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 non-controlling interest</w:t>
            </w: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Net income attributable to Ultralife Corporation</w:t>
            </w:r>
          </w:p>
        </w:tc>
        <w:tc>
          <w:tcPr>
            <w:tcW w:w="78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8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comprehensive (loss) income:</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ind w:left="140"/>
              <w:spacing w:after="0" w:line="149" w:lineRule="exact"/>
              <w:rPr>
                <w:sz w:val="20"/>
                <w:szCs w:val="20"/>
                <w:color w:val="auto"/>
              </w:rPr>
            </w:pPr>
            <w:r>
              <w:rPr>
                <w:rFonts w:ascii="Arial" w:cs="Arial" w:eastAsia="Arial" w:hAnsi="Arial"/>
                <w:sz w:val="14"/>
                <w:szCs w:val="14"/>
                <w:color w:val="auto"/>
              </w:rPr>
              <w:t>Foreign currency translation adjustments</w:t>
            </w:r>
          </w:p>
        </w:tc>
        <w:tc>
          <w:tcPr>
            <w:tcW w:w="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(279)</w:t>
            </w:r>
          </w:p>
        </w:tc>
        <w:tc>
          <w:tcPr>
            <w:tcW w:w="2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 attributable to Ultralife Corporation</w:t>
            </w: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per share attributable to Ultralife common shareholders – basic:</w:t>
            </w: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640" w:type="dxa"/>
            <w:vAlign w:val="bottom"/>
            <w:gridSpan w:val="2"/>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per share attributable to Ultralife common shareholders – diluted:</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640" w:type="dxa"/>
            <w:vAlign w:val="bottom"/>
            <w:gridSpan w:val="2"/>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4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i w:val="1"/>
                <w:iCs w:val="1"/>
                <w:color w:val="auto"/>
              </w:rPr>
              <w:t>.02</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4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i w:val="1"/>
                <w:iCs w:val="1"/>
                <w:color w:val="auto"/>
              </w:rPr>
              <w:t>.03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 shares outstanding – basic</w:t>
            </w: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40" w:type="dxa"/>
            <w:vAlign w:val="bottom"/>
            <w:gridSpan w:val="2"/>
            <w:vMerge w:val="continue"/>
          </w:tcPr>
          <w:p>
            <w:pPr>
              <w:spacing w:after="0"/>
              <w:rPr>
                <w:sz w:val="24"/>
                <w:szCs w:val="2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15,323</w:t>
            </w:r>
          </w:p>
        </w:tc>
        <w:tc>
          <w:tcPr>
            <w:tcW w:w="1480" w:type="dxa"/>
            <w:vAlign w:val="bottom"/>
            <w:gridSpan w:val="3"/>
          </w:tcPr>
          <w:p>
            <w:pPr>
              <w:jc w:val="right"/>
              <w:ind w:right="28"/>
              <w:spacing w:after="0"/>
              <w:rPr>
                <w:sz w:val="20"/>
                <w:szCs w:val="20"/>
                <w:color w:val="auto"/>
              </w:rPr>
            </w:pPr>
            <w:r>
              <w:rPr>
                <w:rFonts w:ascii="Arial" w:cs="Arial" w:eastAsia="Arial" w:hAnsi="Arial"/>
                <w:sz w:val="14"/>
                <w:szCs w:val="14"/>
                <w:color w:val="auto"/>
              </w:rPr>
              <w:t>17,346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Potential common shares</w:t>
            </w: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343</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Weighted average shares outstanding – diluted</w:t>
            </w:r>
          </w:p>
        </w:tc>
        <w:tc>
          <w:tcPr>
            <w:tcW w:w="1220" w:type="dxa"/>
            <w:vAlign w:val="bottom"/>
            <w:tcBorders>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rPr>
              <w:t>15,666</w:t>
            </w:r>
          </w:p>
        </w:tc>
        <w:tc>
          <w:tcPr>
            <w:tcW w:w="26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rPr>
              <w:t>17,354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306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 periods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27,</w:t>
            </w:r>
          </w:p>
        </w:tc>
        <w:tc>
          <w:tcPr>
            <w:tcW w:w="260" w:type="dxa"/>
            <w:vAlign w:val="bottom"/>
          </w:tcPr>
          <w:p>
            <w:pPr>
              <w:spacing w:after="0"/>
              <w:rPr>
                <w:sz w:val="17"/>
                <w:szCs w:val="17"/>
                <w:color w:val="auto"/>
              </w:rPr>
            </w:pP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6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13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$ 281</w:t>
            </w:r>
          </w:p>
        </w:tc>
        <w:tc>
          <w:tcPr>
            <w:tcW w:w="1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280"/>
              <w:spacing w:after="0" w:line="149" w:lineRule="exact"/>
              <w:rPr>
                <w:sz w:val="20"/>
                <w:szCs w:val="20"/>
                <w:color w:val="auto"/>
              </w:rPr>
            </w:pPr>
            <w:r>
              <w:rPr>
                <w:rFonts w:ascii="Arial" w:cs="Arial" w:eastAsia="Arial" w:hAnsi="Arial"/>
                <w:sz w:val="14"/>
                <w:szCs w:val="14"/>
                <w:color w:val="auto"/>
              </w:rPr>
              <w:t>Depreciation</w:t>
            </w: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589</w:t>
            </w:r>
          </w:p>
        </w:tc>
        <w:tc>
          <w:tcPr>
            <w:tcW w:w="1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intangible assets</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137</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financing fees</w:t>
            </w: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w:t>
            </w:r>
          </w:p>
        </w:tc>
        <w:tc>
          <w:tcPr>
            <w:tcW w:w="1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181</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 benefit</w:t>
            </w: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42</w:t>
            </w:r>
          </w:p>
        </w:tc>
        <w:tc>
          <w:tcPr>
            <w:tcW w:w="1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long-lived asset disposals</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3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(2,407)</w:t>
            </w:r>
          </w:p>
        </w:tc>
        <w:tc>
          <w:tcPr>
            <w:tcW w:w="16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(1,138)</w:t>
            </w:r>
          </w:p>
        </w:tc>
        <w:tc>
          <w:tcPr>
            <w:tcW w:w="1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41</w:t>
            </w:r>
          </w:p>
        </w:tc>
        <w:tc>
          <w:tcPr>
            <w:tcW w:w="16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other liabilities</w:t>
            </w:r>
          </w:p>
        </w:tc>
        <w:tc>
          <w:tcPr>
            <w:tcW w:w="13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(620)</w:t>
            </w:r>
          </w:p>
        </w:tc>
        <w:tc>
          <w:tcPr>
            <w:tcW w:w="260" w:type="dxa"/>
            <w:vAlign w:val="bottom"/>
          </w:tcPr>
          <w:p>
            <w:pPr>
              <w:spacing w:after="0"/>
              <w:rPr>
                <w:sz w:val="13"/>
                <w:szCs w:val="13"/>
                <w:color w:val="auto"/>
              </w:rPr>
            </w:pPr>
          </w:p>
        </w:tc>
        <w:tc>
          <w:tcPr>
            <w:tcW w:w="13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3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(2,875)</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Acquisition of Accutronics, net of cash acquired</w:t>
            </w:r>
          </w:p>
        </w:tc>
        <w:tc>
          <w:tcPr>
            <w:tcW w:w="13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(9,857)</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4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1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(69)</w:t>
            </w:r>
          </w:p>
        </w:tc>
        <w:tc>
          <w:tcPr>
            <w:tcW w:w="16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Change in restricted cash</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140"/>
              <w:spacing w:after="0" w:line="155" w:lineRule="exact"/>
              <w:rPr>
                <w:sz w:val="20"/>
                <w:szCs w:val="20"/>
                <w:color w:val="auto"/>
              </w:rPr>
            </w:pPr>
            <w:r>
              <w:rPr>
                <w:rFonts w:ascii="Arial" w:cs="Arial" w:eastAsia="Arial" w:hAnsi="Arial"/>
                <w:sz w:val="14"/>
                <w:szCs w:val="14"/>
                <w:color w:val="auto"/>
              </w:rPr>
              <w:t>Net cash used in investing activities</w:t>
            </w:r>
          </w:p>
        </w:tc>
        <w:tc>
          <w:tcPr>
            <w:tcW w:w="13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(9,926)</w:t>
            </w:r>
          </w:p>
        </w:tc>
        <w:tc>
          <w:tcPr>
            <w:tcW w:w="26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40"/>
              <w:spacing w:after="0" w:line="149" w:lineRule="exact"/>
              <w:rPr>
                <w:sz w:val="20"/>
                <w:szCs w:val="20"/>
                <w:color w:val="auto"/>
              </w:rPr>
            </w:pPr>
            <w:r>
              <w:rPr>
                <w:rFonts w:ascii="Arial" w:cs="Arial" w:eastAsia="Arial" w:hAnsi="Arial"/>
                <w:sz w:val="14"/>
                <w:szCs w:val="14"/>
                <w:color w:val="auto"/>
              </w:rPr>
              <w:t>Cash paid to repurchase treasury stock</w:t>
            </w: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debt borrowings</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1,156</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40"/>
              <w:spacing w:after="0" w:line="149" w:lineRule="exact"/>
              <w:rPr>
                <w:sz w:val="20"/>
                <w:szCs w:val="20"/>
                <w:color w:val="auto"/>
              </w:rPr>
            </w:pPr>
            <w:r>
              <w:rPr>
                <w:rFonts w:ascii="Arial" w:cs="Arial" w:eastAsia="Arial" w:hAnsi="Arial"/>
                <w:sz w:val="14"/>
                <w:szCs w:val="14"/>
                <w:color w:val="auto"/>
              </w:rPr>
              <w:t>Return of security deposit</w:t>
            </w:r>
          </w:p>
        </w:tc>
        <w:tc>
          <w:tcPr>
            <w:tcW w:w="1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stock option exercise</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14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3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1,170</w:t>
            </w:r>
          </w:p>
        </w:tc>
        <w:tc>
          <w:tcPr>
            <w:tcW w:w="26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3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(11,634)</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color w:val="auto"/>
              </w:rPr>
              <w:t>2,422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8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14,393</w:t>
            </w:r>
          </w:p>
        </w:tc>
        <w:tc>
          <w:tcPr>
            <w:tcW w:w="1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17,711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13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$2,759</w:t>
            </w:r>
          </w:p>
        </w:tc>
        <w:tc>
          <w:tcPr>
            <w:tcW w:w="26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$20,133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ULTRALIFE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color w:val="auto"/>
        </w:rPr>
        <w:t>(Dollar amounts in thousands –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22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1.</w:t>
      </w:r>
      <w:r>
        <w:rPr>
          <w:sz w:val="20"/>
          <w:szCs w:val="20"/>
          <w:color w:val="auto"/>
        </w:rPr>
        <w:tab/>
      </w:r>
      <w:r>
        <w:rPr>
          <w:rFonts w:ascii="Arial" w:cs="Arial" w:eastAsia="Arial" w:hAnsi="Arial"/>
          <w:sz w:val="18"/>
          <w:szCs w:val="18"/>
          <w:b w:val="1"/>
          <w:bCs w:val="1"/>
          <w:i w:val="1"/>
          <w:iCs w:val="1"/>
          <w:color w:val="auto"/>
        </w:rPr>
        <w:t>BASIS OF PRESENTATION</w:t>
      </w:r>
    </w:p>
    <w:p>
      <w:pPr>
        <w:spacing w:after="0" w:line="216" w:lineRule="exact"/>
        <w:rPr>
          <w:sz w:val="20"/>
          <w:szCs w:val="20"/>
          <w:color w:val="auto"/>
        </w:rPr>
      </w:pPr>
    </w:p>
    <w:p>
      <w:pPr>
        <w:jc w:val="both"/>
        <w:ind w:firstLine="342"/>
        <w:spacing w:after="0" w:line="258" w:lineRule="auto"/>
        <w:rPr>
          <w:sz w:val="20"/>
          <w:szCs w:val="20"/>
          <w:color w:val="auto"/>
        </w:rPr>
      </w:pPr>
      <w:r>
        <w:rPr>
          <w:rFonts w:ascii="Arial" w:cs="Arial" w:eastAsia="Arial" w:hAnsi="Arial"/>
          <w:sz w:val="19"/>
          <w:szCs w:val="19"/>
          <w:color w:val="auto"/>
        </w:rPr>
        <w:t>The accompanying unaudited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2015.</w:t>
      </w:r>
    </w:p>
    <w:p>
      <w:pPr>
        <w:spacing w:after="0" w:line="179"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The December 31, 2015 consolidated balance sheet data was derived from audited financial statements, but does not include all disclosures required by GAAP.</w:t>
      </w:r>
    </w:p>
    <w:p>
      <w:pPr>
        <w:spacing w:after="0" w:line="177"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2.</w:t>
      </w:r>
      <w:r>
        <w:rPr>
          <w:sz w:val="20"/>
          <w:szCs w:val="20"/>
          <w:color w:val="auto"/>
        </w:rPr>
        <w:tab/>
      </w:r>
      <w:r>
        <w:rPr>
          <w:rFonts w:ascii="Arial" w:cs="Arial" w:eastAsia="Arial" w:hAnsi="Arial"/>
          <w:sz w:val="19"/>
          <w:szCs w:val="19"/>
          <w:b w:val="1"/>
          <w:bCs w:val="1"/>
          <w:i w:val="1"/>
          <w:iCs w:val="1"/>
          <w:color w:val="auto"/>
        </w:rPr>
        <w:t>ACQUISITION</w:t>
      </w:r>
    </w:p>
    <w:p>
      <w:pPr>
        <w:spacing w:after="0" w:line="216" w:lineRule="exact"/>
        <w:rPr>
          <w:sz w:val="20"/>
          <w:szCs w:val="20"/>
          <w:color w:val="auto"/>
        </w:rPr>
      </w:pPr>
    </w:p>
    <w:p>
      <w:pPr>
        <w:ind w:right="20" w:firstLine="799"/>
        <w:spacing w:after="0" w:line="258" w:lineRule="auto"/>
        <w:rPr>
          <w:sz w:val="20"/>
          <w:szCs w:val="20"/>
          <w:color w:val="auto"/>
        </w:rPr>
      </w:pPr>
      <w:r>
        <w:rPr>
          <w:rFonts w:ascii="Arial" w:cs="Arial" w:eastAsia="Arial" w:hAnsi="Arial"/>
          <w:sz w:val="19"/>
          <w:szCs w:val="19"/>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will be classified in the Battery &amp; Energy Products segment.</w:t>
      </w:r>
    </w:p>
    <w:p>
      <w:pPr>
        <w:spacing w:after="0" w:line="179" w:lineRule="exact"/>
        <w:rPr>
          <w:sz w:val="20"/>
          <w:szCs w:val="20"/>
          <w:color w:val="auto"/>
        </w:rPr>
      </w:pPr>
    </w:p>
    <w:p>
      <w:pPr>
        <w:ind w:firstLine="799"/>
        <w:spacing w:after="0" w:line="244" w:lineRule="auto"/>
        <w:rPr>
          <w:sz w:val="20"/>
          <w:szCs w:val="20"/>
          <w:color w:val="auto"/>
        </w:rPr>
      </w:pPr>
      <w:r>
        <w:rPr>
          <w:rFonts w:ascii="Arial" w:cs="Arial" w:eastAsia="Arial" w:hAnsi="Arial"/>
          <w:sz w:val="20"/>
          <w:szCs w:val="20"/>
          <w:color w:val="auto"/>
        </w:rPr>
        <w:t>The acquisition was completed pursuant to the terms of a Share Purchase Agreement dated January 13, 2016, with an effective date of January 1, 2016 for accounting purposes,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95" w:lineRule="exact"/>
        <w:rPr>
          <w:sz w:val="20"/>
          <w:szCs w:val="20"/>
          <w:color w:val="auto"/>
        </w:rPr>
      </w:pPr>
    </w:p>
    <w:p>
      <w:pPr>
        <w:ind w:right="200" w:firstLine="799"/>
        <w:spacing w:after="0" w:line="250" w:lineRule="auto"/>
        <w:rPr>
          <w:sz w:val="20"/>
          <w:szCs w:val="20"/>
          <w:color w:val="auto"/>
        </w:rPr>
      </w:pPr>
      <w:r>
        <w:rPr>
          <w:rFonts w:ascii="Arial" w:cs="Arial" w:eastAsia="Arial" w:hAnsi="Arial"/>
          <w:sz w:val="20"/>
          <w:szCs w:val="20"/>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80" w:firstLine="799"/>
        <w:spacing w:after="0" w:line="246" w:lineRule="auto"/>
        <w:rPr>
          <w:sz w:val="20"/>
          <w:szCs w:val="20"/>
          <w:color w:val="auto"/>
        </w:rPr>
      </w:pPr>
      <w:r>
        <w:rPr>
          <w:rFonts w:ascii="Arial" w:cs="Arial" w:eastAsia="Arial" w:hAnsi="Arial"/>
          <w:sz w:val="20"/>
          <w:szCs w:val="20"/>
          <w:color w:val="auto"/>
        </w:rPr>
        <w:t xml:space="preserve">The purchase price allocation was determined in accordance with the accounting treatment of a business combination in the FASB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Under the guidance,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92" w:lineRule="exact"/>
        <w:rPr>
          <w:sz w:val="20"/>
          <w:szCs w:val="20"/>
          <w:color w:val="auto"/>
        </w:rPr>
      </w:pPr>
    </w:p>
    <w:p>
      <w:pPr>
        <w:ind w:firstLine="342"/>
        <w:spacing w:after="0" w:line="256" w:lineRule="auto"/>
        <w:rPr>
          <w:sz w:val="20"/>
          <w:szCs w:val="20"/>
          <w:color w:val="auto"/>
        </w:rPr>
      </w:pPr>
      <w:r>
        <w:rPr>
          <w:rFonts w:ascii="Arial" w:cs="Arial" w:eastAsia="Arial" w:hAnsi="Arial"/>
          <w:sz w:val="19"/>
          <w:szCs w:val="19"/>
          <w:color w:val="auto"/>
        </w:rPr>
        <w:t>The allocation of purchase price to the assets acquired and liabilities assumed at the date of the acquisition is presented in the table below (in thousands).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occur. The resulting purchase price allocation is considered preliminary as it is subject to change due to events in the future and subject to audit by the Company’s independent registered accountants. The final audited purchase price allocation may include (1) changes in allocations to intangible assets such as customer contracts and relationships, trade name and intellectual property as well as goodwill, (2) changes to deferred income taxes and (3) other changes to assets and liabilities.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251"/>
        </w:trPr>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Cash</w:t>
            </w:r>
          </w:p>
        </w:tc>
        <w:tc>
          <w:tcPr>
            <w:tcW w:w="2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$1,304</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2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auto"/>
              </w:rPr>
              <w:t>Accounts Receivable</w:t>
            </w:r>
          </w:p>
        </w:tc>
        <w:tc>
          <w:tcPr>
            <w:tcW w:w="2060" w:type="dxa"/>
            <w:vAlign w:val="bottom"/>
            <w:gridSpan w:val="2"/>
          </w:tcPr>
          <w:p>
            <w:pPr>
              <w:jc w:val="right"/>
              <w:spacing w:after="0"/>
              <w:rPr>
                <w:sz w:val="20"/>
                <w:szCs w:val="20"/>
                <w:color w:val="auto"/>
              </w:rPr>
            </w:pPr>
            <w:r>
              <w:rPr>
                <w:rFonts w:ascii="Arial" w:cs="Arial" w:eastAsia="Arial" w:hAnsi="Arial"/>
                <w:sz w:val="20"/>
                <w:szCs w:val="20"/>
                <w:color w:val="auto"/>
              </w:rPr>
              <w:t>1,344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Inventory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2,167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auto"/>
              </w:rPr>
              <w:t>Prepaids and Other Current Assets</w:t>
            </w:r>
          </w:p>
        </w:tc>
        <w:tc>
          <w:tcPr>
            <w:tcW w:w="2060" w:type="dxa"/>
            <w:vAlign w:val="bottom"/>
            <w:gridSpan w:val="2"/>
          </w:tcPr>
          <w:p>
            <w:pPr>
              <w:jc w:val="right"/>
              <w:spacing w:after="0"/>
              <w:rPr>
                <w:sz w:val="20"/>
                <w:szCs w:val="20"/>
                <w:color w:val="auto"/>
              </w:rPr>
            </w:pPr>
            <w:r>
              <w:rPr>
                <w:rFonts w:ascii="Arial" w:cs="Arial" w:eastAsia="Arial" w:hAnsi="Arial"/>
                <w:sz w:val="20"/>
                <w:szCs w:val="20"/>
                <w:color w:val="auto"/>
              </w:rPr>
              <w:t>290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Property, Plant &amp; Equipment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269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auto"/>
              </w:rPr>
              <w:t>Identifiable Intangible Assets</w:t>
            </w:r>
          </w:p>
        </w:tc>
        <w:tc>
          <w:tcPr>
            <w:tcW w:w="2060" w:type="dxa"/>
            <w:vAlign w:val="bottom"/>
            <w:gridSpan w:val="2"/>
          </w:tcPr>
          <w:p>
            <w:pPr>
              <w:jc w:val="right"/>
              <w:spacing w:after="0"/>
              <w:rPr>
                <w:sz w:val="20"/>
                <w:szCs w:val="20"/>
                <w:color w:val="auto"/>
              </w:rPr>
            </w:pPr>
            <w:r>
              <w:rPr>
                <w:rFonts w:ascii="Arial" w:cs="Arial" w:eastAsia="Arial" w:hAnsi="Arial"/>
                <w:sz w:val="20"/>
                <w:szCs w:val="20"/>
                <w:color w:val="auto"/>
              </w:rPr>
              <w:t>4,776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Goodwill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4,407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auto"/>
              </w:rPr>
              <w:t>Accounts Payable</w:t>
            </w:r>
          </w:p>
        </w:tc>
        <w:tc>
          <w:tcPr>
            <w:tcW w:w="2260" w:type="dxa"/>
            <w:vAlign w:val="bottom"/>
            <w:gridSpan w:val="3"/>
          </w:tcPr>
          <w:p>
            <w:pPr>
              <w:jc w:val="right"/>
              <w:ind w:right="200"/>
              <w:spacing w:after="0"/>
              <w:rPr>
                <w:sz w:val="20"/>
                <w:szCs w:val="20"/>
                <w:color w:val="auto"/>
              </w:rPr>
            </w:pPr>
            <w:r>
              <w:rPr>
                <w:rFonts w:ascii="Arial" w:cs="Arial" w:eastAsia="Arial" w:hAnsi="Arial"/>
                <w:sz w:val="20"/>
                <w:szCs w:val="20"/>
                <w:color w:val="auto"/>
              </w:rPr>
              <w:t>(1,009)</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Accrued Expenses</w:t>
            </w:r>
          </w:p>
        </w:tc>
        <w:tc>
          <w:tcPr>
            <w:tcW w:w="2260" w:type="dxa"/>
            <w:vAlign w:val="bottom"/>
            <w:gridSpan w:val="3"/>
            <w:shd w:val="clear" w:color="auto" w:fill="CCEEFF"/>
          </w:tcPr>
          <w:p>
            <w:pPr>
              <w:jc w:val="right"/>
              <w:ind w:right="200"/>
              <w:spacing w:after="0"/>
              <w:rPr>
                <w:sz w:val="20"/>
                <w:szCs w:val="20"/>
                <w:color w:val="auto"/>
              </w:rPr>
            </w:pPr>
            <w:r>
              <w:rPr>
                <w:rFonts w:ascii="Arial" w:cs="Arial" w:eastAsia="Arial" w:hAnsi="Arial"/>
                <w:sz w:val="20"/>
                <w:szCs w:val="20"/>
                <w:color w:val="auto"/>
              </w:rPr>
              <w:t>(1,133)</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auto"/>
              </w:rPr>
              <w:t>Income Taxes Payable</w:t>
            </w:r>
          </w:p>
        </w:tc>
        <w:tc>
          <w:tcPr>
            <w:tcW w:w="2260" w:type="dxa"/>
            <w:vAlign w:val="bottom"/>
            <w:gridSpan w:val="3"/>
          </w:tcPr>
          <w:p>
            <w:pPr>
              <w:jc w:val="right"/>
              <w:ind w:right="200"/>
              <w:spacing w:after="0"/>
              <w:rPr>
                <w:sz w:val="20"/>
                <w:szCs w:val="20"/>
                <w:color w:val="auto"/>
              </w:rPr>
            </w:pPr>
            <w:r>
              <w:rPr>
                <w:rFonts w:ascii="Arial" w:cs="Arial" w:eastAsia="Arial" w:hAnsi="Arial"/>
                <w:sz w:val="20"/>
                <w:szCs w:val="20"/>
                <w:color w:val="auto"/>
              </w:rPr>
              <w:t>(111)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Non-Current Liabilities</w:t>
            </w:r>
          </w:p>
        </w:tc>
        <w:tc>
          <w:tcPr>
            <w:tcW w:w="2260" w:type="dxa"/>
            <w:vAlign w:val="bottom"/>
            <w:gridSpan w:val="3"/>
            <w:shd w:val="clear" w:color="auto" w:fill="CCEEFF"/>
          </w:tcPr>
          <w:p>
            <w:pPr>
              <w:jc w:val="right"/>
              <w:ind w:right="200"/>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auto"/>
              </w:rPr>
              <w:t>Deferred Income Taxes</w:t>
            </w:r>
          </w:p>
        </w:tc>
        <w:tc>
          <w:tcPr>
            <w:tcW w:w="2260" w:type="dxa"/>
            <w:vAlign w:val="bottom"/>
            <w:gridSpan w:val="3"/>
          </w:tcPr>
          <w:p>
            <w:pPr>
              <w:jc w:val="right"/>
              <w:ind w:right="200"/>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20"/>
                <w:szCs w:val="20"/>
                <w:color w:val="auto"/>
              </w:rPr>
              <w:t>Deferred Income Taxes on Intangible Assets</w:t>
            </w:r>
          </w:p>
        </w:tc>
        <w:tc>
          <w:tcPr>
            <w:tcW w:w="16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20"/>
                <w:szCs w:val="20"/>
                <w:color w:val="auto"/>
                <w:w w:val="89"/>
              </w:rPr>
              <w:t>(860)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880" w:type="dxa"/>
            <w:vAlign w:val="bottom"/>
          </w:tcPr>
          <w:p>
            <w:pPr>
              <w:spacing w:after="0"/>
              <w:rPr>
                <w:sz w:val="20"/>
                <w:szCs w:val="20"/>
                <w:color w:val="auto"/>
              </w:rPr>
            </w:pPr>
            <w:r>
              <w:rPr>
                <w:rFonts w:ascii="Arial" w:cs="Arial" w:eastAsia="Arial" w:hAnsi="Arial"/>
                <w:sz w:val="20"/>
                <w:szCs w:val="20"/>
                <w:b w:val="1"/>
                <w:bCs w:val="1"/>
                <w:color w:val="auto"/>
              </w:rPr>
              <w:t>Total Consideration</w:t>
            </w:r>
          </w:p>
        </w:tc>
        <w:tc>
          <w:tcPr>
            <w:tcW w:w="2060" w:type="dxa"/>
            <w:vAlign w:val="bottom"/>
            <w:gridSpan w:val="2"/>
          </w:tcPr>
          <w:p>
            <w:pPr>
              <w:jc w:val="right"/>
              <w:spacing w:after="0"/>
              <w:rPr>
                <w:sz w:val="20"/>
                <w:szCs w:val="20"/>
                <w:color w:val="auto"/>
              </w:rPr>
            </w:pPr>
            <w:r>
              <w:rPr>
                <w:rFonts w:ascii="Arial" w:cs="Arial" w:eastAsia="Arial" w:hAnsi="Arial"/>
                <w:sz w:val="20"/>
                <w:szCs w:val="20"/>
                <w:b w:val="1"/>
                <w:bCs w:val="1"/>
                <w:color w:val="auto"/>
              </w:rPr>
              <w:t>$11,161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92" w:lineRule="exact"/>
        <w:rPr>
          <w:sz w:val="20"/>
          <w:szCs w:val="20"/>
          <w:color w:val="auto"/>
        </w:rPr>
      </w:pPr>
    </w:p>
    <w:p>
      <w:pPr>
        <w:jc w:val="both"/>
        <w:ind w:firstLine="342"/>
        <w:spacing w:after="0" w:line="263" w:lineRule="auto"/>
        <w:rPr>
          <w:sz w:val="20"/>
          <w:szCs w:val="20"/>
          <w:color w:val="auto"/>
        </w:rPr>
      </w:pPr>
      <w:r>
        <w:rPr>
          <w:rFonts w:ascii="Arial" w:cs="Arial" w:eastAsia="Arial" w:hAnsi="Arial"/>
          <w:sz w:val="19"/>
          <w:szCs w:val="19"/>
          <w:color w:val="auto"/>
        </w:rPr>
        <w:t>During the three month period ended March 27, 2016, direct acquisition costs of $251 and increased cost of sales related to purchase accounting adjustments of $91 for inventory acquired were recorded in the Company’s Consolidated Statement of Income and Comprehensive Income. Accutronics contributed revenue of $2,486 and an operating loss of $275 during the three month period ended March 27, 2016 reflecting the purchase accounting adjustments and non-recurring costs directly related to the acquisition.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firstLine="342"/>
        <w:spacing w:after="0" w:line="244" w:lineRule="auto"/>
        <w:rPr>
          <w:sz w:val="20"/>
          <w:szCs w:val="20"/>
          <w:color w:val="auto"/>
        </w:rPr>
      </w:pPr>
      <w:r>
        <w:rPr>
          <w:rFonts w:ascii="Arial" w:cs="Arial" w:eastAsia="Arial" w:hAnsi="Arial"/>
          <w:sz w:val="20"/>
          <w:szCs w:val="20"/>
          <w:color w:val="auto"/>
        </w:rPr>
        <w:t>The following unaudited pro forma information presents the combined results of operations as if the acquisition of Accutronics had been completed on January 1, 2015, the beginning of the comparable prior year three month period. The unaudited pro forma results include purchase accounting adjustments to reflect the restatement of inventory to estimated fair value and the resulting increase in cost of sales for the sale of the inventory during this three month period, direct acquisition costs and the amortization of intangible assets resulting from the purchase price allocation.</w:t>
      </w:r>
    </w:p>
    <w:p>
      <w:pPr>
        <w:spacing w:after="0" w:line="195" w:lineRule="exact"/>
        <w:rPr>
          <w:sz w:val="20"/>
          <w:szCs w:val="20"/>
          <w:color w:val="auto"/>
        </w:rPr>
      </w:pPr>
    </w:p>
    <w:p>
      <w:pPr>
        <w:jc w:val="both"/>
        <w:ind w:firstLine="342"/>
        <w:spacing w:after="0" w:line="244" w:lineRule="auto"/>
        <w:rPr>
          <w:sz w:val="20"/>
          <w:szCs w:val="20"/>
          <w:color w:val="auto"/>
        </w:rPr>
      </w:pPr>
      <w:r>
        <w:rPr>
          <w:rFonts w:ascii="Arial" w:cs="Arial" w:eastAsia="Arial" w:hAnsi="Arial"/>
          <w:sz w:val="20"/>
          <w:szCs w:val="20"/>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195"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Set forth below is the unaudited pro forma results of the Company and Accutronics for the three month period ended March 29, 2015 as if the acquisition occurred as of January 1, 2015 along with the reported results for the three month period ended March 27, 2016 which includes the consolidation of Accutronics (in thousands, except per share amounts).</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w w:val="99"/>
              </w:rPr>
              <w:t>Three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4040" w:type="dxa"/>
            <w:vAlign w:val="bottom"/>
            <w:gridSpan w:val="4"/>
          </w:tcPr>
          <w:p>
            <w:pPr>
              <w:ind w:left="2340"/>
              <w:spacing w:after="0" w:line="190" w:lineRule="exact"/>
              <w:rPr>
                <w:sz w:val="20"/>
                <w:szCs w:val="20"/>
                <w:color w:val="auto"/>
              </w:rPr>
            </w:pPr>
            <w:r>
              <w:rPr>
                <w:rFonts w:ascii="Arial" w:cs="Arial" w:eastAsia="Arial" w:hAnsi="Arial"/>
                <w:sz w:val="18"/>
                <w:szCs w:val="18"/>
                <w:color w:val="auto"/>
              </w:rPr>
              <w:t>March 29, 2015</w:t>
            </w:r>
          </w:p>
        </w:tc>
        <w:tc>
          <w:tcPr>
            <w:tcW w:w="114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89"/>
              </w:rPr>
              <w:t>March 27, 2016</w:t>
            </w: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80" w:type="dxa"/>
            <w:vAlign w:val="bottom"/>
            <w:gridSpan w:val="3"/>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$22,330</w:t>
            </w:r>
          </w:p>
        </w:tc>
        <w:tc>
          <w:tcPr>
            <w:tcW w:w="56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$20,833</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spacing w:after="0"/>
              <w:rPr>
                <w:sz w:val="17"/>
                <w:szCs w:val="17"/>
                <w:color w:val="auto"/>
              </w:rPr>
            </w:pPr>
          </w:p>
        </w:tc>
        <w:tc>
          <w:tcPr>
            <w:tcW w:w="3480" w:type="dxa"/>
            <w:vAlign w:val="bottom"/>
            <w:gridSpan w:val="3"/>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Operating Income</w:t>
            </w:r>
          </w:p>
        </w:tc>
        <w:tc>
          <w:tcPr>
            <w:tcW w:w="2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706</w:t>
            </w:r>
          </w:p>
        </w:tc>
        <w:tc>
          <w:tcPr>
            <w:tcW w:w="56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w w:val="99"/>
              </w:rPr>
              <w:t>482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281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Earnings Per Share:</w:t>
            </w: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3.</w:t>
      </w:r>
      <w:r>
        <w:rPr>
          <w:sz w:val="20"/>
          <w:szCs w:val="20"/>
          <w:color w:val="auto"/>
        </w:rPr>
        <w:tab/>
      </w:r>
      <w:r>
        <w:rPr>
          <w:rFonts w:ascii="Arial" w:cs="Arial" w:eastAsia="Arial" w:hAnsi="Arial"/>
          <w:sz w:val="18"/>
          <w:szCs w:val="18"/>
          <w:b w:val="1"/>
          <w:bCs w:val="1"/>
          <w:i w:val="1"/>
          <w:iCs w:val="1"/>
          <w:color w:val="auto"/>
        </w:rPr>
        <w:t>SHARE REPURCHASE PROGRAM</w:t>
      </w:r>
    </w:p>
    <w:p>
      <w:pPr>
        <w:spacing w:after="0" w:line="216" w:lineRule="exact"/>
        <w:rPr>
          <w:sz w:val="20"/>
          <w:szCs w:val="20"/>
          <w:color w:val="auto"/>
        </w:rPr>
      </w:pPr>
    </w:p>
    <w:p>
      <w:pPr>
        <w:jc w:val="both"/>
        <w:ind w:firstLine="799"/>
        <w:spacing w:after="0" w:line="282"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has been extended through June 2, 2016, and the maximum number of shares authorized to be repurchased under the program has been increased to 3.4 million shares.</w:t>
      </w:r>
    </w:p>
    <w:p>
      <w:pPr>
        <w:spacing w:after="0" w:line="162"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9"/>
          <w:szCs w:val="19"/>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10b5-1 Plans, the timing, manner, price and amount of any repurchases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79" w:lineRule="exact"/>
        <w:rPr>
          <w:sz w:val="20"/>
          <w:szCs w:val="20"/>
          <w:color w:val="auto"/>
        </w:rPr>
      </w:pPr>
    </w:p>
    <w:p>
      <w:pPr>
        <w:jc w:val="both"/>
        <w:ind w:right="20" w:firstLine="342"/>
        <w:spacing w:after="0" w:line="260" w:lineRule="auto"/>
        <w:rPr>
          <w:sz w:val="20"/>
          <w:szCs w:val="20"/>
          <w:color w:val="auto"/>
        </w:rPr>
      </w:pPr>
      <w:r>
        <w:rPr>
          <w:rFonts w:ascii="Arial" w:cs="Arial" w:eastAsia="Arial" w:hAnsi="Arial"/>
          <w:sz w:val="20"/>
          <w:szCs w:val="20"/>
          <w:color w:val="auto"/>
        </w:rPr>
        <w:t>There were no shares repurchased during the three month period ended March 27, 2016. During the three month period ended March 29, 2015, the Company repurchased 78,401 shares under this program, for a total cost of $298.</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From the inception of the Share Repurchase Program on May 1, 2014 through March 27, 2016, the Company has repurchased 2,442,191 shares for an aggregate cost (excluding fees and commissions) of $9,877. The total remaining balance of shares authorized for repurchase under the Share Repurchase Program is 957,809 shares as of March 27, 2016.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4.</w:t>
      </w:r>
      <w:r>
        <w:rPr>
          <w:sz w:val="20"/>
          <w:szCs w:val="20"/>
          <w:color w:val="auto"/>
        </w:rPr>
        <w:tab/>
      </w:r>
      <w:r>
        <w:rPr>
          <w:rFonts w:ascii="Arial" w:cs="Arial" w:eastAsia="Arial" w:hAnsi="Arial"/>
          <w:sz w:val="19"/>
          <w:szCs w:val="19"/>
          <w:b w:val="1"/>
          <w:bCs w:val="1"/>
          <w:i w:val="1"/>
          <w:iCs w:val="1"/>
          <w:color w:val="auto"/>
        </w:rPr>
        <w:t>INVENTORIES</w:t>
      </w:r>
    </w:p>
    <w:p>
      <w:pPr>
        <w:spacing w:after="0" w:line="216" w:lineRule="exact"/>
        <w:rPr>
          <w:sz w:val="20"/>
          <w:szCs w:val="20"/>
          <w:color w:val="auto"/>
        </w:rPr>
      </w:pPr>
    </w:p>
    <w:p>
      <w:pPr>
        <w:jc w:val="both"/>
        <w:ind w:right="20" w:firstLine="342"/>
        <w:spacing w:after="0" w:line="260" w:lineRule="auto"/>
        <w:rPr>
          <w:sz w:val="20"/>
          <w:szCs w:val="20"/>
          <w:color w:val="auto"/>
        </w:rPr>
      </w:pPr>
      <w:r>
        <w:rPr>
          <w:rFonts w:ascii="Arial" w:cs="Arial" w:eastAsia="Arial" w:hAnsi="Arial"/>
          <w:sz w:val="20"/>
          <w:szCs w:val="20"/>
          <w:color w:val="auto"/>
        </w:rPr>
        <w:t>Inventories are stated at the lower of cost or market with cost determined under the first-in, first-out (FIFO) method. The composition of inventories was:</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1480" w:type="dxa"/>
            <w:vAlign w:val="bottom"/>
          </w:tcPr>
          <w:p>
            <w:pPr>
              <w:jc w:val="right"/>
              <w:ind w:right="201"/>
              <w:spacing w:after="0"/>
              <w:rPr>
                <w:sz w:val="20"/>
                <w:szCs w:val="20"/>
                <w:color w:val="auto"/>
              </w:rPr>
            </w:pPr>
            <w:r>
              <w:rPr>
                <w:rFonts w:ascii="Arial" w:cs="Arial" w:eastAsia="Arial" w:hAnsi="Arial"/>
                <w:sz w:val="20"/>
                <w:szCs w:val="20"/>
                <w:b w:val="1"/>
                <w:bCs w:val="1"/>
                <w:color w:val="auto"/>
              </w:rPr>
              <w:t>March 27,</w:t>
            </w:r>
          </w:p>
        </w:tc>
        <w:tc>
          <w:tcPr>
            <w:tcW w:w="260" w:type="dxa"/>
            <w:vAlign w:val="bottom"/>
          </w:tcPr>
          <w:p>
            <w:pPr>
              <w:spacing w:after="0"/>
              <w:rPr>
                <w:sz w:val="19"/>
                <w:szCs w:val="19"/>
                <w:color w:val="auto"/>
              </w:rPr>
            </w:pPr>
          </w:p>
        </w:tc>
        <w:tc>
          <w:tcPr>
            <w:tcW w:w="1560" w:type="dxa"/>
            <w:vAlign w:val="bottom"/>
          </w:tcPr>
          <w:p>
            <w:pPr>
              <w:jc w:val="right"/>
              <w:ind w:right="101"/>
              <w:spacing w:after="0"/>
              <w:rPr>
                <w:sz w:val="20"/>
                <w:szCs w:val="20"/>
                <w:color w:val="auto"/>
              </w:rPr>
            </w:pPr>
            <w:r>
              <w:rPr>
                <w:rFonts w:ascii="Arial" w:cs="Arial" w:eastAsia="Arial" w:hAnsi="Arial"/>
                <w:sz w:val="20"/>
                <w:szCs w:val="20"/>
                <w:b w:val="1"/>
                <w:bCs w:val="1"/>
                <w:color w:val="auto"/>
              </w:rPr>
              <w:t>December 31,</w:t>
            </w:r>
          </w:p>
        </w:tc>
      </w:tr>
      <w:tr>
        <w:trPr>
          <w:trHeight w:val="252"/>
        </w:trPr>
        <w:tc>
          <w:tcPr>
            <w:tcW w:w="7760" w:type="dxa"/>
            <w:vAlign w:val="bottom"/>
          </w:tcPr>
          <w:p>
            <w:pPr>
              <w:spacing w:after="0"/>
              <w:rPr>
                <w:sz w:val="21"/>
                <w:szCs w:val="21"/>
                <w:color w:val="auto"/>
              </w:rPr>
            </w:pPr>
          </w:p>
        </w:tc>
        <w:tc>
          <w:tcPr>
            <w:tcW w:w="1480" w:type="dxa"/>
            <w:vAlign w:val="bottom"/>
          </w:tcPr>
          <w:p>
            <w:pPr>
              <w:jc w:val="right"/>
              <w:ind w:right="441"/>
              <w:spacing w:after="0"/>
              <w:rPr>
                <w:sz w:val="20"/>
                <w:szCs w:val="20"/>
                <w:color w:val="auto"/>
              </w:rPr>
            </w:pPr>
            <w:r>
              <w:rPr>
                <w:rFonts w:ascii="Arial" w:cs="Arial" w:eastAsia="Arial" w:hAnsi="Arial"/>
                <w:sz w:val="20"/>
                <w:szCs w:val="20"/>
                <w:b w:val="1"/>
                <w:bCs w:val="1"/>
                <w:color w:val="auto"/>
              </w:rPr>
              <w:t>2016</w:t>
            </w:r>
          </w:p>
        </w:tc>
        <w:tc>
          <w:tcPr>
            <w:tcW w:w="1820" w:type="dxa"/>
            <w:vAlign w:val="bottom"/>
            <w:gridSpan w:val="2"/>
          </w:tcPr>
          <w:p>
            <w:pPr>
              <w:jc w:val="right"/>
              <w:ind w:right="481"/>
              <w:spacing w:after="0"/>
              <w:rPr>
                <w:sz w:val="20"/>
                <w:szCs w:val="20"/>
                <w:color w:val="auto"/>
              </w:rPr>
            </w:pPr>
            <w:r>
              <w:rPr>
                <w:rFonts w:ascii="Arial" w:cs="Arial" w:eastAsia="Arial" w:hAnsi="Arial"/>
                <w:sz w:val="20"/>
                <w:szCs w:val="20"/>
                <w:b w:val="1"/>
                <w:bCs w:val="1"/>
                <w:color w:val="auto"/>
              </w:rPr>
              <w:t>2015</w:t>
            </w:r>
          </w:p>
        </w:tc>
      </w:tr>
      <w:tr>
        <w:trPr>
          <w:trHeight w:val="223"/>
        </w:trPr>
        <w:tc>
          <w:tcPr>
            <w:tcW w:w="77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Raw materials</w:t>
            </w:r>
          </w:p>
        </w:tc>
        <w:tc>
          <w:tcPr>
            <w:tcW w:w="1480" w:type="dxa"/>
            <w:vAlign w:val="bottom"/>
            <w:tcBorders>
              <w:top w:val="single" w:sz="8" w:color="auto"/>
            </w:tcBorders>
            <w:shd w:val="clear" w:color="auto" w:fill="CCEEFF"/>
          </w:tcPr>
          <w:p>
            <w:pPr>
              <w:jc w:val="right"/>
              <w:ind w:right="321"/>
              <w:spacing w:after="0" w:line="223" w:lineRule="exact"/>
              <w:rPr>
                <w:sz w:val="20"/>
                <w:szCs w:val="20"/>
                <w:color w:val="auto"/>
              </w:rPr>
            </w:pPr>
            <w:r>
              <w:rPr>
                <w:rFonts w:ascii="Arial" w:cs="Arial" w:eastAsia="Arial" w:hAnsi="Arial"/>
                <w:sz w:val="20"/>
                <w:szCs w:val="20"/>
                <w:color w:val="auto"/>
              </w:rPr>
              <w:t>$13,369</w:t>
            </w:r>
          </w:p>
        </w:tc>
        <w:tc>
          <w:tcPr>
            <w:tcW w:w="2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361"/>
              <w:spacing w:after="0" w:line="223" w:lineRule="exact"/>
              <w:rPr>
                <w:sz w:val="20"/>
                <w:szCs w:val="20"/>
                <w:color w:val="auto"/>
              </w:rPr>
            </w:pPr>
            <w:r>
              <w:rPr>
                <w:rFonts w:ascii="Arial" w:cs="Arial" w:eastAsia="Arial" w:hAnsi="Arial"/>
                <w:sz w:val="20"/>
                <w:szCs w:val="20"/>
                <w:color w:val="auto"/>
              </w:rPr>
              <w:t>$11,602</w:t>
            </w:r>
          </w:p>
        </w:tc>
      </w:tr>
      <w:tr>
        <w:trPr>
          <w:trHeight w:val="230"/>
        </w:trPr>
        <w:tc>
          <w:tcPr>
            <w:tcW w:w="7760" w:type="dxa"/>
            <w:vAlign w:val="bottom"/>
          </w:tcPr>
          <w:p>
            <w:pPr>
              <w:spacing w:after="0"/>
              <w:rPr>
                <w:sz w:val="20"/>
                <w:szCs w:val="20"/>
                <w:color w:val="auto"/>
              </w:rPr>
            </w:pPr>
            <w:r>
              <w:rPr>
                <w:rFonts w:ascii="Arial" w:cs="Arial" w:eastAsia="Arial" w:hAnsi="Arial"/>
                <w:sz w:val="20"/>
                <w:szCs w:val="20"/>
                <w:color w:val="auto"/>
              </w:rPr>
              <w:t>Work in process</w:t>
            </w:r>
          </w:p>
        </w:tc>
        <w:tc>
          <w:tcPr>
            <w:tcW w:w="1480" w:type="dxa"/>
            <w:vAlign w:val="bottom"/>
          </w:tcPr>
          <w:p>
            <w:pPr>
              <w:jc w:val="right"/>
              <w:ind w:right="321"/>
              <w:spacing w:after="0"/>
              <w:rPr>
                <w:sz w:val="20"/>
                <w:szCs w:val="20"/>
                <w:color w:val="auto"/>
              </w:rPr>
            </w:pPr>
            <w:r>
              <w:rPr>
                <w:rFonts w:ascii="Arial" w:cs="Arial" w:eastAsia="Arial" w:hAnsi="Arial"/>
                <w:sz w:val="20"/>
                <w:szCs w:val="20"/>
                <w:color w:val="auto"/>
              </w:rPr>
              <w:t>2,363</w:t>
            </w:r>
          </w:p>
        </w:tc>
        <w:tc>
          <w:tcPr>
            <w:tcW w:w="1820" w:type="dxa"/>
            <w:vAlign w:val="bottom"/>
            <w:gridSpan w:val="2"/>
          </w:tcPr>
          <w:p>
            <w:pPr>
              <w:jc w:val="right"/>
              <w:ind w:right="361"/>
              <w:spacing w:after="0"/>
              <w:rPr>
                <w:sz w:val="20"/>
                <w:szCs w:val="20"/>
                <w:color w:val="auto"/>
              </w:rPr>
            </w:pPr>
            <w:r>
              <w:rPr>
                <w:rFonts w:ascii="Arial" w:cs="Arial" w:eastAsia="Arial" w:hAnsi="Arial"/>
                <w:sz w:val="20"/>
                <w:szCs w:val="20"/>
                <w:color w:val="auto"/>
              </w:rPr>
              <w:t>1,560</w:t>
            </w: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20"/>
                <w:szCs w:val="20"/>
                <w:color w:val="auto"/>
              </w:rPr>
              <w:t>Finished goods</w:t>
            </w:r>
          </w:p>
        </w:tc>
        <w:tc>
          <w:tcPr>
            <w:tcW w:w="148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rPr>
              <w:t>11,248</w:t>
            </w:r>
          </w:p>
        </w:tc>
        <w:tc>
          <w:tcPr>
            <w:tcW w:w="1820" w:type="dxa"/>
            <w:vAlign w:val="bottom"/>
            <w:gridSpan w:val="2"/>
            <w:shd w:val="clear" w:color="auto" w:fill="CCEEFF"/>
          </w:tcPr>
          <w:p>
            <w:pPr>
              <w:jc w:val="right"/>
              <w:ind w:right="361"/>
              <w:spacing w:after="0"/>
              <w:rPr>
                <w:sz w:val="20"/>
                <w:szCs w:val="20"/>
                <w:color w:val="auto"/>
              </w:rPr>
            </w:pPr>
            <w:r>
              <w:rPr>
                <w:rFonts w:ascii="Arial" w:cs="Arial" w:eastAsia="Arial" w:hAnsi="Arial"/>
                <w:sz w:val="20"/>
                <w:szCs w:val="20"/>
                <w:color w:val="auto"/>
              </w:rPr>
              <w:t>10,652</w:t>
            </w:r>
          </w:p>
        </w:tc>
      </w:tr>
      <w:tr>
        <w:trPr>
          <w:trHeight w:val="237"/>
        </w:trPr>
        <w:tc>
          <w:tcPr>
            <w:tcW w:w="7760" w:type="dxa"/>
            <w:vAlign w:val="bottom"/>
          </w:tcPr>
          <w:p>
            <w:pPr>
              <w:ind w:left="400"/>
              <w:spacing w:after="0"/>
              <w:rPr>
                <w:sz w:val="20"/>
                <w:szCs w:val="20"/>
                <w:color w:val="auto"/>
              </w:rPr>
            </w:pPr>
            <w:r>
              <w:rPr>
                <w:rFonts w:ascii="Arial" w:cs="Arial" w:eastAsia="Arial" w:hAnsi="Arial"/>
                <w:sz w:val="20"/>
                <w:szCs w:val="20"/>
                <w:color w:val="auto"/>
              </w:rPr>
              <w:t>Total</w:t>
            </w:r>
          </w:p>
        </w:tc>
        <w:tc>
          <w:tcPr>
            <w:tcW w:w="14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color w:val="auto"/>
              </w:rPr>
              <w:t>$26,980</w:t>
            </w:r>
          </w:p>
        </w:tc>
        <w:tc>
          <w:tcPr>
            <w:tcW w:w="26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$23,814</w:t>
            </w:r>
          </w:p>
        </w:tc>
      </w:tr>
      <w:tr>
        <w:trPr>
          <w:trHeight w:val="20"/>
        </w:trPr>
        <w:tc>
          <w:tcPr>
            <w:tcW w:w="7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PROPERTY, EQUIPMENT AND IMPROVEMENTS</w:t>
      </w:r>
    </w:p>
    <w:p>
      <w:pPr>
        <w:spacing w:after="0" w:line="215" w:lineRule="exact"/>
        <w:rPr>
          <w:rFonts w:ascii="Arial" w:cs="Arial" w:eastAsia="Arial" w:hAnsi="Arial"/>
          <w:sz w:val="20"/>
          <w:szCs w:val="20"/>
          <w:b w:val="1"/>
          <w:bCs w:val="1"/>
          <w:color w:val="auto"/>
        </w:rPr>
      </w:pPr>
    </w:p>
    <w:p>
      <w:pPr>
        <w:ind w:left="360"/>
        <w:spacing w:after="0"/>
        <w:rPr>
          <w:rFonts w:ascii="Arial" w:cs="Arial" w:eastAsia="Arial" w:hAnsi="Arial"/>
          <w:sz w:val="20"/>
          <w:szCs w:val="20"/>
          <w:b w:val="1"/>
          <w:bCs w:val="1"/>
          <w:color w:val="auto"/>
        </w:rPr>
      </w:pPr>
      <w:r>
        <w:rPr>
          <w:rFonts w:ascii="Arial" w:cs="Arial" w:eastAsia="Arial" w:hAnsi="Arial"/>
          <w:sz w:val="20"/>
          <w:szCs w:val="20"/>
          <w:color w:val="auto"/>
        </w:rPr>
        <w:t>Major classes of property, equipment and improvements consisted of the following:</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1480" w:type="dxa"/>
            <w:vAlign w:val="bottom"/>
          </w:tcPr>
          <w:p>
            <w:pPr>
              <w:ind w:left="300"/>
              <w:spacing w:after="0"/>
              <w:rPr>
                <w:sz w:val="20"/>
                <w:szCs w:val="20"/>
                <w:color w:val="auto"/>
              </w:rPr>
            </w:pPr>
            <w:r>
              <w:rPr>
                <w:rFonts w:ascii="Arial" w:cs="Arial" w:eastAsia="Arial" w:hAnsi="Arial"/>
                <w:sz w:val="20"/>
                <w:szCs w:val="20"/>
                <w:b w:val="1"/>
                <w:bCs w:val="1"/>
                <w:color w:val="auto"/>
              </w:rPr>
              <w:t>March 27,</w:t>
            </w:r>
          </w:p>
        </w:tc>
        <w:tc>
          <w:tcPr>
            <w:tcW w:w="260" w:type="dxa"/>
            <w:vAlign w:val="bottom"/>
          </w:tcPr>
          <w:p>
            <w:pPr>
              <w:spacing w:after="0"/>
              <w:rPr>
                <w:sz w:val="19"/>
                <w:szCs w:val="19"/>
                <w:color w:val="auto"/>
              </w:rPr>
            </w:pPr>
          </w:p>
        </w:tc>
        <w:tc>
          <w:tcPr>
            <w:tcW w:w="1560" w:type="dxa"/>
            <w:vAlign w:val="bottom"/>
          </w:tcPr>
          <w:p>
            <w:pPr>
              <w:ind w:left="200"/>
              <w:spacing w:after="0"/>
              <w:rPr>
                <w:sz w:val="20"/>
                <w:szCs w:val="20"/>
                <w:color w:val="auto"/>
              </w:rPr>
            </w:pPr>
            <w:r>
              <w:rPr>
                <w:rFonts w:ascii="Arial" w:cs="Arial" w:eastAsia="Arial" w:hAnsi="Arial"/>
                <w:sz w:val="20"/>
                <w:szCs w:val="20"/>
                <w:b w:val="1"/>
                <w:bCs w:val="1"/>
                <w:color w:val="auto"/>
              </w:rPr>
              <w:t>December 31,</w:t>
            </w:r>
          </w:p>
        </w:tc>
      </w:tr>
      <w:tr>
        <w:trPr>
          <w:trHeight w:val="252"/>
        </w:trPr>
        <w:tc>
          <w:tcPr>
            <w:tcW w:w="77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89"/>
              </w:rPr>
              <w:t>2016</w:t>
            </w:r>
          </w:p>
        </w:tc>
        <w:tc>
          <w:tcPr>
            <w:tcW w:w="1820" w:type="dxa"/>
            <w:vAlign w:val="bottom"/>
            <w:gridSpan w:val="2"/>
          </w:tcPr>
          <w:p>
            <w:pPr>
              <w:jc w:val="center"/>
              <w:ind w:left="161"/>
              <w:spacing w:after="0"/>
              <w:rPr>
                <w:sz w:val="20"/>
                <w:szCs w:val="20"/>
                <w:color w:val="auto"/>
              </w:rPr>
            </w:pPr>
            <w:r>
              <w:rPr>
                <w:rFonts w:ascii="Arial" w:cs="Arial" w:eastAsia="Arial" w:hAnsi="Arial"/>
                <w:sz w:val="20"/>
                <w:szCs w:val="20"/>
                <w:b w:val="1"/>
                <w:bCs w:val="1"/>
                <w:color w:val="auto"/>
                <w:w w:val="89"/>
              </w:rPr>
              <w:t>2015</w:t>
            </w:r>
          </w:p>
        </w:tc>
      </w:tr>
      <w:tr>
        <w:trPr>
          <w:trHeight w:val="223"/>
        </w:trPr>
        <w:tc>
          <w:tcPr>
            <w:tcW w:w="77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Land</w:t>
            </w:r>
          </w:p>
        </w:tc>
        <w:tc>
          <w:tcPr>
            <w:tcW w:w="14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$123</w:t>
            </w:r>
          </w:p>
        </w:tc>
        <w:tc>
          <w:tcPr>
            <w:tcW w:w="2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$123</w:t>
            </w:r>
          </w:p>
        </w:tc>
      </w:tr>
      <w:tr>
        <w:trPr>
          <w:trHeight w:val="230"/>
        </w:trPr>
        <w:tc>
          <w:tcPr>
            <w:tcW w:w="7760" w:type="dxa"/>
            <w:vAlign w:val="bottom"/>
          </w:tcPr>
          <w:p>
            <w:pPr>
              <w:spacing w:after="0"/>
              <w:rPr>
                <w:sz w:val="20"/>
                <w:szCs w:val="20"/>
                <w:color w:val="auto"/>
              </w:rPr>
            </w:pPr>
            <w:r>
              <w:rPr>
                <w:rFonts w:ascii="Arial" w:cs="Arial" w:eastAsia="Arial" w:hAnsi="Arial"/>
                <w:sz w:val="20"/>
                <w:szCs w:val="20"/>
                <w:color w:val="auto"/>
              </w:rPr>
              <w:t>Buildings and leasehold improvements</w:t>
            </w: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7,854</w:t>
            </w:r>
          </w:p>
        </w:tc>
        <w:tc>
          <w:tcPr>
            <w:tcW w:w="182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7,490</w:t>
            </w: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20"/>
                <w:szCs w:val="20"/>
                <w:color w:val="auto"/>
              </w:rPr>
              <w:t>Machinery and equipment</w:t>
            </w: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49,521</w:t>
            </w:r>
          </w:p>
        </w:tc>
        <w:tc>
          <w:tcPr>
            <w:tcW w:w="1820" w:type="dxa"/>
            <w:vAlign w:val="bottom"/>
            <w:gridSpan w:val="2"/>
            <w:shd w:val="clear" w:color="auto" w:fill="CCEEFF"/>
          </w:tcPr>
          <w:p>
            <w:pPr>
              <w:jc w:val="center"/>
              <w:ind w:left="181"/>
              <w:spacing w:after="0"/>
              <w:rPr>
                <w:sz w:val="20"/>
                <w:szCs w:val="20"/>
                <w:color w:val="auto"/>
              </w:rPr>
            </w:pPr>
            <w:r>
              <w:rPr>
                <w:rFonts w:ascii="Arial" w:cs="Arial" w:eastAsia="Arial" w:hAnsi="Arial"/>
                <w:sz w:val="20"/>
                <w:szCs w:val="20"/>
                <w:color w:val="auto"/>
                <w:w w:val="88"/>
              </w:rPr>
              <w:t>49,609</w:t>
            </w:r>
          </w:p>
        </w:tc>
      </w:tr>
      <w:tr>
        <w:trPr>
          <w:trHeight w:val="230"/>
        </w:trPr>
        <w:tc>
          <w:tcPr>
            <w:tcW w:w="7760" w:type="dxa"/>
            <w:vAlign w:val="bottom"/>
          </w:tcPr>
          <w:p>
            <w:pPr>
              <w:spacing w:after="0"/>
              <w:rPr>
                <w:sz w:val="20"/>
                <w:szCs w:val="20"/>
                <w:color w:val="auto"/>
              </w:rPr>
            </w:pPr>
            <w:r>
              <w:rPr>
                <w:rFonts w:ascii="Arial" w:cs="Arial" w:eastAsia="Arial" w:hAnsi="Arial"/>
                <w:sz w:val="20"/>
                <w:szCs w:val="20"/>
                <w:color w:val="auto"/>
              </w:rPr>
              <w:t>Furniture and fixtures</w:t>
            </w: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1,993</w:t>
            </w:r>
          </w:p>
        </w:tc>
        <w:tc>
          <w:tcPr>
            <w:tcW w:w="182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1,974</w:t>
            </w: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20"/>
                <w:szCs w:val="20"/>
                <w:color w:val="auto"/>
              </w:rPr>
              <w:t>Computer hardware and software</w:t>
            </w: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7"/>
              </w:rPr>
              <w:t>4,685</w:t>
            </w:r>
          </w:p>
        </w:tc>
        <w:tc>
          <w:tcPr>
            <w:tcW w:w="182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4,585</w:t>
            </w:r>
          </w:p>
        </w:tc>
      </w:tr>
      <w:tr>
        <w:trPr>
          <w:trHeight w:val="237"/>
        </w:trPr>
        <w:tc>
          <w:tcPr>
            <w:tcW w:w="7760" w:type="dxa"/>
            <w:vAlign w:val="bottom"/>
          </w:tcPr>
          <w:p>
            <w:pPr>
              <w:spacing w:after="0"/>
              <w:rPr>
                <w:sz w:val="20"/>
                <w:szCs w:val="20"/>
                <w:color w:val="auto"/>
              </w:rPr>
            </w:pPr>
            <w:r>
              <w:rPr>
                <w:rFonts w:ascii="Arial" w:cs="Arial" w:eastAsia="Arial" w:hAnsi="Arial"/>
                <w:sz w:val="20"/>
                <w:szCs w:val="20"/>
                <w:color w:val="auto"/>
              </w:rPr>
              <w:t>Construction in process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3"/>
              </w:rPr>
              <w:t>763</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745</w:t>
            </w:r>
          </w:p>
        </w:tc>
      </w:tr>
      <w:tr>
        <w:trPr>
          <w:trHeight w:val="230"/>
        </w:trPr>
        <w:tc>
          <w:tcPr>
            <w:tcW w:w="77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64,939</w:t>
            </w:r>
          </w:p>
        </w:tc>
        <w:tc>
          <w:tcPr>
            <w:tcW w:w="1820" w:type="dxa"/>
            <w:vAlign w:val="bottom"/>
            <w:gridSpan w:val="2"/>
            <w:shd w:val="clear" w:color="auto" w:fill="CCEEFF"/>
          </w:tcPr>
          <w:p>
            <w:pPr>
              <w:jc w:val="center"/>
              <w:ind w:left="181"/>
              <w:spacing w:after="0"/>
              <w:rPr>
                <w:sz w:val="20"/>
                <w:szCs w:val="20"/>
                <w:color w:val="auto"/>
              </w:rPr>
            </w:pPr>
            <w:r>
              <w:rPr>
                <w:rFonts w:ascii="Arial" w:cs="Arial" w:eastAsia="Arial" w:hAnsi="Arial"/>
                <w:sz w:val="20"/>
                <w:szCs w:val="20"/>
                <w:color w:val="auto"/>
                <w:w w:val="88"/>
              </w:rPr>
              <w:t>64,526</w:t>
            </w:r>
          </w:p>
        </w:tc>
      </w:tr>
      <w:tr>
        <w:trPr>
          <w:trHeight w:val="237"/>
        </w:trPr>
        <w:tc>
          <w:tcPr>
            <w:tcW w:w="7760" w:type="dxa"/>
            <w:vAlign w:val="bottom"/>
          </w:tcPr>
          <w:p>
            <w:pPr>
              <w:spacing w:after="0"/>
              <w:rPr>
                <w:sz w:val="20"/>
                <w:szCs w:val="20"/>
                <w:color w:val="auto"/>
              </w:rPr>
            </w:pPr>
            <w:r>
              <w:rPr>
                <w:rFonts w:ascii="Arial" w:cs="Arial" w:eastAsia="Arial" w:hAnsi="Arial"/>
                <w:sz w:val="20"/>
                <w:szCs w:val="20"/>
                <w:color w:val="auto"/>
              </w:rPr>
              <w:t>Less-accumulated depreciation</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(56,074)</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(55,488)</w:t>
            </w: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20"/>
                <w:szCs w:val="20"/>
                <w:color w:val="auto"/>
              </w:rPr>
              <w:t>Net property, equipment and improvements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$8,865</w:t>
            </w:r>
          </w:p>
        </w:tc>
        <w:tc>
          <w:tcPr>
            <w:tcW w:w="1820" w:type="dxa"/>
            <w:vAlign w:val="bottom"/>
            <w:gridSpan w:val="2"/>
            <w:shd w:val="clear" w:color="auto" w:fill="CCEEFF"/>
          </w:tcPr>
          <w:p>
            <w:pPr>
              <w:jc w:val="center"/>
              <w:ind w:left="181"/>
              <w:spacing w:after="0"/>
              <w:rPr>
                <w:sz w:val="20"/>
                <w:szCs w:val="20"/>
                <w:color w:val="auto"/>
              </w:rPr>
            </w:pPr>
            <w:r>
              <w:rPr>
                <w:rFonts w:ascii="Arial" w:cs="Arial" w:eastAsia="Arial" w:hAnsi="Arial"/>
                <w:sz w:val="20"/>
                <w:szCs w:val="20"/>
                <w:color w:val="auto"/>
                <w:w w:val="88"/>
              </w:rPr>
              <w:t>$9,038</w:t>
            </w:r>
          </w:p>
        </w:tc>
      </w:tr>
      <w:tr>
        <w:trPr>
          <w:trHeight w:val="20"/>
        </w:trPr>
        <w:tc>
          <w:tcPr>
            <w:tcW w:w="77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Depreciation expense for property, equipment and improvements was $589 and $596 for the three-month periods ended March 27, 2016 and March 29, 2015,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6.</w:t>
      </w:r>
      <w:r>
        <w:rPr>
          <w:sz w:val="20"/>
          <w:szCs w:val="20"/>
          <w:color w:val="auto"/>
        </w:rPr>
        <w:tab/>
      </w:r>
      <w:r>
        <w:rPr>
          <w:rFonts w:ascii="Arial" w:cs="Arial" w:eastAsia="Arial" w:hAnsi="Arial"/>
          <w:sz w:val="18"/>
          <w:szCs w:val="18"/>
          <w:b w:val="1"/>
          <w:bCs w:val="1"/>
          <w:i w:val="1"/>
          <w:iCs w:val="1"/>
          <w:color w:val="auto"/>
        </w:rPr>
        <w:t>GOODWILL, INTANGIBLE ASSETS AND LONG TERM ASSETS</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Goodwill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the goodwill activity by segment for the three-month periods ended March 27, 2016 and March 29,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
              <w:spacing w:after="0"/>
              <w:rPr>
                <w:sz w:val="20"/>
                <w:szCs w:val="20"/>
                <w:color w:val="auto"/>
              </w:rPr>
            </w:pPr>
            <w:r>
              <w:rPr>
                <w:rFonts w:ascii="Arial" w:cs="Arial" w:eastAsia="Arial" w:hAnsi="Arial"/>
                <w:sz w:val="20"/>
                <w:szCs w:val="20"/>
                <w:b w:val="1"/>
                <w:bCs w:val="1"/>
                <w:color w:val="auto"/>
                <w:w w:val="94"/>
              </w:rPr>
              <w:t>Battery &amp;</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20"/>
                <w:szCs w:val="20"/>
                <w:b w:val="1"/>
                <w:bCs w:val="1"/>
                <w:color w:val="auto"/>
                <w:w w:val="92"/>
              </w:rPr>
              <w:t>Communi-</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center"/>
              <w:ind w:right="21"/>
              <w:spacing w:after="0"/>
              <w:rPr>
                <w:sz w:val="20"/>
                <w:szCs w:val="20"/>
                <w:color w:val="auto"/>
              </w:rPr>
            </w:pPr>
            <w:r>
              <w:rPr>
                <w:rFonts w:ascii="Arial" w:cs="Arial" w:eastAsia="Arial" w:hAnsi="Arial"/>
                <w:sz w:val="20"/>
                <w:szCs w:val="20"/>
                <w:b w:val="1"/>
                <w:bCs w:val="1"/>
                <w:color w:val="auto"/>
                <w:w w:val="91"/>
              </w:rPr>
              <w:t>Energy</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20"/>
                <w:szCs w:val="20"/>
                <w:b w:val="1"/>
                <w:bCs w:val="1"/>
                <w:color w:val="auto"/>
                <w:w w:val="85"/>
              </w:rPr>
              <w:t>cations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center"/>
              <w:ind w:right="1"/>
              <w:spacing w:after="0"/>
              <w:rPr>
                <w:sz w:val="20"/>
                <w:szCs w:val="20"/>
                <w:color w:val="auto"/>
              </w:rPr>
            </w:pPr>
            <w:r>
              <w:rPr>
                <w:rFonts w:ascii="Arial" w:cs="Arial" w:eastAsia="Arial" w:hAnsi="Arial"/>
                <w:sz w:val="20"/>
                <w:szCs w:val="20"/>
                <w:b w:val="1"/>
                <w:bCs w:val="1"/>
                <w:color w:val="auto"/>
                <w:w w:val="87"/>
              </w:rPr>
              <w:t>Products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87"/>
              </w:rPr>
              <w:t>Total</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Balance – December 31, 2014</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8"/>
              </w:rPr>
              <w:t>$4,914</w:t>
            </w:r>
          </w:p>
        </w:tc>
        <w:tc>
          <w:tcPr>
            <w:tcW w:w="1660" w:type="dxa"/>
            <w:vAlign w:val="bottom"/>
            <w:gridSpan w:val="4"/>
            <w:shd w:val="clear" w:color="auto" w:fill="CCEEFF"/>
          </w:tcPr>
          <w:p>
            <w:pPr>
              <w:jc w:val="center"/>
              <w:ind w:left="201"/>
              <w:spacing w:after="0"/>
              <w:rPr>
                <w:sz w:val="20"/>
                <w:szCs w:val="20"/>
                <w:color w:val="auto"/>
              </w:rPr>
            </w:pPr>
            <w:r>
              <w:rPr>
                <w:rFonts w:ascii="Arial" w:cs="Arial" w:eastAsia="Arial" w:hAnsi="Arial"/>
                <w:sz w:val="20"/>
                <w:szCs w:val="20"/>
                <w:color w:val="auto"/>
                <w:w w:val="88"/>
              </w:rPr>
              <w:t>$11,493</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$16,407</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420" w:type="dxa"/>
            <w:vAlign w:val="bottom"/>
            <w:gridSpan w:val="2"/>
          </w:tcPr>
          <w:p>
            <w:pPr>
              <w:ind w:left="200"/>
              <w:spacing w:after="0"/>
              <w:rPr>
                <w:sz w:val="20"/>
                <w:szCs w:val="20"/>
                <w:color w:val="auto"/>
              </w:rPr>
            </w:pPr>
            <w:r>
              <w:rPr>
                <w:rFonts w:ascii="Arial" w:cs="Arial" w:eastAsia="Arial" w:hAnsi="Arial"/>
                <w:sz w:val="20"/>
                <w:szCs w:val="20"/>
                <w:color w:val="auto"/>
              </w:rPr>
              <w:t>Effect of foreign currency translation</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9</w:t>
            </w:r>
          </w:p>
        </w:tc>
        <w:tc>
          <w:tcPr>
            <w:tcW w:w="320" w:type="dxa"/>
            <w:vAlign w:val="bottom"/>
            <w:gridSpan w:val="2"/>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Balance – March 29, 2015</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7"/>
              </w:rPr>
              <w:t>4,923</w:t>
            </w:r>
          </w:p>
        </w:tc>
        <w:tc>
          <w:tcPr>
            <w:tcW w:w="1660" w:type="dxa"/>
            <w:vAlign w:val="bottom"/>
            <w:gridSpan w:val="4"/>
            <w:shd w:val="clear" w:color="auto" w:fill="CCEEFF"/>
          </w:tcPr>
          <w:p>
            <w:pPr>
              <w:jc w:val="center"/>
              <w:ind w:left="221"/>
              <w:spacing w:after="0"/>
              <w:rPr>
                <w:sz w:val="20"/>
                <w:szCs w:val="20"/>
                <w:color w:val="auto"/>
              </w:rPr>
            </w:pPr>
            <w:r>
              <w:rPr>
                <w:rFonts w:ascii="Arial" w:cs="Arial" w:eastAsia="Arial" w:hAnsi="Arial"/>
                <w:sz w:val="20"/>
                <w:szCs w:val="20"/>
                <w:color w:val="auto"/>
                <w:w w:val="88"/>
              </w:rPr>
              <w:t>11,493</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16,416</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420" w:type="dxa"/>
            <w:vAlign w:val="bottom"/>
            <w:gridSpan w:val="2"/>
          </w:tcPr>
          <w:p>
            <w:pPr>
              <w:ind w:left="200"/>
              <w:spacing w:after="0"/>
              <w:rPr>
                <w:sz w:val="20"/>
                <w:szCs w:val="20"/>
                <w:color w:val="auto"/>
              </w:rPr>
            </w:pPr>
            <w:r>
              <w:rPr>
                <w:rFonts w:ascii="Arial" w:cs="Arial" w:eastAsia="Arial" w:hAnsi="Arial"/>
                <w:sz w:val="20"/>
                <w:szCs w:val="20"/>
                <w:color w:val="auto"/>
              </w:rPr>
              <w:t>Effect of foreign currency translation</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-133</w:t>
            </w:r>
          </w:p>
        </w:tc>
        <w:tc>
          <w:tcPr>
            <w:tcW w:w="320" w:type="dxa"/>
            <w:vAlign w:val="bottom"/>
            <w:gridSpan w:val="2"/>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-133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Balance - December 31, 2015</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7"/>
              </w:rPr>
              <w:t>4,790</w:t>
            </w:r>
          </w:p>
        </w:tc>
        <w:tc>
          <w:tcPr>
            <w:tcW w:w="1660" w:type="dxa"/>
            <w:vAlign w:val="bottom"/>
            <w:gridSpan w:val="4"/>
            <w:shd w:val="clear" w:color="auto" w:fill="CCEEFF"/>
          </w:tcPr>
          <w:p>
            <w:pPr>
              <w:jc w:val="center"/>
              <w:ind w:left="221"/>
              <w:spacing w:after="0"/>
              <w:rPr>
                <w:sz w:val="20"/>
                <w:szCs w:val="20"/>
                <w:color w:val="auto"/>
              </w:rPr>
            </w:pPr>
            <w:r>
              <w:rPr>
                <w:rFonts w:ascii="Arial" w:cs="Arial" w:eastAsia="Arial" w:hAnsi="Arial"/>
                <w:sz w:val="20"/>
                <w:szCs w:val="20"/>
                <w:color w:val="auto"/>
                <w:w w:val="88"/>
              </w:rPr>
              <w:t>11,493</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16,283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20"/>
                <w:szCs w:val="20"/>
                <w:color w:val="auto"/>
              </w:rPr>
              <w:t>Acquisition of Accutronics</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7"/>
              </w:rPr>
              <w:t>4,407</w:t>
            </w:r>
          </w:p>
        </w:tc>
        <w:tc>
          <w:tcPr>
            <w:tcW w:w="1660" w:type="dxa"/>
            <w:vAlign w:val="bottom"/>
            <w:gridSpan w:val="4"/>
          </w:tcPr>
          <w:p>
            <w:pPr>
              <w:jc w:val="center"/>
              <w:ind w:left="221"/>
              <w:spacing w:after="0"/>
              <w:rPr>
                <w:sz w:val="20"/>
                <w:szCs w:val="20"/>
                <w:color w:val="auto"/>
              </w:rPr>
            </w:pPr>
            <w:r>
              <w:rPr>
                <w:rFonts w:ascii="Arial" w:cs="Arial" w:eastAsia="Arial" w:hAnsi="Arial"/>
                <w:sz w:val="20"/>
                <w:szCs w:val="20"/>
                <w:color w:val="auto"/>
                <w:w w:val="89"/>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91"/>
              </w:rPr>
              <w:t>4,407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Effect of foreign currency translation</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9"/>
              </w:rPr>
              <w:t>-106</w:t>
            </w:r>
          </w:p>
        </w:tc>
        <w:tc>
          <w:tcPr>
            <w:tcW w:w="1660" w:type="dxa"/>
            <w:vAlign w:val="bottom"/>
            <w:gridSpan w:val="4"/>
            <w:shd w:val="clear" w:color="auto" w:fill="CCEEFF"/>
          </w:tcPr>
          <w:p>
            <w:pPr>
              <w:jc w:val="center"/>
              <w:ind w:left="221"/>
              <w:spacing w:after="0"/>
              <w:rPr>
                <w:sz w:val="20"/>
                <w:szCs w:val="20"/>
                <w:color w:val="auto"/>
              </w:rPr>
            </w:pPr>
            <w:r>
              <w:rPr>
                <w:rFonts w:ascii="Arial" w:cs="Arial" w:eastAsia="Arial" w:hAnsi="Arial"/>
                <w:sz w:val="20"/>
                <w:szCs w:val="20"/>
                <w:color w:val="auto"/>
                <w:w w:val="89"/>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-106</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20"/>
                <w:szCs w:val="20"/>
                <w:color w:val="auto"/>
              </w:rPr>
              <w:t>Balance – March 27, 2016</w:t>
            </w: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20"/>
                <w:szCs w:val="20"/>
                <w:color w:val="auto"/>
                <w:w w:val="88"/>
              </w:rPr>
              <w:t>$9,091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20"/>
                <w:szCs w:val="20"/>
                <w:color w:val="auto"/>
                <w:w w:val="88"/>
              </w:rPr>
              <w:t>$11,493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91"/>
              </w:rPr>
              <w:t>$20,584</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ind w:left="360"/>
              <w:spacing w:after="0"/>
              <w:rPr>
                <w:sz w:val="20"/>
                <w:szCs w:val="20"/>
                <w:color w:val="auto"/>
              </w:rPr>
            </w:pPr>
            <w:r>
              <w:rPr>
                <w:rFonts w:ascii="Arial" w:cs="Arial" w:eastAsia="Arial" w:hAnsi="Arial"/>
                <w:sz w:val="20"/>
                <w:szCs w:val="20"/>
                <w:color w:val="auto"/>
              </w:rPr>
              <w:t>b. Intangible Assets</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6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80" w:type="dxa"/>
            <w:vAlign w:val="bottom"/>
            <w:gridSpan w:val="3"/>
          </w:tcPr>
          <w:p>
            <w:pPr>
              <w:ind w:left="240"/>
              <w:spacing w:after="0"/>
              <w:rPr>
                <w:sz w:val="20"/>
                <w:szCs w:val="20"/>
                <w:color w:val="auto"/>
              </w:rPr>
            </w:pPr>
            <w:r>
              <w:rPr>
                <w:rFonts w:ascii="Arial" w:cs="Arial" w:eastAsia="Arial" w:hAnsi="Arial"/>
                <w:sz w:val="20"/>
                <w:szCs w:val="20"/>
                <w:color w:val="auto"/>
              </w:rPr>
              <w:t>The composition of intangible assets was: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w w:val="91"/>
              </w:rPr>
              <w:t>at March 27, 2016</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3"/>
          </w:tcPr>
          <w:p>
            <w:pPr>
              <w:jc w:val="center"/>
              <w:ind w:right="240"/>
              <w:spacing w:after="0" w:line="200" w:lineRule="exact"/>
              <w:rPr>
                <w:sz w:val="20"/>
                <w:szCs w:val="20"/>
                <w:color w:val="auto"/>
              </w:rPr>
            </w:pPr>
            <w:r>
              <w:rPr>
                <w:rFonts w:ascii="Arial" w:cs="Arial" w:eastAsia="Arial" w:hAnsi="Arial"/>
                <w:sz w:val="20"/>
                <w:szCs w:val="20"/>
                <w:b w:val="1"/>
                <w:bCs w:val="1"/>
                <w:color w:val="auto"/>
                <w:w w:val="89"/>
              </w:rPr>
              <w:t>Accumulated</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ind w:left="480"/>
              <w:spacing w:after="0"/>
              <w:rPr>
                <w:sz w:val="20"/>
                <w:szCs w:val="20"/>
                <w:color w:val="auto"/>
              </w:rPr>
            </w:pPr>
            <w:r>
              <w:rPr>
                <w:rFonts w:ascii="Arial" w:cs="Arial" w:eastAsia="Arial" w:hAnsi="Arial"/>
                <w:sz w:val="20"/>
                <w:szCs w:val="20"/>
                <w:b w:val="1"/>
                <w:bCs w:val="1"/>
                <w:color w:val="auto"/>
              </w:rPr>
              <w:t>Cost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auto"/>
                <w:w w:val="91"/>
              </w:rPr>
              <w:t>Amortization</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2"/>
              </w:rPr>
              <w:t>Net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Trademarks</w:t>
            </w:r>
          </w:p>
        </w:tc>
        <w:tc>
          <w:tcPr>
            <w:tcW w:w="1340" w:type="dxa"/>
            <w:vAlign w:val="bottom"/>
            <w:gridSpan w:val="2"/>
            <w:shd w:val="clear" w:color="auto" w:fill="CCEEFF"/>
          </w:tcPr>
          <w:p>
            <w:pPr>
              <w:jc w:val="center"/>
              <w:ind w:left="141"/>
              <w:spacing w:after="0"/>
              <w:rPr>
                <w:sz w:val="20"/>
                <w:szCs w:val="20"/>
                <w:color w:val="auto"/>
              </w:rPr>
            </w:pPr>
            <w:r>
              <w:rPr>
                <w:rFonts w:ascii="Arial" w:cs="Arial" w:eastAsia="Arial" w:hAnsi="Arial"/>
                <w:sz w:val="20"/>
                <w:szCs w:val="20"/>
                <w:color w:val="auto"/>
                <w:w w:val="88"/>
              </w:rPr>
              <w:t>$3,413</w:t>
            </w:r>
          </w:p>
        </w:tc>
        <w:tc>
          <w:tcPr>
            <w:tcW w:w="1660" w:type="dxa"/>
            <w:vAlign w:val="bottom"/>
            <w:gridSpan w:val="4"/>
            <w:shd w:val="clear" w:color="auto" w:fill="CCEEFF"/>
          </w:tcPr>
          <w:p>
            <w:pPr>
              <w:jc w:val="center"/>
              <w:ind w:left="321"/>
              <w:spacing w:after="0"/>
              <w:rPr>
                <w:sz w:val="20"/>
                <w:szCs w:val="20"/>
                <w:color w:val="auto"/>
              </w:rPr>
            </w:pPr>
            <w:r>
              <w:rPr>
                <w:rFonts w:ascii="Arial" w:cs="Arial" w:eastAsia="Arial" w:hAnsi="Arial"/>
                <w:sz w:val="20"/>
                <w:szCs w:val="20"/>
                <w:color w:val="auto"/>
                <w:w w:val="86"/>
              </w:rPr>
              <w:t>$ 0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$3,413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20"/>
                <w:szCs w:val="20"/>
                <w:color w:val="auto"/>
              </w:rPr>
              <w:t>Patents and technology</w:t>
            </w:r>
          </w:p>
        </w:tc>
        <w:tc>
          <w:tcPr>
            <w:tcW w:w="1340" w:type="dxa"/>
            <w:vAlign w:val="bottom"/>
            <w:gridSpan w:val="2"/>
          </w:tcPr>
          <w:p>
            <w:pPr>
              <w:jc w:val="center"/>
              <w:ind w:left="121"/>
              <w:spacing w:after="0"/>
              <w:rPr>
                <w:sz w:val="20"/>
                <w:szCs w:val="20"/>
                <w:color w:val="auto"/>
              </w:rPr>
            </w:pPr>
            <w:r>
              <w:rPr>
                <w:rFonts w:ascii="Arial" w:cs="Arial" w:eastAsia="Arial" w:hAnsi="Arial"/>
                <w:sz w:val="20"/>
                <w:szCs w:val="20"/>
                <w:color w:val="auto"/>
                <w:w w:val="87"/>
              </w:rPr>
              <w:t>5,595</w:t>
            </w:r>
          </w:p>
        </w:tc>
        <w:tc>
          <w:tcPr>
            <w:tcW w:w="1660" w:type="dxa"/>
            <w:vAlign w:val="bottom"/>
            <w:gridSpan w:val="4"/>
          </w:tcPr>
          <w:p>
            <w:pPr>
              <w:jc w:val="center"/>
              <w:ind w:left="301"/>
              <w:spacing w:after="0"/>
              <w:rPr>
                <w:sz w:val="20"/>
                <w:szCs w:val="20"/>
                <w:color w:val="auto"/>
              </w:rPr>
            </w:pPr>
            <w:r>
              <w:rPr>
                <w:rFonts w:ascii="Arial" w:cs="Arial" w:eastAsia="Arial" w:hAnsi="Arial"/>
                <w:sz w:val="20"/>
                <w:szCs w:val="20"/>
                <w:color w:val="auto"/>
                <w:w w:val="91"/>
              </w:rPr>
              <w:t>(4,278)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91"/>
              </w:rPr>
              <w:t>1,317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Customer relationships</w:t>
            </w:r>
          </w:p>
        </w:tc>
        <w:tc>
          <w:tcPr>
            <w:tcW w:w="1340" w:type="dxa"/>
            <w:vAlign w:val="bottom"/>
            <w:gridSpan w:val="2"/>
            <w:shd w:val="clear" w:color="auto" w:fill="CCEEFF"/>
          </w:tcPr>
          <w:p>
            <w:pPr>
              <w:jc w:val="center"/>
              <w:ind w:left="121"/>
              <w:spacing w:after="0"/>
              <w:rPr>
                <w:sz w:val="20"/>
                <w:szCs w:val="20"/>
                <w:color w:val="auto"/>
              </w:rPr>
            </w:pPr>
            <w:r>
              <w:rPr>
                <w:rFonts w:ascii="Arial" w:cs="Arial" w:eastAsia="Arial" w:hAnsi="Arial"/>
                <w:sz w:val="20"/>
                <w:szCs w:val="20"/>
                <w:color w:val="auto"/>
                <w:w w:val="87"/>
              </w:rPr>
              <w:t>7,136</w:t>
            </w:r>
          </w:p>
        </w:tc>
        <w:tc>
          <w:tcPr>
            <w:tcW w:w="1660" w:type="dxa"/>
            <w:vAlign w:val="bottom"/>
            <w:gridSpan w:val="4"/>
            <w:shd w:val="clear" w:color="auto" w:fill="CCEEFF"/>
          </w:tcPr>
          <w:p>
            <w:pPr>
              <w:jc w:val="center"/>
              <w:ind w:left="301"/>
              <w:spacing w:after="0"/>
              <w:rPr>
                <w:sz w:val="20"/>
                <w:szCs w:val="20"/>
                <w:color w:val="auto"/>
              </w:rPr>
            </w:pPr>
            <w:r>
              <w:rPr>
                <w:rFonts w:ascii="Arial" w:cs="Arial" w:eastAsia="Arial" w:hAnsi="Arial"/>
                <w:sz w:val="20"/>
                <w:szCs w:val="20"/>
                <w:color w:val="auto"/>
                <w:w w:val="91"/>
              </w:rPr>
              <w:t>(3,810)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3,326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20"/>
                <w:szCs w:val="20"/>
                <w:color w:val="auto"/>
              </w:rPr>
              <w:t>Distributor relationships</w:t>
            </w:r>
          </w:p>
        </w:tc>
        <w:tc>
          <w:tcPr>
            <w:tcW w:w="1340" w:type="dxa"/>
            <w:vAlign w:val="bottom"/>
            <w:gridSpan w:val="2"/>
          </w:tcPr>
          <w:p>
            <w:pPr>
              <w:jc w:val="center"/>
              <w:ind w:left="141"/>
              <w:spacing w:after="0"/>
              <w:rPr>
                <w:sz w:val="20"/>
                <w:szCs w:val="20"/>
                <w:color w:val="auto"/>
              </w:rPr>
            </w:pPr>
            <w:r>
              <w:rPr>
                <w:rFonts w:ascii="Arial" w:cs="Arial" w:eastAsia="Arial" w:hAnsi="Arial"/>
                <w:sz w:val="20"/>
                <w:szCs w:val="20"/>
                <w:color w:val="auto"/>
                <w:w w:val="89"/>
              </w:rPr>
              <w:t>377</w:t>
            </w:r>
          </w:p>
        </w:tc>
        <w:tc>
          <w:tcPr>
            <w:tcW w:w="1660" w:type="dxa"/>
            <w:vAlign w:val="bottom"/>
            <w:gridSpan w:val="4"/>
          </w:tcPr>
          <w:p>
            <w:pPr>
              <w:jc w:val="center"/>
              <w:ind w:left="321"/>
              <w:spacing w:after="0"/>
              <w:rPr>
                <w:sz w:val="20"/>
                <w:szCs w:val="20"/>
                <w:color w:val="auto"/>
              </w:rPr>
            </w:pPr>
            <w:r>
              <w:rPr>
                <w:rFonts w:ascii="Arial" w:cs="Arial" w:eastAsia="Arial" w:hAnsi="Arial"/>
                <w:sz w:val="20"/>
                <w:szCs w:val="20"/>
                <w:color w:val="auto"/>
                <w:w w:val="94"/>
              </w:rPr>
              <w:t>(360)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Trade Name</w:t>
            </w:r>
          </w:p>
        </w:tc>
        <w:tc>
          <w:tcPr>
            <w:tcW w:w="1340" w:type="dxa"/>
            <w:vAlign w:val="bottom"/>
            <w:gridSpan w:val="2"/>
            <w:shd w:val="clear" w:color="auto" w:fill="CCEEFF"/>
          </w:tcPr>
          <w:p>
            <w:pPr>
              <w:jc w:val="center"/>
              <w:ind w:left="141"/>
              <w:spacing w:after="0"/>
              <w:rPr>
                <w:sz w:val="20"/>
                <w:szCs w:val="20"/>
                <w:color w:val="auto"/>
              </w:rPr>
            </w:pPr>
            <w:r>
              <w:rPr>
                <w:rFonts w:ascii="Arial" w:cs="Arial" w:eastAsia="Arial" w:hAnsi="Arial"/>
                <w:sz w:val="20"/>
                <w:szCs w:val="20"/>
                <w:color w:val="auto"/>
                <w:w w:val="89"/>
              </w:rPr>
              <w:t>412</w:t>
            </w:r>
          </w:p>
        </w:tc>
        <w:tc>
          <w:tcPr>
            <w:tcW w:w="1660" w:type="dxa"/>
            <w:vAlign w:val="bottom"/>
            <w:gridSpan w:val="4"/>
            <w:shd w:val="clear" w:color="auto" w:fill="CCEEFF"/>
          </w:tcPr>
          <w:p>
            <w:pPr>
              <w:jc w:val="center"/>
              <w:ind w:left="321"/>
              <w:spacing w:after="0"/>
              <w:rPr>
                <w:sz w:val="20"/>
                <w:szCs w:val="20"/>
                <w:color w:val="auto"/>
              </w:rPr>
            </w:pPr>
            <w:r>
              <w:rPr>
                <w:rFonts w:ascii="Arial" w:cs="Arial" w:eastAsia="Arial" w:hAnsi="Arial"/>
                <w:sz w:val="20"/>
                <w:szCs w:val="20"/>
                <w:color w:val="auto"/>
                <w:w w:val="89"/>
              </w:rPr>
              <w:t>(10)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402</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20"/>
                <w:szCs w:val="20"/>
                <w:color w:val="auto"/>
              </w:rPr>
              <w:t>Total intangible assets</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center"/>
              <w:ind w:left="1"/>
              <w:spacing w:after="0"/>
              <w:rPr>
                <w:sz w:val="20"/>
                <w:szCs w:val="20"/>
                <w:color w:val="auto"/>
              </w:rPr>
            </w:pPr>
            <w:r>
              <w:rPr>
                <w:rFonts w:ascii="Arial" w:cs="Arial" w:eastAsia="Arial" w:hAnsi="Arial"/>
                <w:sz w:val="20"/>
                <w:szCs w:val="20"/>
                <w:color w:val="auto"/>
                <w:w w:val="88"/>
              </w:rPr>
              <w:t>$16,933</w:t>
            </w:r>
          </w:p>
        </w:tc>
        <w:tc>
          <w:tcPr>
            <w:tcW w:w="120" w:type="dxa"/>
            <w:vAlign w:val="bottom"/>
            <w:tcBorders>
              <w:top w:val="single" w:sz="8" w:color="auto"/>
              <w:bottom w:val="single" w:sz="8" w:color="auto"/>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91"/>
              </w:rPr>
              <w:t>$(8,458)</w:t>
            </w:r>
          </w:p>
        </w:tc>
        <w:tc>
          <w:tcPr>
            <w:tcW w:w="4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8"/>
              </w:rPr>
              <w:t>$8,475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w w:val="88"/>
              </w:rPr>
              <w:t>at December 31, 2015</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3"/>
          </w:tcPr>
          <w:p>
            <w:pPr>
              <w:jc w:val="center"/>
              <w:ind w:right="240"/>
              <w:spacing w:after="0" w:line="200" w:lineRule="exact"/>
              <w:rPr>
                <w:sz w:val="20"/>
                <w:szCs w:val="20"/>
                <w:color w:val="auto"/>
              </w:rPr>
            </w:pPr>
            <w:r>
              <w:rPr>
                <w:rFonts w:ascii="Arial" w:cs="Arial" w:eastAsia="Arial" w:hAnsi="Arial"/>
                <w:sz w:val="20"/>
                <w:szCs w:val="20"/>
                <w:b w:val="1"/>
                <w:bCs w:val="1"/>
                <w:color w:val="auto"/>
                <w:w w:val="89"/>
              </w:rPr>
              <w:t>Accumulated</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ind w:left="480"/>
              <w:spacing w:after="0"/>
              <w:rPr>
                <w:sz w:val="20"/>
                <w:szCs w:val="20"/>
                <w:color w:val="auto"/>
              </w:rPr>
            </w:pPr>
            <w:r>
              <w:rPr>
                <w:rFonts w:ascii="Arial" w:cs="Arial" w:eastAsia="Arial" w:hAnsi="Arial"/>
                <w:sz w:val="20"/>
                <w:szCs w:val="20"/>
                <w:b w:val="1"/>
                <w:bCs w:val="1"/>
                <w:color w:val="auto"/>
              </w:rPr>
              <w:t>Cost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auto"/>
                <w:w w:val="91"/>
              </w:rPr>
              <w:t>Amortization</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2"/>
              </w:rPr>
              <w:t>Net</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Trademarks</w:t>
            </w:r>
          </w:p>
        </w:tc>
        <w:tc>
          <w:tcPr>
            <w:tcW w:w="1340" w:type="dxa"/>
            <w:vAlign w:val="bottom"/>
            <w:gridSpan w:val="2"/>
            <w:shd w:val="clear" w:color="auto" w:fill="CCEEFF"/>
          </w:tcPr>
          <w:p>
            <w:pPr>
              <w:jc w:val="center"/>
              <w:ind w:left="141"/>
              <w:spacing w:after="0"/>
              <w:rPr>
                <w:sz w:val="20"/>
                <w:szCs w:val="20"/>
                <w:color w:val="auto"/>
              </w:rPr>
            </w:pPr>
            <w:r>
              <w:rPr>
                <w:rFonts w:ascii="Arial" w:cs="Arial" w:eastAsia="Arial" w:hAnsi="Arial"/>
                <w:sz w:val="20"/>
                <w:szCs w:val="20"/>
                <w:color w:val="auto"/>
                <w:w w:val="86"/>
              </w:rPr>
              <w:t>$ 3,411</w:t>
            </w:r>
          </w:p>
        </w:tc>
        <w:tc>
          <w:tcPr>
            <w:tcW w:w="1660" w:type="dxa"/>
            <w:vAlign w:val="bottom"/>
            <w:gridSpan w:val="4"/>
            <w:shd w:val="clear" w:color="auto" w:fill="CCEEFF"/>
          </w:tcPr>
          <w:p>
            <w:pPr>
              <w:jc w:val="center"/>
              <w:ind w:left="321"/>
              <w:spacing w:after="0"/>
              <w:rPr>
                <w:sz w:val="20"/>
                <w:szCs w:val="20"/>
                <w:color w:val="auto"/>
              </w:rPr>
            </w:pPr>
            <w:r>
              <w:rPr>
                <w:rFonts w:ascii="Arial" w:cs="Arial" w:eastAsia="Arial" w:hAnsi="Arial"/>
                <w:sz w:val="20"/>
                <w:szCs w:val="20"/>
                <w:color w:val="auto"/>
                <w:w w:val="89"/>
              </w:rPr>
              <w:t>$0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$3,411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20"/>
                <w:szCs w:val="20"/>
                <w:color w:val="auto"/>
              </w:rPr>
              <w:t>Patents and technology</w:t>
            </w:r>
          </w:p>
        </w:tc>
        <w:tc>
          <w:tcPr>
            <w:tcW w:w="1340" w:type="dxa"/>
            <w:vAlign w:val="bottom"/>
            <w:gridSpan w:val="2"/>
          </w:tcPr>
          <w:p>
            <w:pPr>
              <w:jc w:val="center"/>
              <w:ind w:left="121"/>
              <w:spacing w:after="0"/>
              <w:rPr>
                <w:sz w:val="20"/>
                <w:szCs w:val="20"/>
                <w:color w:val="auto"/>
              </w:rPr>
            </w:pPr>
            <w:r>
              <w:rPr>
                <w:rFonts w:ascii="Arial" w:cs="Arial" w:eastAsia="Arial" w:hAnsi="Arial"/>
                <w:sz w:val="20"/>
                <w:szCs w:val="20"/>
                <w:color w:val="auto"/>
                <w:w w:val="87"/>
              </w:rPr>
              <w:t>4,482</w:t>
            </w:r>
          </w:p>
        </w:tc>
        <w:tc>
          <w:tcPr>
            <w:tcW w:w="1660" w:type="dxa"/>
            <w:vAlign w:val="bottom"/>
            <w:gridSpan w:val="4"/>
          </w:tcPr>
          <w:p>
            <w:pPr>
              <w:jc w:val="center"/>
              <w:ind w:left="301"/>
              <w:spacing w:after="0"/>
              <w:rPr>
                <w:sz w:val="20"/>
                <w:szCs w:val="20"/>
                <w:color w:val="auto"/>
              </w:rPr>
            </w:pPr>
            <w:r>
              <w:rPr>
                <w:rFonts w:ascii="Arial" w:cs="Arial" w:eastAsia="Arial" w:hAnsi="Arial"/>
                <w:sz w:val="20"/>
                <w:szCs w:val="20"/>
                <w:color w:val="auto"/>
                <w:w w:val="91"/>
              </w:rPr>
              <w:t>(4,217)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265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Customer relationships</w:t>
            </w:r>
          </w:p>
        </w:tc>
        <w:tc>
          <w:tcPr>
            <w:tcW w:w="1340" w:type="dxa"/>
            <w:vAlign w:val="bottom"/>
            <w:gridSpan w:val="2"/>
            <w:shd w:val="clear" w:color="auto" w:fill="CCEEFF"/>
          </w:tcPr>
          <w:p>
            <w:pPr>
              <w:jc w:val="center"/>
              <w:ind w:left="121"/>
              <w:spacing w:after="0"/>
              <w:rPr>
                <w:sz w:val="20"/>
                <w:szCs w:val="20"/>
                <w:color w:val="auto"/>
              </w:rPr>
            </w:pPr>
            <w:r>
              <w:rPr>
                <w:rFonts w:ascii="Arial" w:cs="Arial" w:eastAsia="Arial" w:hAnsi="Arial"/>
                <w:sz w:val="20"/>
                <w:szCs w:val="20"/>
                <w:color w:val="auto"/>
                <w:w w:val="87"/>
              </w:rPr>
              <w:t>3,971</w:t>
            </w:r>
          </w:p>
        </w:tc>
        <w:tc>
          <w:tcPr>
            <w:tcW w:w="1660" w:type="dxa"/>
            <w:vAlign w:val="bottom"/>
            <w:gridSpan w:val="4"/>
            <w:shd w:val="clear" w:color="auto" w:fill="CCEEFF"/>
          </w:tcPr>
          <w:p>
            <w:pPr>
              <w:jc w:val="center"/>
              <w:ind w:left="301"/>
              <w:spacing w:after="0"/>
              <w:rPr>
                <w:sz w:val="20"/>
                <w:szCs w:val="20"/>
                <w:color w:val="auto"/>
              </w:rPr>
            </w:pPr>
            <w:r>
              <w:rPr>
                <w:rFonts w:ascii="Arial" w:cs="Arial" w:eastAsia="Arial" w:hAnsi="Arial"/>
                <w:sz w:val="20"/>
                <w:szCs w:val="20"/>
                <w:color w:val="auto"/>
                <w:w w:val="91"/>
              </w:rPr>
              <w:t>(3,716)</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255</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20"/>
                <w:szCs w:val="20"/>
                <w:color w:val="auto"/>
              </w:rPr>
              <w:t>Distributor relationships</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ind w:left="21"/>
              <w:spacing w:after="0"/>
              <w:rPr>
                <w:sz w:val="20"/>
                <w:szCs w:val="20"/>
                <w:color w:val="auto"/>
              </w:rPr>
            </w:pPr>
            <w:r>
              <w:rPr>
                <w:rFonts w:ascii="Arial" w:cs="Arial" w:eastAsia="Arial" w:hAnsi="Arial"/>
                <w:sz w:val="20"/>
                <w:szCs w:val="20"/>
                <w:color w:val="auto"/>
                <w:w w:val="89"/>
              </w:rPr>
              <w:t>370</w:t>
            </w:r>
          </w:p>
        </w:tc>
        <w:tc>
          <w:tcPr>
            <w:tcW w:w="120" w:type="dxa"/>
            <w:vAlign w:val="bottom"/>
            <w:tcBorders>
              <w:bottom w:val="single" w:sz="8" w:color="auto"/>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(355)</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15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Total intangible assets</w:t>
            </w:r>
          </w:p>
        </w:tc>
        <w:tc>
          <w:tcPr>
            <w:tcW w:w="1340" w:type="dxa"/>
            <w:vAlign w:val="bottom"/>
            <w:gridSpan w:val="2"/>
            <w:shd w:val="clear" w:color="auto" w:fill="CCEEFF"/>
          </w:tcPr>
          <w:p>
            <w:pPr>
              <w:jc w:val="center"/>
              <w:ind w:left="121"/>
              <w:spacing w:after="0"/>
              <w:rPr>
                <w:sz w:val="20"/>
                <w:szCs w:val="20"/>
                <w:color w:val="auto"/>
              </w:rPr>
            </w:pPr>
            <w:r>
              <w:rPr>
                <w:rFonts w:ascii="Arial" w:cs="Arial" w:eastAsia="Arial" w:hAnsi="Arial"/>
                <w:sz w:val="20"/>
                <w:szCs w:val="20"/>
                <w:color w:val="auto"/>
                <w:w w:val="88"/>
              </w:rPr>
              <w:t>$12,234</w:t>
            </w:r>
          </w:p>
        </w:tc>
        <w:tc>
          <w:tcPr>
            <w:tcW w:w="1660" w:type="dxa"/>
            <w:vAlign w:val="bottom"/>
            <w:gridSpan w:val="4"/>
            <w:shd w:val="clear" w:color="auto" w:fill="CCEEFF"/>
          </w:tcPr>
          <w:p>
            <w:pPr>
              <w:jc w:val="center"/>
              <w:ind w:left="321"/>
              <w:spacing w:after="0"/>
              <w:rPr>
                <w:sz w:val="20"/>
                <w:szCs w:val="20"/>
                <w:color w:val="auto"/>
              </w:rPr>
            </w:pPr>
            <w:r>
              <w:rPr>
                <w:rFonts w:ascii="Arial" w:cs="Arial" w:eastAsia="Arial" w:hAnsi="Arial"/>
                <w:sz w:val="20"/>
                <w:szCs w:val="20"/>
                <w:color w:val="auto"/>
                <w:w w:val="91"/>
              </w:rPr>
              <w:t>$(8,288)</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$3,946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9"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Amortization expense for intangible assets was $137 and $60 for the three-month periods ended March 27, 2016 and March 29, 2015, respectively. Amortization included in research and development expenses was $51 and $32 for the three-month periods ended March 27, 2016 and March 29, 2015, respectively. Amortization included in selling, general and administrative expenses was $86 and $28 for the three-month periods ended March 27, 2016 and March 29, 2015, respectively.</w:t>
      </w:r>
    </w:p>
    <w:p>
      <w:pPr>
        <w:spacing w:after="0" w:line="192"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The change in the cost value of total intangible assets from December 31, 2015 to March 27, 2016 is a result of the acquisition of Accutronics and the effect of foreign currency translations.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6"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REVOLVING CREDIT AGREEMENT</w:t>
      </w:r>
    </w:p>
    <w:p>
      <w:pPr>
        <w:spacing w:after="0" w:line="216" w:lineRule="exact"/>
        <w:rPr>
          <w:sz w:val="20"/>
          <w:szCs w:val="20"/>
          <w:color w:val="auto"/>
        </w:rPr>
      </w:pPr>
    </w:p>
    <w:p>
      <w:pPr>
        <w:jc w:val="both"/>
        <w:ind w:firstLine="342"/>
        <w:spacing w:after="0" w:line="282" w:lineRule="auto"/>
        <w:rPr>
          <w:sz w:val="20"/>
          <w:szCs w:val="20"/>
          <w:color w:val="auto"/>
        </w:rPr>
      </w:pPr>
      <w:r>
        <w:rPr>
          <w:rFonts w:ascii="Arial" w:cs="Arial" w:eastAsia="Arial" w:hAnsi="Arial"/>
          <w:sz w:val="18"/>
          <w:szCs w:val="18"/>
          <w:color w:val="auto"/>
        </w:rPr>
        <w:t>We have financing through a Revolving Credit, Guaranty and Security Agreement (the “Credit Agreement”) and related security agreements with PNC Bank, National Association (“PNC Bank”), which provides a $20,000 secured asset-based revolving credit facility that includes a $1,000 letter of credit sub-facility (the “Credit Facility”). The Credit Agreement provides that the Credit Facility may be increased with PNC Bank’s concurrence to an amount not to exceed $35,000 prior to the last six months of the term and expires on May 24, 2017.</w:t>
      </w:r>
    </w:p>
    <w:p>
      <w:pPr>
        <w:spacing w:after="0" w:line="162" w:lineRule="exact"/>
        <w:rPr>
          <w:sz w:val="20"/>
          <w:szCs w:val="20"/>
          <w:color w:val="auto"/>
        </w:rPr>
      </w:pPr>
    </w:p>
    <w:p>
      <w:pPr>
        <w:jc w:val="both"/>
        <w:ind w:firstLine="342"/>
        <w:spacing w:after="0" w:line="263" w:lineRule="auto"/>
        <w:rPr>
          <w:sz w:val="20"/>
          <w:szCs w:val="20"/>
          <w:color w:val="auto"/>
        </w:rPr>
      </w:pPr>
      <w:r>
        <w:rPr>
          <w:rFonts w:ascii="Arial" w:cs="Arial" w:eastAsia="Arial" w:hAnsi="Arial"/>
          <w:sz w:val="19"/>
          <w:szCs w:val="19"/>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The applicable interest rate was 2.43% at March 27, 2016. We pay a quarterly fee on the Credit Facility’s unused availability at 0.375% per annum.</w:t>
      </w:r>
    </w:p>
    <w:p>
      <w:pPr>
        <w:spacing w:after="0" w:line="177"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As of March 27, 2016, we had approximately $11,589 of borrowing capacity under our $20,000 Credit Facility with PNC Bank, and we had borrowings of $1,156 under the Credit Facility. At March 29, 2015, the Company had no borrowings or outstanding letters of credit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SHAREHOLDERS’ EQUITY</w:t>
      </w:r>
    </w:p>
    <w:p>
      <w:pPr>
        <w:spacing w:after="0" w:line="215" w:lineRule="exact"/>
        <w:rPr>
          <w:rFonts w:ascii="Arial" w:cs="Arial" w:eastAsia="Arial" w:hAnsi="Arial"/>
          <w:sz w:val="20"/>
          <w:szCs w:val="20"/>
          <w:b w:val="1"/>
          <w:bCs w:val="1"/>
          <w:i w:val="1"/>
          <w:iCs w:val="1"/>
          <w:color w:val="auto"/>
        </w:rPr>
      </w:pPr>
    </w:p>
    <w:p>
      <w:pPr>
        <w:ind w:left="36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We recorded non-cash stock compensation expense in each period as follows:</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680" w:type="dxa"/>
            <w:vAlign w:val="bottom"/>
          </w:tcPr>
          <w:p>
            <w:pPr>
              <w:spacing w:after="0"/>
              <w:rPr>
                <w:sz w:val="19"/>
                <w:szCs w:val="19"/>
                <w:color w:val="auto"/>
              </w:rPr>
            </w:pPr>
          </w:p>
        </w:tc>
        <w:tc>
          <w:tcPr>
            <w:tcW w:w="3380" w:type="dxa"/>
            <w:vAlign w:val="bottom"/>
            <w:gridSpan w:val="3"/>
          </w:tcPr>
          <w:p>
            <w:pPr>
              <w:ind w:left="520"/>
              <w:spacing w:after="0"/>
              <w:rPr>
                <w:sz w:val="20"/>
                <w:szCs w:val="20"/>
                <w:color w:val="auto"/>
              </w:rPr>
            </w:pPr>
            <w:r>
              <w:rPr>
                <w:rFonts w:ascii="Arial" w:cs="Arial" w:eastAsia="Arial" w:hAnsi="Arial"/>
                <w:sz w:val="20"/>
                <w:szCs w:val="20"/>
                <w:b w:val="1"/>
                <w:bCs w:val="1"/>
                <w:color w:val="auto"/>
              </w:rPr>
              <w:t>Three month periods ended</w:t>
            </w:r>
          </w:p>
        </w:tc>
      </w:tr>
      <w:tr>
        <w:trPr>
          <w:trHeight w:val="230"/>
        </w:trPr>
        <w:tc>
          <w:tcPr>
            <w:tcW w:w="7680" w:type="dxa"/>
            <w:vAlign w:val="bottom"/>
          </w:tcPr>
          <w:p>
            <w:pPr>
              <w:spacing w:after="0"/>
              <w:rPr>
                <w:sz w:val="19"/>
                <w:szCs w:val="19"/>
                <w:color w:val="auto"/>
              </w:rPr>
            </w:pPr>
          </w:p>
        </w:tc>
        <w:tc>
          <w:tcPr>
            <w:tcW w:w="1480" w:type="dxa"/>
            <w:vAlign w:val="bottom"/>
          </w:tcPr>
          <w:p>
            <w:pPr>
              <w:ind w:left="300"/>
              <w:spacing w:after="0"/>
              <w:rPr>
                <w:sz w:val="20"/>
                <w:szCs w:val="20"/>
                <w:color w:val="auto"/>
              </w:rPr>
            </w:pPr>
            <w:r>
              <w:rPr>
                <w:rFonts w:ascii="Arial" w:cs="Arial" w:eastAsia="Arial" w:hAnsi="Arial"/>
                <w:sz w:val="20"/>
                <w:szCs w:val="20"/>
                <w:b w:val="1"/>
                <w:bCs w:val="1"/>
                <w:color w:val="auto"/>
              </w:rPr>
              <w:t>March 27,</w:t>
            </w:r>
          </w:p>
        </w:tc>
        <w:tc>
          <w:tcPr>
            <w:tcW w:w="4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20"/>
                <w:szCs w:val="20"/>
                <w:b w:val="1"/>
                <w:bCs w:val="1"/>
                <w:color w:val="auto"/>
              </w:rPr>
              <w:t>March 29,</w:t>
            </w:r>
          </w:p>
        </w:tc>
      </w:tr>
      <w:tr>
        <w:trPr>
          <w:trHeight w:val="252"/>
        </w:trPr>
        <w:tc>
          <w:tcPr>
            <w:tcW w:w="76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89"/>
              </w:rPr>
              <w:t>2016</w:t>
            </w:r>
          </w:p>
        </w:tc>
        <w:tc>
          <w:tcPr>
            <w:tcW w:w="1900" w:type="dxa"/>
            <w:vAlign w:val="bottom"/>
            <w:gridSpan w:val="2"/>
          </w:tcPr>
          <w:p>
            <w:pPr>
              <w:jc w:val="center"/>
              <w:ind w:left="321"/>
              <w:spacing w:after="0"/>
              <w:rPr>
                <w:sz w:val="20"/>
                <w:szCs w:val="20"/>
                <w:color w:val="auto"/>
              </w:rPr>
            </w:pPr>
            <w:r>
              <w:rPr>
                <w:rFonts w:ascii="Arial" w:cs="Arial" w:eastAsia="Arial" w:hAnsi="Arial"/>
                <w:sz w:val="20"/>
                <w:szCs w:val="20"/>
                <w:b w:val="1"/>
                <w:bCs w:val="1"/>
                <w:color w:val="auto"/>
                <w:w w:val="89"/>
              </w:rPr>
              <w:t>2015</w:t>
            </w:r>
          </w:p>
        </w:tc>
      </w:tr>
      <w:tr>
        <w:trPr>
          <w:trHeight w:val="223"/>
        </w:trPr>
        <w:tc>
          <w:tcPr>
            <w:tcW w:w="76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Stock options</w:t>
            </w:r>
          </w:p>
        </w:tc>
        <w:tc>
          <w:tcPr>
            <w:tcW w:w="14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$170</w:t>
            </w:r>
          </w:p>
        </w:tc>
        <w:tc>
          <w:tcPr>
            <w:tcW w:w="4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$120</w:t>
            </w:r>
          </w:p>
        </w:tc>
      </w:tr>
      <w:tr>
        <w:trPr>
          <w:trHeight w:val="230"/>
        </w:trPr>
        <w:tc>
          <w:tcPr>
            <w:tcW w:w="7680" w:type="dxa"/>
            <w:vAlign w:val="bottom"/>
          </w:tcPr>
          <w:p>
            <w:pPr>
              <w:spacing w:after="0"/>
              <w:rPr>
                <w:sz w:val="20"/>
                <w:szCs w:val="20"/>
                <w:color w:val="auto"/>
              </w:rPr>
            </w:pPr>
            <w:r>
              <w:rPr>
                <w:rFonts w:ascii="Arial" w:cs="Arial" w:eastAsia="Arial" w:hAnsi="Arial"/>
                <w:sz w:val="20"/>
                <w:szCs w:val="20"/>
                <w:color w:val="auto"/>
              </w:rPr>
              <w:t>Restricted stock grants:</w:t>
            </w: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80" w:type="dxa"/>
            <w:vAlign w:val="bottom"/>
            <w:shd w:val="clear" w:color="auto" w:fill="CCEEFF"/>
          </w:tcPr>
          <w:p>
            <w:pPr>
              <w:jc w:val="center"/>
              <w:ind w:right="6381"/>
              <w:spacing w:after="0"/>
              <w:rPr>
                <w:sz w:val="20"/>
                <w:szCs w:val="20"/>
                <w:color w:val="auto"/>
              </w:rPr>
            </w:pPr>
            <w:r>
              <w:rPr>
                <w:rFonts w:ascii="Arial" w:cs="Arial" w:eastAsia="Arial" w:hAnsi="Arial"/>
                <w:sz w:val="20"/>
                <w:szCs w:val="20"/>
                <w:color w:val="auto"/>
                <w:w w:val="89"/>
              </w:rPr>
              <w:t>Employee</w:t>
            </w: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11</w:t>
            </w:r>
          </w:p>
        </w:tc>
        <w:tc>
          <w:tcPr>
            <w:tcW w:w="1900" w:type="dxa"/>
            <w:vAlign w:val="bottom"/>
            <w:gridSpan w:val="2"/>
            <w:shd w:val="clear" w:color="auto" w:fill="CCEEFF"/>
          </w:tcPr>
          <w:p>
            <w:pPr>
              <w:jc w:val="center"/>
              <w:ind w:left="321"/>
              <w:spacing w:after="0"/>
              <w:rPr>
                <w:sz w:val="20"/>
                <w:szCs w:val="20"/>
                <w:color w:val="auto"/>
              </w:rPr>
            </w:pPr>
            <w:r>
              <w:rPr>
                <w:rFonts w:ascii="Arial" w:cs="Arial" w:eastAsia="Arial" w:hAnsi="Arial"/>
                <w:sz w:val="20"/>
                <w:szCs w:val="20"/>
                <w:color w:val="auto"/>
                <w:w w:val="89"/>
              </w:rPr>
              <w:t>24</w:t>
            </w:r>
          </w:p>
        </w:tc>
      </w:tr>
      <w:tr>
        <w:trPr>
          <w:trHeight w:val="237"/>
        </w:trPr>
        <w:tc>
          <w:tcPr>
            <w:tcW w:w="7680" w:type="dxa"/>
            <w:vAlign w:val="bottom"/>
          </w:tcPr>
          <w:p>
            <w:pPr>
              <w:jc w:val="center"/>
              <w:ind w:right="6381"/>
              <w:spacing w:after="0"/>
              <w:rPr>
                <w:sz w:val="20"/>
                <w:szCs w:val="20"/>
                <w:color w:val="auto"/>
              </w:rPr>
            </w:pPr>
            <w:r>
              <w:rPr>
                <w:rFonts w:ascii="Arial" w:cs="Arial" w:eastAsia="Arial" w:hAnsi="Arial"/>
                <w:sz w:val="20"/>
                <w:szCs w:val="20"/>
                <w:color w:val="auto"/>
                <w:w w:val="89"/>
              </w:rPr>
              <w:t>Total</w:t>
            </w: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$181</w:t>
            </w:r>
          </w:p>
        </w:tc>
        <w:tc>
          <w:tcPr>
            <w:tcW w:w="42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$144</w:t>
            </w:r>
          </w:p>
        </w:tc>
      </w:tr>
      <w:tr>
        <w:trPr>
          <w:trHeight w:val="20"/>
        </w:trPr>
        <w:tc>
          <w:tcPr>
            <w:tcW w:w="7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These are more fully discussed as follows:</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Stock Options</w:t>
      </w:r>
    </w:p>
    <w:p>
      <w:pPr>
        <w:spacing w:after="0" w:line="216" w:lineRule="exact"/>
        <w:rPr>
          <w:sz w:val="20"/>
          <w:szCs w:val="20"/>
          <w:color w:val="auto"/>
        </w:rPr>
      </w:pPr>
    </w:p>
    <w:p>
      <w:pPr>
        <w:jc w:val="both"/>
        <w:ind w:firstLine="342"/>
        <w:spacing w:after="0" w:line="291"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March 27, 2016, there was $509 of total unrecognized compensation cost related to outstanding stock options, which is expected to be recognized over a weighted average period of 3.4 years.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summarizes stock option activity for the first quarter of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1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1"/>
              </w:rPr>
              <w:t>Weighted</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8"/>
              </w:rPr>
              <w:t>Weighted</w:t>
            </w:r>
          </w:p>
        </w:tc>
        <w:tc>
          <w:tcPr>
            <w:tcW w:w="14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8"/>
              </w:rPr>
              <w:t>Average</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6"/>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1"/>
              </w:rPr>
              <w:t>Remaining</w:t>
            </w:r>
          </w:p>
        </w:tc>
        <w:tc>
          <w:tcPr>
            <w:tcW w:w="116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6"/>
              </w:rPr>
              <w:t>Aggregate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20"/>
                <w:szCs w:val="20"/>
                <w:b w:val="1"/>
                <w:bCs w:val="1"/>
                <w:color w:val="auto"/>
              </w:rPr>
              <w:t>Number of</w:t>
            </w:r>
          </w:p>
        </w:tc>
        <w:tc>
          <w:tcPr>
            <w:tcW w:w="22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7"/>
              </w:rPr>
              <w:t>Exercise</w:t>
            </w:r>
          </w:p>
        </w:tc>
        <w:tc>
          <w:tcPr>
            <w:tcW w:w="14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1"/>
              </w:rPr>
              <w:t>Contractual</w:t>
            </w:r>
          </w:p>
        </w:tc>
        <w:tc>
          <w:tcPr>
            <w:tcW w:w="11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2"/>
              </w:rPr>
              <w:t>Intrinsic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320" w:type="dxa"/>
            <w:vAlign w:val="bottom"/>
          </w:tcPr>
          <w:p>
            <w:pPr>
              <w:jc w:val="right"/>
              <w:ind w:right="281"/>
              <w:spacing w:after="0"/>
              <w:rPr>
                <w:sz w:val="20"/>
                <w:szCs w:val="20"/>
                <w:color w:val="auto"/>
              </w:rPr>
            </w:pPr>
            <w:r>
              <w:rPr>
                <w:rFonts w:ascii="Arial" w:cs="Arial" w:eastAsia="Arial" w:hAnsi="Arial"/>
                <w:sz w:val="20"/>
                <w:szCs w:val="20"/>
                <w:b w:val="1"/>
                <w:bCs w:val="1"/>
                <w:color w:val="auto"/>
              </w:rPr>
              <w:t>Shares</w:t>
            </w:r>
          </w:p>
        </w:tc>
        <w:tc>
          <w:tcPr>
            <w:tcW w:w="2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9"/>
              </w:rPr>
              <w:t>Price</w:t>
            </w:r>
          </w:p>
        </w:tc>
        <w:tc>
          <w:tcPr>
            <w:tcW w:w="140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1"/>
              </w:rPr>
              <w:t>Term (years)</w:t>
            </w:r>
          </w:p>
        </w:tc>
        <w:tc>
          <w:tcPr>
            <w:tcW w:w="116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60" w:type="dxa"/>
            <w:vAlign w:val="bottom"/>
            <w:tcBorders>
              <w:top w:val="single" w:sz="8" w:color="CCEEFF"/>
            </w:tcBorders>
            <w:gridSpan w:val="2"/>
            <w:shd w:val="clear" w:color="auto" w:fill="CCEEFF"/>
          </w:tcPr>
          <w:p>
            <w:pPr>
              <w:spacing w:after="0" w:line="223" w:lineRule="exact"/>
              <w:rPr>
                <w:sz w:val="20"/>
                <w:szCs w:val="20"/>
                <w:color w:val="auto"/>
              </w:rPr>
            </w:pPr>
            <w:r>
              <w:rPr>
                <w:rFonts w:ascii="Arial" w:cs="Arial" w:eastAsia="Arial" w:hAnsi="Arial"/>
                <w:sz w:val="20"/>
                <w:szCs w:val="20"/>
                <w:color w:val="auto"/>
              </w:rPr>
              <w:t>Outstanding at January 1, 2016</w:t>
            </w:r>
          </w:p>
        </w:tc>
        <w:tc>
          <w:tcPr>
            <w:tcW w:w="132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2,257,969</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281"/>
              <w:spacing w:after="0" w:line="223" w:lineRule="exact"/>
              <w:rPr>
                <w:sz w:val="20"/>
                <w:szCs w:val="20"/>
                <w:color w:val="auto"/>
              </w:rPr>
            </w:pPr>
            <w:r>
              <w:rPr>
                <w:rFonts w:ascii="Arial" w:cs="Arial" w:eastAsia="Arial" w:hAnsi="Arial"/>
                <w:sz w:val="20"/>
                <w:szCs w:val="20"/>
                <w:color w:val="auto"/>
              </w:rPr>
              <w:t>$6.30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20"/>
                <w:szCs w:val="20"/>
                <w:color w:val="auto"/>
              </w:rPr>
              <w:t>Granted</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75,000</w:t>
            </w:r>
          </w:p>
        </w:tc>
        <w:tc>
          <w:tcPr>
            <w:tcW w:w="1420" w:type="dxa"/>
            <w:vAlign w:val="bottom"/>
            <w:gridSpan w:val="2"/>
          </w:tcPr>
          <w:p>
            <w:pPr>
              <w:jc w:val="right"/>
              <w:ind w:right="281"/>
              <w:spacing w:after="0"/>
              <w:rPr>
                <w:sz w:val="20"/>
                <w:szCs w:val="20"/>
                <w:color w:val="auto"/>
              </w:rPr>
            </w:pPr>
            <w:r>
              <w:rPr>
                <w:rFonts w:ascii="Arial" w:cs="Arial" w:eastAsia="Arial" w:hAnsi="Arial"/>
                <w:sz w:val="20"/>
                <w:szCs w:val="20"/>
                <w:color w:val="auto"/>
              </w:rPr>
              <w:t>$6.24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(4,084)</w:t>
            </w:r>
          </w:p>
        </w:tc>
        <w:tc>
          <w:tcPr>
            <w:tcW w:w="1420" w:type="dxa"/>
            <w:vAlign w:val="bottom"/>
            <w:gridSpan w:val="2"/>
            <w:shd w:val="clear" w:color="auto" w:fill="CCEEFF"/>
          </w:tcPr>
          <w:p>
            <w:pPr>
              <w:jc w:val="right"/>
              <w:ind w:right="281"/>
              <w:spacing w:after="0"/>
              <w:rPr>
                <w:sz w:val="20"/>
                <w:szCs w:val="20"/>
                <w:color w:val="auto"/>
              </w:rPr>
            </w:pPr>
            <w:r>
              <w:rPr>
                <w:rFonts w:ascii="Arial" w:cs="Arial" w:eastAsia="Arial" w:hAnsi="Arial"/>
                <w:sz w:val="20"/>
                <w:szCs w:val="20"/>
                <w:color w:val="auto"/>
              </w:rPr>
              <w:t>3.51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20"/>
                <w:szCs w:val="20"/>
                <w:color w:val="auto"/>
              </w:rPr>
              <w:t>Forfeited or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(34,905)</w:t>
            </w:r>
          </w:p>
        </w:tc>
        <w:tc>
          <w:tcPr>
            <w:tcW w:w="1420" w:type="dxa"/>
            <w:vAlign w:val="bottom"/>
            <w:gridSpan w:val="2"/>
          </w:tcPr>
          <w:p>
            <w:pPr>
              <w:jc w:val="right"/>
              <w:ind w:right="281"/>
              <w:spacing w:after="0"/>
              <w:rPr>
                <w:sz w:val="20"/>
                <w:szCs w:val="20"/>
                <w:color w:val="auto"/>
              </w:rPr>
            </w:pPr>
            <w:r>
              <w:rPr>
                <w:rFonts w:ascii="Arial" w:cs="Arial" w:eastAsia="Arial" w:hAnsi="Arial"/>
                <w:sz w:val="20"/>
                <w:szCs w:val="20"/>
                <w:color w:val="auto"/>
              </w:rPr>
              <w:t>11.38</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Outstanding at March 27, 2016</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2,293,980</w:t>
            </w:r>
          </w:p>
        </w:tc>
        <w:tc>
          <w:tcPr>
            <w:tcW w:w="1420" w:type="dxa"/>
            <w:vAlign w:val="bottom"/>
            <w:gridSpan w:val="2"/>
            <w:shd w:val="clear" w:color="auto" w:fill="CCEEFF"/>
          </w:tcPr>
          <w:p>
            <w:pPr>
              <w:jc w:val="right"/>
              <w:ind w:right="281"/>
              <w:spacing w:after="0"/>
              <w:rPr>
                <w:sz w:val="20"/>
                <w:szCs w:val="20"/>
                <w:color w:val="auto"/>
              </w:rPr>
            </w:pPr>
            <w:r>
              <w:rPr>
                <w:rFonts w:ascii="Arial" w:cs="Arial" w:eastAsia="Arial" w:hAnsi="Arial"/>
                <w:sz w:val="20"/>
                <w:szCs w:val="20"/>
                <w:color w:val="auto"/>
              </w:rPr>
              <w:t>6.22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7"/>
              </w:rPr>
              <w:t>3.52</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1"/>
              </w:rPr>
              <w:t>$1,225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Arial" w:cs="Arial" w:eastAsia="Arial" w:hAnsi="Arial"/>
                <w:sz w:val="20"/>
                <w:szCs w:val="20"/>
                <w:color w:val="auto"/>
              </w:rPr>
              <w:t>Vested and expected to vest at March 27, 2016</w:t>
            </w:r>
          </w:p>
        </w:tc>
        <w:tc>
          <w:tcPr>
            <w:tcW w:w="1320" w:type="dxa"/>
            <w:vAlign w:val="bottom"/>
            <w:tcBorders>
              <w:bottom w:val="single" w:sz="8" w:color="auto"/>
            </w:tcBorders>
          </w:tcPr>
          <w:p>
            <w:pPr>
              <w:spacing w:after="0" w:line="20" w:lineRule="exact"/>
              <w:rPr>
                <w:sz w:val="1"/>
                <w:szCs w:val="1"/>
                <w:color w:val="auto"/>
              </w:rPr>
            </w:pPr>
          </w:p>
        </w:tc>
        <w:tc>
          <w:tcPr>
            <w:tcW w:w="1420" w:type="dxa"/>
            <w:vAlign w:val="bottom"/>
            <w:gridSpan w:val="2"/>
            <w:vMerge w:val="restart"/>
          </w:tcPr>
          <w:p>
            <w:pPr>
              <w:jc w:val="right"/>
              <w:ind w:right="281"/>
              <w:spacing w:after="0"/>
              <w:rPr>
                <w:sz w:val="20"/>
                <w:szCs w:val="20"/>
                <w:color w:val="auto"/>
              </w:rPr>
            </w:pPr>
            <w:r>
              <w:rPr>
                <w:rFonts w:ascii="Arial" w:cs="Arial" w:eastAsia="Arial" w:hAnsi="Arial"/>
                <w:sz w:val="20"/>
                <w:szCs w:val="20"/>
                <w:color w:val="auto"/>
              </w:rPr>
              <w:t>6.31</w:t>
            </w:r>
          </w:p>
        </w:tc>
        <w:tc>
          <w:tcPr>
            <w:tcW w:w="100" w:type="dxa"/>
            <w:vAlign w:val="bottom"/>
          </w:tcPr>
          <w:p>
            <w:pPr>
              <w:spacing w:after="0" w:line="20" w:lineRule="exact"/>
              <w:rPr>
                <w:sz w:val="1"/>
                <w:szCs w:val="1"/>
                <w:color w:val="auto"/>
              </w:rPr>
            </w:pPr>
          </w:p>
        </w:tc>
        <w:tc>
          <w:tcPr>
            <w:tcW w:w="1300" w:type="dxa"/>
            <w:vAlign w:val="bottom"/>
            <w:vMerge w:val="restart"/>
          </w:tcPr>
          <w:p>
            <w:pPr>
              <w:jc w:val="center"/>
              <w:spacing w:after="0"/>
              <w:rPr>
                <w:sz w:val="20"/>
                <w:szCs w:val="20"/>
                <w:color w:val="auto"/>
              </w:rPr>
            </w:pPr>
            <w:r>
              <w:rPr>
                <w:rFonts w:ascii="Arial" w:cs="Arial" w:eastAsia="Arial" w:hAnsi="Arial"/>
                <w:sz w:val="20"/>
                <w:szCs w:val="20"/>
                <w:color w:val="auto"/>
                <w:w w:val="87"/>
              </w:rPr>
              <w:t>3.33</w:t>
            </w: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20"/>
                <w:szCs w:val="20"/>
                <w:color w:val="auto"/>
                <w:w w:val="91"/>
              </w:rPr>
              <w:t>$1,144</w:t>
            </w:r>
          </w:p>
        </w:tc>
        <w:tc>
          <w:tcPr>
            <w:tcW w:w="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4860" w:type="dxa"/>
            <w:vAlign w:val="bottom"/>
            <w:gridSpan w:val="2"/>
            <w:vMerge w:val="continue"/>
          </w:tcPr>
          <w:p>
            <w:pPr>
              <w:spacing w:after="0"/>
              <w:rPr>
                <w:sz w:val="19"/>
                <w:szCs w:val="19"/>
                <w:color w:val="auto"/>
              </w:rPr>
            </w:pPr>
          </w:p>
        </w:tc>
        <w:tc>
          <w:tcPr>
            <w:tcW w:w="1320" w:type="dxa"/>
            <w:vAlign w:val="bottom"/>
            <w:tcBorders>
              <w:bottom w:val="single" w:sz="8" w:color="auto"/>
            </w:tcBorders>
          </w:tcPr>
          <w:p>
            <w:pPr>
              <w:jc w:val="right"/>
              <w:ind w:right="1"/>
              <w:spacing w:after="0" w:line="224" w:lineRule="exact"/>
              <w:rPr>
                <w:sz w:val="20"/>
                <w:szCs w:val="20"/>
                <w:color w:val="auto"/>
              </w:rPr>
            </w:pPr>
            <w:r>
              <w:rPr>
                <w:rFonts w:ascii="Arial" w:cs="Arial" w:eastAsia="Arial" w:hAnsi="Arial"/>
                <w:sz w:val="20"/>
                <w:szCs w:val="20"/>
                <w:color w:val="auto"/>
              </w:rPr>
              <w:t>2,146,741</w:t>
            </w:r>
          </w:p>
        </w:tc>
        <w:tc>
          <w:tcPr>
            <w:tcW w:w="1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4860" w:type="dxa"/>
            <w:vAlign w:val="bottom"/>
            <w:gridSpan w:val="2"/>
            <w:shd w:val="clear" w:color="auto" w:fill="CCEEFF"/>
          </w:tcPr>
          <w:p>
            <w:pPr>
              <w:spacing w:after="0" w:line="224" w:lineRule="exact"/>
              <w:rPr>
                <w:sz w:val="20"/>
                <w:szCs w:val="20"/>
                <w:color w:val="auto"/>
              </w:rPr>
            </w:pPr>
            <w:r>
              <w:rPr>
                <w:rFonts w:ascii="Arial" w:cs="Arial" w:eastAsia="Arial" w:hAnsi="Arial"/>
                <w:sz w:val="20"/>
                <w:szCs w:val="20"/>
                <w:color w:val="auto"/>
              </w:rPr>
              <w:t>Exercisable at March 27, 2016</w:t>
            </w:r>
          </w:p>
        </w:tc>
        <w:tc>
          <w:tcPr>
            <w:tcW w:w="1320" w:type="dxa"/>
            <w:vAlign w:val="bottom"/>
            <w:tcBorders>
              <w:bottom w:val="single" w:sz="8" w:color="auto"/>
            </w:tcBorders>
            <w:shd w:val="clear" w:color="auto" w:fill="CCEEFF"/>
          </w:tcPr>
          <w:p>
            <w:pPr>
              <w:jc w:val="right"/>
              <w:ind w:right="1"/>
              <w:spacing w:after="0" w:line="224" w:lineRule="exact"/>
              <w:rPr>
                <w:sz w:val="20"/>
                <w:szCs w:val="20"/>
                <w:color w:val="auto"/>
              </w:rPr>
            </w:pPr>
            <w:r>
              <w:rPr>
                <w:rFonts w:ascii="Arial" w:cs="Arial" w:eastAsia="Arial" w:hAnsi="Arial"/>
                <w:sz w:val="20"/>
                <w:szCs w:val="20"/>
                <w:color w:val="auto"/>
              </w:rPr>
              <w:t>1,395,423</w:t>
            </w:r>
          </w:p>
        </w:tc>
        <w:tc>
          <w:tcPr>
            <w:tcW w:w="1420" w:type="dxa"/>
            <w:vAlign w:val="bottom"/>
            <w:gridSpan w:val="2"/>
            <w:shd w:val="clear" w:color="auto" w:fill="CCEEFF"/>
          </w:tcPr>
          <w:p>
            <w:pPr>
              <w:jc w:val="right"/>
              <w:ind w:right="281"/>
              <w:spacing w:after="0" w:line="224" w:lineRule="exact"/>
              <w:rPr>
                <w:sz w:val="20"/>
                <w:szCs w:val="20"/>
                <w:color w:val="auto"/>
              </w:rPr>
            </w:pPr>
            <w:r>
              <w:rPr>
                <w:rFonts w:ascii="Arial" w:cs="Arial" w:eastAsia="Arial" w:hAnsi="Arial"/>
                <w:sz w:val="20"/>
                <w:szCs w:val="20"/>
                <w:color w:val="auto"/>
              </w:rPr>
              <w:t>$4.89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line="224" w:lineRule="exact"/>
              <w:rPr>
                <w:sz w:val="20"/>
                <w:szCs w:val="20"/>
                <w:color w:val="auto"/>
              </w:rPr>
            </w:pPr>
            <w:r>
              <w:rPr>
                <w:rFonts w:ascii="Arial" w:cs="Arial" w:eastAsia="Arial" w:hAnsi="Arial"/>
                <w:sz w:val="20"/>
                <w:szCs w:val="20"/>
                <w:color w:val="auto"/>
                <w:w w:val="87"/>
              </w:rPr>
              <w:t>2.85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spacing w:after="0" w:line="224" w:lineRule="exact"/>
              <w:rPr>
                <w:sz w:val="20"/>
                <w:szCs w:val="20"/>
                <w:color w:val="auto"/>
              </w:rPr>
            </w:pPr>
            <w:r>
              <w:rPr>
                <w:rFonts w:ascii="Arial" w:cs="Arial" w:eastAsia="Arial" w:hAnsi="Arial"/>
                <w:sz w:val="20"/>
                <w:szCs w:val="20"/>
                <w:color w:val="auto"/>
                <w:w w:val="89"/>
              </w:rPr>
              <w:t>$891</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8860" w:type="dxa"/>
            <w:vAlign w:val="bottom"/>
            <w:gridSpan w:val="7"/>
          </w:tcPr>
          <w:p>
            <w:pPr>
              <w:spacing w:after="0"/>
              <w:rPr>
                <w:sz w:val="20"/>
                <w:szCs w:val="20"/>
                <w:color w:val="auto"/>
              </w:rPr>
            </w:pPr>
            <w:r>
              <w:rPr>
                <w:rFonts w:ascii="Arial" w:cs="Arial" w:eastAsia="Arial" w:hAnsi="Arial"/>
                <w:sz w:val="20"/>
                <w:szCs w:val="20"/>
                <w:color w:val="auto"/>
              </w:rPr>
              <w:t>The following assumptions were used to value stock options granted during the first quarter of 2016:</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91"/>
              </w:rPr>
              <w:t>0.73%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20"/>
                <w:szCs w:val="20"/>
                <w:color w:val="auto"/>
              </w:rPr>
              <w:t>Volatility factor</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auto"/>
                <w:w w:val="91"/>
              </w:rPr>
              <w:t>44.7%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Dividends</w:t>
            </w: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91"/>
              </w:rPr>
              <w:t>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Arial" w:cs="Arial" w:eastAsia="Arial" w:hAnsi="Arial"/>
                <w:sz w:val="20"/>
                <w:szCs w:val="20"/>
                <w:color w:val="auto"/>
              </w:rPr>
              <w:t>Weighted average expected life (years)</w:t>
            </w: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auto"/>
              </w:rPr>
              <w:t>4.15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342"/>
        <w:spacing w:after="0" w:line="244" w:lineRule="auto"/>
        <w:rPr>
          <w:sz w:val="20"/>
          <w:szCs w:val="20"/>
          <w:color w:val="auto"/>
        </w:rPr>
      </w:pPr>
      <w:r>
        <w:rPr>
          <w:rFonts w:ascii="Arial" w:cs="Arial" w:eastAsia="Arial" w:hAnsi="Arial"/>
          <w:sz w:val="20"/>
          <w:szCs w:val="20"/>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three months of 2016 or 2015. Cash received from stock option exercises under our stock-based compensation plans for the three-month periods ended March 27, 2016 and March 29, 2015 was $14 and $8, respectively.</w:t>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 Restricted Stock Awards</w:t>
      </w:r>
    </w:p>
    <w:p>
      <w:pPr>
        <w:spacing w:after="0" w:line="21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In September 2014, 49,200 shares of restricted stock were awarded to certain of our employees. These units vest over three years and we estimated their weighted average grant date fair value to be $3.24 per share. There is $38 of unrecognized compensation cost related to these restricted shares at March 27, 2016.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INCOME TAXES</w:t>
      </w:r>
    </w:p>
    <w:p>
      <w:pPr>
        <w:spacing w:after="0" w:line="21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We use the asset and liability method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6" w:lineRule="exact"/>
        <w:rPr>
          <w:sz w:val="20"/>
          <w:szCs w:val="20"/>
          <w:color w:val="auto"/>
        </w:rPr>
      </w:pPr>
    </w:p>
    <w:p>
      <w:pPr>
        <w:jc w:val="both"/>
        <w:ind w:right="20" w:firstLine="342"/>
        <w:spacing w:after="0" w:line="260" w:lineRule="auto"/>
        <w:rPr>
          <w:sz w:val="20"/>
          <w:szCs w:val="20"/>
          <w:color w:val="auto"/>
        </w:rPr>
      </w:pPr>
      <w:r>
        <w:rPr>
          <w:rFonts w:ascii="Arial" w:cs="Arial" w:eastAsia="Arial" w:hAnsi="Arial"/>
          <w:sz w:val="20"/>
          <w:szCs w:val="20"/>
          <w:color w:val="auto"/>
        </w:rPr>
        <w:t>For the three-month periods ended March 27, 2016 and March 29, 2015, we recorded $88 and $111, respectively, in income tax expense, detailed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0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524"/>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680" w:type="dxa"/>
            <w:vAlign w:val="bottom"/>
          </w:tcPr>
          <w:p>
            <w:pPr>
              <w:spacing w:after="0"/>
              <w:rPr>
                <w:sz w:val="24"/>
                <w:szCs w:val="24"/>
                <w:color w:val="auto"/>
              </w:rPr>
            </w:pPr>
          </w:p>
        </w:tc>
        <w:tc>
          <w:tcPr>
            <w:tcW w:w="3380" w:type="dxa"/>
            <w:vAlign w:val="bottom"/>
            <w:gridSpan w:val="3"/>
          </w:tcPr>
          <w:p>
            <w:pPr>
              <w:ind w:left="520"/>
              <w:spacing w:after="0"/>
              <w:rPr>
                <w:sz w:val="20"/>
                <w:szCs w:val="20"/>
                <w:color w:val="auto"/>
              </w:rPr>
            </w:pPr>
            <w:r>
              <w:rPr>
                <w:rFonts w:ascii="Arial" w:cs="Arial" w:eastAsia="Arial" w:hAnsi="Arial"/>
                <w:sz w:val="20"/>
                <w:szCs w:val="20"/>
                <w:b w:val="1"/>
                <w:bCs w:val="1"/>
                <w:color w:val="auto"/>
              </w:rPr>
              <w:t>Three month periods ended</w:t>
            </w:r>
          </w:p>
        </w:tc>
      </w:tr>
      <w:tr>
        <w:trPr>
          <w:trHeight w:val="230"/>
        </w:trPr>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80" w:type="dxa"/>
            <w:vAlign w:val="bottom"/>
          </w:tcPr>
          <w:p>
            <w:pPr>
              <w:ind w:left="300"/>
              <w:spacing w:after="0"/>
              <w:rPr>
                <w:sz w:val="20"/>
                <w:szCs w:val="20"/>
                <w:color w:val="auto"/>
              </w:rPr>
            </w:pPr>
            <w:r>
              <w:rPr>
                <w:rFonts w:ascii="Arial" w:cs="Arial" w:eastAsia="Arial" w:hAnsi="Arial"/>
                <w:sz w:val="20"/>
                <w:szCs w:val="20"/>
                <w:b w:val="1"/>
                <w:bCs w:val="1"/>
                <w:color w:val="auto"/>
              </w:rPr>
              <w:t>March 27,</w:t>
            </w:r>
          </w:p>
        </w:tc>
        <w:tc>
          <w:tcPr>
            <w:tcW w:w="4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20"/>
                <w:szCs w:val="20"/>
                <w:b w:val="1"/>
                <w:bCs w:val="1"/>
                <w:color w:val="auto"/>
              </w:rPr>
              <w:t>March 29,</w:t>
            </w:r>
          </w:p>
        </w:tc>
      </w:tr>
      <w:tr>
        <w:trPr>
          <w:trHeight w:val="252"/>
        </w:trPr>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89"/>
              </w:rPr>
              <w:t>2016</w:t>
            </w:r>
          </w:p>
        </w:tc>
        <w:tc>
          <w:tcPr>
            <w:tcW w:w="1900" w:type="dxa"/>
            <w:vAlign w:val="bottom"/>
            <w:gridSpan w:val="2"/>
          </w:tcPr>
          <w:p>
            <w:pPr>
              <w:jc w:val="center"/>
              <w:ind w:left="321"/>
              <w:spacing w:after="0"/>
              <w:rPr>
                <w:sz w:val="20"/>
                <w:szCs w:val="20"/>
                <w:color w:val="auto"/>
              </w:rPr>
            </w:pPr>
            <w:r>
              <w:rPr>
                <w:rFonts w:ascii="Arial" w:cs="Arial" w:eastAsia="Arial" w:hAnsi="Arial"/>
                <w:sz w:val="20"/>
                <w:szCs w:val="20"/>
                <w:b w:val="1"/>
                <w:bCs w:val="1"/>
                <w:color w:val="auto"/>
                <w:w w:val="89"/>
              </w:rPr>
              <w:t>2015</w:t>
            </w:r>
          </w:p>
        </w:tc>
      </w:tr>
      <w:tr>
        <w:trPr>
          <w:trHeight w:val="210"/>
        </w:trPr>
        <w:tc>
          <w:tcPr>
            <w:tcW w:w="360" w:type="dxa"/>
            <w:vAlign w:val="bottom"/>
          </w:tcPr>
          <w:p>
            <w:pPr>
              <w:spacing w:after="0"/>
              <w:rPr>
                <w:sz w:val="18"/>
                <w:szCs w:val="18"/>
                <w:color w:val="auto"/>
              </w:rPr>
            </w:pPr>
          </w:p>
        </w:tc>
        <w:tc>
          <w:tcPr>
            <w:tcW w:w="7680" w:type="dxa"/>
            <w:vAlign w:val="bottom"/>
            <w:tcBorders>
              <w:top w:val="single" w:sz="8" w:color="CCEEFF"/>
            </w:tcBorders>
            <w:gridSpan w:val="2"/>
            <w:shd w:val="clear" w:color="auto" w:fill="CCEEFF"/>
          </w:tcPr>
          <w:p>
            <w:pPr>
              <w:spacing w:after="0" w:line="209" w:lineRule="exact"/>
              <w:rPr>
                <w:sz w:val="20"/>
                <w:szCs w:val="20"/>
                <w:color w:val="auto"/>
              </w:rPr>
            </w:pPr>
            <w:r>
              <w:rPr>
                <w:rFonts w:ascii="Arial" w:cs="Arial" w:eastAsia="Arial" w:hAnsi="Arial"/>
                <w:sz w:val="20"/>
                <w:szCs w:val="20"/>
                <w:color w:val="auto"/>
              </w:rPr>
              <w:t>Current income tax provision:</w:t>
            </w:r>
          </w:p>
        </w:tc>
        <w:tc>
          <w:tcPr>
            <w:tcW w:w="1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7680" w:type="dxa"/>
            <w:vAlign w:val="bottom"/>
            <w:gridSpan w:val="2"/>
          </w:tcPr>
          <w:p>
            <w:pPr>
              <w:ind w:left="200"/>
              <w:spacing w:after="0"/>
              <w:rPr>
                <w:sz w:val="20"/>
                <w:szCs w:val="20"/>
                <w:color w:val="auto"/>
              </w:rPr>
            </w:pPr>
            <w:r>
              <w:rPr>
                <w:rFonts w:ascii="Arial" w:cs="Arial" w:eastAsia="Arial" w:hAnsi="Arial"/>
                <w:sz w:val="20"/>
                <w:szCs w:val="20"/>
                <w:color w:val="auto"/>
              </w:rPr>
              <w:t>Foreign</w:t>
            </w:r>
          </w:p>
        </w:tc>
        <w:tc>
          <w:tcPr>
            <w:tcW w:w="1480" w:type="dxa"/>
            <w:vAlign w:val="bottom"/>
          </w:tcPr>
          <w:p>
            <w:pPr>
              <w:jc w:val="center"/>
              <w:spacing w:after="0"/>
              <w:rPr>
                <w:sz w:val="20"/>
                <w:szCs w:val="20"/>
                <w:color w:val="auto"/>
              </w:rPr>
            </w:pPr>
            <w:r>
              <w:rPr>
                <w:rFonts w:ascii="Arial" w:cs="Arial" w:eastAsia="Arial" w:hAnsi="Arial"/>
                <w:sz w:val="20"/>
                <w:szCs w:val="20"/>
                <w:color w:val="auto"/>
                <w:w w:val="83"/>
              </w:rPr>
              <w:t>$27</w:t>
            </w:r>
          </w:p>
        </w:tc>
        <w:tc>
          <w:tcPr>
            <w:tcW w:w="1900" w:type="dxa"/>
            <w:vAlign w:val="bottom"/>
            <w:gridSpan w:val="2"/>
          </w:tcPr>
          <w:p>
            <w:pPr>
              <w:jc w:val="center"/>
              <w:ind w:left="341"/>
              <w:spacing w:after="0"/>
              <w:rPr>
                <w:sz w:val="20"/>
                <w:szCs w:val="20"/>
                <w:color w:val="auto"/>
              </w:rPr>
            </w:pPr>
            <w:r>
              <w:rPr>
                <w:rFonts w:ascii="Arial" w:cs="Arial" w:eastAsia="Arial" w:hAnsi="Arial"/>
                <w:sz w:val="20"/>
                <w:szCs w:val="20"/>
                <w:color w:val="auto"/>
                <w:w w:val="89"/>
              </w:rPr>
              <w:t>$52</w:t>
            </w:r>
          </w:p>
        </w:tc>
      </w:tr>
      <w:tr>
        <w:trPr>
          <w:trHeight w:val="230"/>
        </w:trPr>
        <w:tc>
          <w:tcPr>
            <w:tcW w:w="360" w:type="dxa"/>
            <w:vAlign w:val="bottom"/>
          </w:tcPr>
          <w:p>
            <w:pPr>
              <w:spacing w:after="0"/>
              <w:rPr>
                <w:sz w:val="19"/>
                <w:szCs w:val="19"/>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Federal</w:t>
            </w: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71"/>
              </w:rPr>
              <w:t>4</w:t>
            </w:r>
          </w:p>
        </w:tc>
        <w:tc>
          <w:tcPr>
            <w:tcW w:w="1900" w:type="dxa"/>
            <w:vAlign w:val="bottom"/>
            <w:gridSpan w:val="2"/>
            <w:shd w:val="clear" w:color="auto" w:fill="CCEEFF"/>
          </w:tcPr>
          <w:p>
            <w:pPr>
              <w:jc w:val="center"/>
              <w:ind w:left="341"/>
              <w:spacing w:after="0"/>
              <w:rPr>
                <w:sz w:val="20"/>
                <w:szCs w:val="20"/>
                <w:color w:val="auto"/>
              </w:rPr>
            </w:pPr>
            <w:r>
              <w:rPr>
                <w:rFonts w:ascii="Arial" w:cs="Arial" w:eastAsia="Arial" w:hAnsi="Arial"/>
                <w:sz w:val="20"/>
                <w:szCs w:val="20"/>
                <w:color w:val="auto"/>
                <w:w w:val="89"/>
              </w:rPr>
              <w:t>-</w:t>
            </w:r>
          </w:p>
        </w:tc>
      </w:tr>
      <w:tr>
        <w:trPr>
          <w:trHeight w:val="230"/>
        </w:trPr>
        <w:tc>
          <w:tcPr>
            <w:tcW w:w="360" w:type="dxa"/>
            <w:vAlign w:val="bottom"/>
          </w:tcPr>
          <w:p>
            <w:pPr>
              <w:spacing w:after="0"/>
              <w:rPr>
                <w:sz w:val="19"/>
                <w:szCs w:val="19"/>
                <w:color w:val="auto"/>
              </w:rPr>
            </w:pPr>
          </w:p>
        </w:tc>
        <w:tc>
          <w:tcPr>
            <w:tcW w:w="7680" w:type="dxa"/>
            <w:vAlign w:val="bottom"/>
            <w:gridSpan w:val="2"/>
          </w:tcPr>
          <w:p>
            <w:pPr>
              <w:ind w:left="200"/>
              <w:spacing w:after="0"/>
              <w:rPr>
                <w:sz w:val="20"/>
                <w:szCs w:val="20"/>
                <w:color w:val="auto"/>
              </w:rPr>
            </w:pPr>
            <w:r>
              <w:rPr>
                <w:rFonts w:ascii="Arial" w:cs="Arial" w:eastAsia="Arial" w:hAnsi="Arial"/>
                <w:sz w:val="20"/>
                <w:szCs w:val="20"/>
                <w:color w:val="auto"/>
              </w:rPr>
              <w:t>State</w:t>
            </w:r>
          </w:p>
        </w:tc>
        <w:tc>
          <w:tcPr>
            <w:tcW w:w="1480" w:type="dxa"/>
            <w:vAlign w:val="bottom"/>
          </w:tcPr>
          <w:p>
            <w:pPr>
              <w:jc w:val="center"/>
              <w:spacing w:after="0"/>
              <w:rPr>
                <w:sz w:val="20"/>
                <w:szCs w:val="20"/>
                <w:color w:val="auto"/>
              </w:rPr>
            </w:pPr>
            <w:r>
              <w:rPr>
                <w:rFonts w:ascii="Arial" w:cs="Arial" w:eastAsia="Arial" w:hAnsi="Arial"/>
                <w:sz w:val="20"/>
                <w:szCs w:val="20"/>
                <w:color w:val="auto"/>
                <w:w w:val="89"/>
              </w:rPr>
              <w:t>15</w:t>
            </w:r>
          </w:p>
        </w:tc>
        <w:tc>
          <w:tcPr>
            <w:tcW w:w="1900" w:type="dxa"/>
            <w:vAlign w:val="bottom"/>
            <w:gridSpan w:val="2"/>
          </w:tcPr>
          <w:p>
            <w:pPr>
              <w:jc w:val="center"/>
              <w:ind w:left="341"/>
              <w:spacing w:after="0"/>
              <w:rPr>
                <w:sz w:val="20"/>
                <w:szCs w:val="20"/>
                <w:color w:val="auto"/>
              </w:rPr>
            </w:pPr>
            <w:r>
              <w:rPr>
                <w:rFonts w:ascii="Arial" w:cs="Arial" w:eastAsia="Arial" w:hAnsi="Arial"/>
                <w:sz w:val="20"/>
                <w:szCs w:val="20"/>
                <w:color w:val="auto"/>
                <w:w w:val="89"/>
              </w:rPr>
              <w:t>4</w:t>
            </w:r>
          </w:p>
        </w:tc>
      </w:tr>
      <w:tr>
        <w:trPr>
          <w:trHeight w:val="230"/>
        </w:trPr>
        <w:tc>
          <w:tcPr>
            <w:tcW w:w="360" w:type="dxa"/>
            <w:vAlign w:val="bottom"/>
          </w:tcPr>
          <w:p>
            <w:pPr>
              <w:spacing w:after="0"/>
              <w:rPr>
                <w:sz w:val="19"/>
                <w:szCs w:val="19"/>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Deferred income tax provision</w:t>
            </w: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42</w:t>
            </w:r>
          </w:p>
        </w:tc>
        <w:tc>
          <w:tcPr>
            <w:tcW w:w="1900" w:type="dxa"/>
            <w:vAlign w:val="bottom"/>
            <w:gridSpan w:val="2"/>
            <w:shd w:val="clear" w:color="auto" w:fill="CCEEFF"/>
          </w:tcPr>
          <w:p>
            <w:pPr>
              <w:jc w:val="center"/>
              <w:ind w:left="321"/>
              <w:spacing w:after="0"/>
              <w:rPr>
                <w:sz w:val="20"/>
                <w:szCs w:val="20"/>
                <w:color w:val="auto"/>
              </w:rPr>
            </w:pPr>
            <w:r>
              <w:rPr>
                <w:rFonts w:ascii="Arial" w:cs="Arial" w:eastAsia="Arial" w:hAnsi="Arial"/>
                <w:sz w:val="20"/>
                <w:szCs w:val="20"/>
                <w:color w:val="auto"/>
                <w:w w:val="89"/>
              </w:rPr>
              <w:t>55</w:t>
            </w:r>
          </w:p>
        </w:tc>
      </w:tr>
      <w:tr>
        <w:trPr>
          <w:trHeight w:val="237"/>
        </w:trPr>
        <w:tc>
          <w:tcPr>
            <w:tcW w:w="360" w:type="dxa"/>
            <w:vAlign w:val="bottom"/>
          </w:tcPr>
          <w:p>
            <w:pPr>
              <w:spacing w:after="0"/>
              <w:rPr>
                <w:sz w:val="20"/>
                <w:szCs w:val="20"/>
                <w:color w:val="auto"/>
              </w:rPr>
            </w:pPr>
          </w:p>
        </w:tc>
        <w:tc>
          <w:tcPr>
            <w:tcW w:w="7680" w:type="dxa"/>
            <w:vAlign w:val="bottom"/>
            <w:gridSpan w:val="2"/>
          </w:tcPr>
          <w:p>
            <w:pPr>
              <w:ind w:left="400"/>
              <w:spacing w:after="0"/>
              <w:rPr>
                <w:sz w:val="20"/>
                <w:szCs w:val="20"/>
                <w:color w:val="auto"/>
              </w:rPr>
            </w:pPr>
            <w:r>
              <w:rPr>
                <w:rFonts w:ascii="Arial" w:cs="Arial" w:eastAsia="Arial" w:hAnsi="Arial"/>
                <w:sz w:val="20"/>
                <w:szCs w:val="20"/>
                <w:color w:val="auto"/>
              </w:rPr>
              <w:t>Total</w:t>
            </w: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3"/>
              </w:rPr>
              <w:t>$88</w:t>
            </w:r>
          </w:p>
        </w:tc>
        <w:tc>
          <w:tcPr>
            <w:tcW w:w="42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5"/>
              </w:rPr>
              <w:t>$111</w:t>
            </w: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342"/>
        <w:spacing w:after="0" w:line="246" w:lineRule="auto"/>
        <w:rPr>
          <w:sz w:val="20"/>
          <w:szCs w:val="20"/>
          <w:color w:val="auto"/>
        </w:rPr>
      </w:pPr>
      <w:r>
        <w:rPr>
          <w:rFonts w:ascii="Arial" w:cs="Arial" w:eastAsia="Arial" w:hAnsi="Arial"/>
          <w:sz w:val="20"/>
          <w:szCs w:val="20"/>
          <w:color w:val="auto"/>
        </w:rPr>
        <w:t>The deferred income tax provision is primarily due to the recognition of deferred tax liabilities relating to goodwill and certain intangible assets that cannot be predicted to reverse for book purposes during our loss carryforward periods. The current income tax provision is primarily due to the income reported for our China operation and Accutronics (U.K.) and estimated U.S. federal alternative minimum taxes, while the remaining expense is primarily due to state taxes.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effective consolidated tax rates for the three-month periods ended March 27, 2016 and March 29, 2015 were:</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3360" w:type="dxa"/>
            <w:vAlign w:val="bottom"/>
            <w:gridSpan w:val="3"/>
          </w:tcPr>
          <w:p>
            <w:pPr>
              <w:ind w:left="520"/>
              <w:spacing w:after="0"/>
              <w:rPr>
                <w:sz w:val="20"/>
                <w:szCs w:val="20"/>
                <w:color w:val="auto"/>
              </w:rPr>
            </w:pPr>
            <w:r>
              <w:rPr>
                <w:rFonts w:ascii="Arial" w:cs="Arial" w:eastAsia="Arial" w:hAnsi="Arial"/>
                <w:sz w:val="20"/>
                <w:szCs w:val="20"/>
                <w:b w:val="1"/>
                <w:bCs w:val="1"/>
                <w:color w:val="auto"/>
              </w:rPr>
              <w:t>Three month periods ended</w:t>
            </w:r>
          </w:p>
        </w:tc>
      </w:tr>
      <w:tr>
        <w:trPr>
          <w:trHeight w:val="230"/>
        </w:trPr>
        <w:tc>
          <w:tcPr>
            <w:tcW w:w="7700" w:type="dxa"/>
            <w:vAlign w:val="bottom"/>
          </w:tcPr>
          <w:p>
            <w:pPr>
              <w:spacing w:after="0"/>
              <w:rPr>
                <w:sz w:val="19"/>
                <w:szCs w:val="19"/>
                <w:color w:val="auto"/>
              </w:rPr>
            </w:pPr>
          </w:p>
        </w:tc>
        <w:tc>
          <w:tcPr>
            <w:tcW w:w="1880" w:type="dxa"/>
            <w:vAlign w:val="bottom"/>
            <w:gridSpan w:val="2"/>
          </w:tcPr>
          <w:p>
            <w:pPr>
              <w:ind w:left="300"/>
              <w:spacing w:after="0"/>
              <w:rPr>
                <w:sz w:val="20"/>
                <w:szCs w:val="20"/>
                <w:color w:val="auto"/>
              </w:rPr>
            </w:pPr>
            <w:r>
              <w:rPr>
                <w:rFonts w:ascii="Arial" w:cs="Arial" w:eastAsia="Arial" w:hAnsi="Arial"/>
                <w:sz w:val="20"/>
                <w:szCs w:val="20"/>
                <w:b w:val="1"/>
                <w:bCs w:val="1"/>
                <w:color w:val="auto"/>
              </w:rPr>
              <w:t>March 27,</w:t>
            </w:r>
          </w:p>
        </w:tc>
        <w:tc>
          <w:tcPr>
            <w:tcW w:w="1480" w:type="dxa"/>
            <w:vAlign w:val="bottom"/>
          </w:tcPr>
          <w:p>
            <w:pPr>
              <w:ind w:left="320"/>
              <w:spacing w:after="0"/>
              <w:rPr>
                <w:sz w:val="20"/>
                <w:szCs w:val="20"/>
                <w:color w:val="auto"/>
              </w:rPr>
            </w:pPr>
            <w:r>
              <w:rPr>
                <w:rFonts w:ascii="Arial" w:cs="Arial" w:eastAsia="Arial" w:hAnsi="Arial"/>
                <w:sz w:val="20"/>
                <w:szCs w:val="20"/>
                <w:b w:val="1"/>
                <w:bCs w:val="1"/>
                <w:color w:val="auto"/>
              </w:rPr>
              <w:t>March 29,</w:t>
            </w:r>
          </w:p>
        </w:tc>
      </w:tr>
      <w:tr>
        <w:trPr>
          <w:trHeight w:val="252"/>
        </w:trPr>
        <w:tc>
          <w:tcPr>
            <w:tcW w:w="77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2016</w:t>
            </w:r>
          </w:p>
        </w:tc>
        <w:tc>
          <w:tcPr>
            <w:tcW w:w="4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2015</w:t>
            </w:r>
          </w:p>
        </w:tc>
      </w:tr>
      <w:tr>
        <w:trPr>
          <w:trHeight w:val="223"/>
        </w:trPr>
        <w:tc>
          <w:tcPr>
            <w:tcW w:w="77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Income from continuing operations before income taxes (a)</w:t>
            </w:r>
          </w:p>
        </w:tc>
        <w:tc>
          <w:tcPr>
            <w:tcW w:w="1460" w:type="dxa"/>
            <w:vAlign w:val="bottom"/>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$369</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$634</w:t>
            </w:r>
          </w:p>
        </w:tc>
      </w:tr>
      <w:tr>
        <w:trPr>
          <w:trHeight w:val="409"/>
        </w:trPr>
        <w:tc>
          <w:tcPr>
            <w:tcW w:w="7700" w:type="dxa"/>
            <w:vAlign w:val="bottom"/>
          </w:tcPr>
          <w:p>
            <w:pPr>
              <w:spacing w:after="0"/>
              <w:rPr>
                <w:sz w:val="20"/>
                <w:szCs w:val="20"/>
                <w:color w:val="auto"/>
              </w:rPr>
            </w:pPr>
            <w:r>
              <w:rPr>
                <w:rFonts w:ascii="Arial" w:cs="Arial" w:eastAsia="Arial" w:hAnsi="Arial"/>
                <w:sz w:val="20"/>
                <w:szCs w:val="20"/>
                <w:color w:val="auto"/>
              </w:rPr>
              <w:t>Income tax provision (b)</w:t>
            </w:r>
          </w:p>
        </w:tc>
        <w:tc>
          <w:tcPr>
            <w:tcW w:w="1460" w:type="dxa"/>
            <w:vAlign w:val="bottom"/>
          </w:tcPr>
          <w:p>
            <w:pPr>
              <w:jc w:val="center"/>
              <w:spacing w:after="0"/>
              <w:rPr>
                <w:sz w:val="20"/>
                <w:szCs w:val="20"/>
                <w:color w:val="auto"/>
              </w:rPr>
            </w:pPr>
            <w:r>
              <w:rPr>
                <w:rFonts w:ascii="Arial" w:cs="Arial" w:eastAsia="Arial" w:hAnsi="Arial"/>
                <w:sz w:val="20"/>
                <w:szCs w:val="20"/>
                <w:color w:val="auto"/>
                <w:w w:val="89"/>
              </w:rPr>
              <w:t>88</w:t>
            </w:r>
          </w:p>
        </w:tc>
        <w:tc>
          <w:tcPr>
            <w:tcW w:w="4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3"/>
              </w:rPr>
              <w:t>111</w:t>
            </w:r>
          </w:p>
        </w:tc>
      </w:tr>
      <w:tr>
        <w:trPr>
          <w:trHeight w:val="172"/>
        </w:trPr>
        <w:tc>
          <w:tcPr>
            <w:tcW w:w="7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20"/>
                <w:szCs w:val="20"/>
                <w:color w:val="auto"/>
              </w:rPr>
              <w:t>Effective income tax rate (b/a)</w:t>
            </w: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23.8%</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17.5%</w:t>
            </w:r>
          </w:p>
        </w:tc>
      </w:tr>
    </w:tbl>
    <w:p>
      <w:pPr>
        <w:spacing w:after="0" w:line="199"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certain foreign subsidiaries, as management does not believe, at this time, that it is more likely than not that we will realize the benefit of these losses.</w:t>
      </w:r>
    </w:p>
    <w:p>
      <w:pPr>
        <w:spacing w:after="0" w:line="192" w:lineRule="exact"/>
        <w:rPr>
          <w:sz w:val="20"/>
          <w:szCs w:val="20"/>
          <w:color w:val="auto"/>
        </w:rPr>
      </w:pPr>
    </w:p>
    <w:p>
      <w:pPr>
        <w:jc w:val="both"/>
        <w:ind w:firstLine="342"/>
        <w:spacing w:after="0" w:line="244" w:lineRule="auto"/>
        <w:rPr>
          <w:sz w:val="20"/>
          <w:szCs w:val="20"/>
          <w:color w:val="auto"/>
        </w:rPr>
      </w:pPr>
      <w:r>
        <w:rPr>
          <w:rFonts w:ascii="Arial" w:cs="Arial" w:eastAsia="Arial" w:hAnsi="Arial"/>
          <w:sz w:val="20"/>
          <w:szCs w:val="20"/>
          <w:color w:val="auto"/>
        </w:rPr>
        <w:t>As of December 31, 2015, we have foreign and domestic net operating loss (“NOL”) and credit carryforwards totaling approximately $86,800 and $1,600 available to reduce future taxable income. Included in our NOL carryforwards are foreign loss carryforwards of approximately $12,400 that can be carried forward indefinitely. The domestic NOL carryforward of $74,400 expires from 2019 through 2034. The domestic NOL carryforward includes approximately $3,000 for which a benefit will be recorded in capital in excess of par value when realized.</w:t>
      </w:r>
    </w:p>
    <w:p>
      <w:pPr>
        <w:spacing w:after="0" w:line="195"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Our unrecognized tax benefits related to uncertain tax positions at March 29, 2015 in the amount of $7,296 relate to Federal and various state jurisdictions. We recorded the release of uncertain tax positions in 2015 relating to the conclusion of a federal tax examination, resulting in a $21.4 million increase in the amount of our reported domestic NOL carryforward.</w:t>
      </w:r>
    </w:p>
    <w:p>
      <w:pPr>
        <w:spacing w:after="0" w:line="186" w:lineRule="exact"/>
        <w:rPr>
          <w:sz w:val="20"/>
          <w:szCs w:val="20"/>
          <w:color w:val="auto"/>
        </w:rPr>
      </w:pPr>
    </w:p>
    <w:p>
      <w:pPr>
        <w:jc w:val="both"/>
        <w:ind w:firstLine="342"/>
        <w:spacing w:after="0" w:line="244" w:lineRule="auto"/>
        <w:rPr>
          <w:sz w:val="20"/>
          <w:szCs w:val="20"/>
          <w:color w:val="auto"/>
        </w:rPr>
      </w:pPr>
      <w:r>
        <w:rPr>
          <w:rFonts w:ascii="Arial" w:cs="Arial" w:eastAsia="Arial" w:hAnsi="Arial"/>
          <w:sz w:val="20"/>
          <w:szCs w:val="20"/>
          <w:color w:val="auto"/>
        </w:rPr>
        <w:t>The total unrecognized tax benefit balances at March 29, 2015 were comprised of tax benefits that, if recognized, would result in a deferred tax asset and a corresponding increase in our valuation allowance. As a result, because the benefit would be offset by an increase in the valuation allowance, there would be no net effect on our effective tax rate or income tax provision. We recorded the release of this unrecognized tax benefit amount during 2015 upon the conclusion of a of a federal tax examination, resulting in a $21.4 million increase in the amount of our reported domestic NOL carryforward.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6"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We are not required to accrue interest and penalties as the unrecognized tax benefits have been recorded as a decrease in our NOL. Interest and penalties would begin to accrue in the period in which the NOLs related to the uncertain tax positions are utilized. We do not expect our unrecognized tax benefits to change significantly over the next twelve months.</w:t>
      </w:r>
    </w:p>
    <w:p>
      <w:pPr>
        <w:spacing w:after="0" w:line="186" w:lineRule="exact"/>
        <w:rPr>
          <w:sz w:val="20"/>
          <w:szCs w:val="20"/>
          <w:color w:val="auto"/>
        </w:rPr>
      </w:pPr>
    </w:p>
    <w:p>
      <w:pPr>
        <w:jc w:val="both"/>
        <w:ind w:firstLine="342"/>
        <w:spacing w:after="0" w:line="278"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2001 through 2015 remain subject to examination by the Internal Revenue Service (“IRS”) due to our NOL carryforwards. Our U.S. tax matters for the years 2001 through 2015 remain subject to examination by various state and local tax jurisdictions due to our NOL carryforwards. Our tax matters for the years 2009 through 2015 remain subject to examination by the respective foreign tax jurisdiction authorities.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10. EARNINGS PER SHARE</w:t>
      </w:r>
    </w:p>
    <w:p>
      <w:pPr>
        <w:spacing w:after="0" w:line="216" w:lineRule="exact"/>
        <w:rPr>
          <w:sz w:val="20"/>
          <w:szCs w:val="20"/>
          <w:color w:val="auto"/>
        </w:rPr>
      </w:pPr>
    </w:p>
    <w:p>
      <w:pPr>
        <w:jc w:val="both"/>
        <w:ind w:firstLine="342"/>
        <w:spacing w:after="0" w:line="276" w:lineRule="auto"/>
        <w:rPr>
          <w:sz w:val="20"/>
          <w:szCs w:val="20"/>
          <w:color w:val="auto"/>
        </w:rPr>
      </w:pPr>
      <w:r>
        <w:rPr>
          <w:rFonts w:ascii="Arial" w:cs="Arial" w:eastAsia="Arial" w:hAnsi="Arial"/>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March 27, 2016, 1,242,230 stock options and 32,800 restricted stock awards were included in the calculation of Diluted EPS as such securities are dilutive. Inclusion of these securities resulted in 342,809 additional shares in the calculation of fully diluted earnings per share. For the comparable period ended March 29, 2015, 97,700 stock options, were included in the calculation of Diluted EPS resulting in 8,101 additional shares in the calculation of fully diluted earnings per share.</w:t>
      </w:r>
    </w:p>
    <w:p>
      <w:pPr>
        <w:spacing w:after="0" w:line="165"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There were 1,051,750 and 2,179,756 outstanding stock options for the three-month periods ended March 27, 2016 and March 29, 2015, respectively, that were not included in EPS as the effect would be anti-dilutive.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11. COMMITMENTS AND CONTINGENCIES</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Purchase Commitments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As of March 27, 2016, we have made commitments to purchase approximately $878 of production machinery and equipment.</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 Product Warranties</w:t>
      </w:r>
    </w:p>
    <w:p>
      <w:pPr>
        <w:spacing w:after="0" w:line="216" w:lineRule="exact"/>
        <w:rPr>
          <w:sz w:val="20"/>
          <w:szCs w:val="20"/>
          <w:color w:val="auto"/>
        </w:rPr>
      </w:pPr>
    </w:p>
    <w:p>
      <w:pPr>
        <w:jc w:val="both"/>
        <w:ind w:firstLine="342"/>
        <w:spacing w:after="0" w:line="282"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2016 and 2015 were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360" w:type="dxa"/>
            <w:vAlign w:val="bottom"/>
            <w:gridSpan w:val="3"/>
          </w:tcPr>
          <w:p>
            <w:pPr>
              <w:ind w:left="520"/>
              <w:spacing w:after="0"/>
              <w:rPr>
                <w:sz w:val="20"/>
                <w:szCs w:val="20"/>
                <w:color w:val="auto"/>
              </w:rPr>
            </w:pPr>
            <w:r>
              <w:rPr>
                <w:rFonts w:ascii="Arial" w:cs="Arial" w:eastAsia="Arial" w:hAnsi="Arial"/>
                <w:sz w:val="20"/>
                <w:szCs w:val="20"/>
                <w:b w:val="1"/>
                <w:bCs w:val="1"/>
                <w:color w:val="auto"/>
              </w:rPr>
              <w:t>Three month periods ended</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60" w:type="dxa"/>
            <w:vAlign w:val="bottom"/>
          </w:tcPr>
          <w:p>
            <w:pPr>
              <w:ind w:left="300"/>
              <w:spacing w:after="0"/>
              <w:rPr>
                <w:sz w:val="20"/>
                <w:szCs w:val="20"/>
                <w:color w:val="auto"/>
              </w:rPr>
            </w:pPr>
            <w:r>
              <w:rPr>
                <w:rFonts w:ascii="Arial" w:cs="Arial" w:eastAsia="Arial" w:hAnsi="Arial"/>
                <w:sz w:val="20"/>
                <w:szCs w:val="20"/>
                <w:b w:val="1"/>
                <w:bCs w:val="1"/>
                <w:color w:val="auto"/>
              </w:rPr>
              <w:t>March 27,</w:t>
            </w:r>
          </w:p>
        </w:tc>
        <w:tc>
          <w:tcPr>
            <w:tcW w:w="4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20"/>
                <w:szCs w:val="20"/>
                <w:b w:val="1"/>
                <w:bCs w:val="1"/>
                <w:color w:val="auto"/>
              </w:rPr>
              <w:t>March 29,</w:t>
            </w:r>
          </w:p>
        </w:tc>
        <w:tc>
          <w:tcPr>
            <w:tcW w:w="0" w:type="dxa"/>
            <w:vAlign w:val="bottom"/>
          </w:tcPr>
          <w:p>
            <w:pPr>
              <w:spacing w:after="0"/>
              <w:rPr>
                <w:sz w:val="1"/>
                <w:szCs w:val="1"/>
                <w:color w:val="auto"/>
              </w:rPr>
            </w:pPr>
          </w:p>
        </w:tc>
      </w:tr>
      <w:tr>
        <w:trPr>
          <w:trHeight w:val="252"/>
        </w:trPr>
        <w:tc>
          <w:tcPr>
            <w:tcW w:w="4260" w:type="dxa"/>
            <w:vAlign w:val="bottom"/>
          </w:tcPr>
          <w:p>
            <w:pPr>
              <w:spacing w:after="0"/>
              <w:rPr>
                <w:sz w:val="21"/>
                <w:szCs w:val="21"/>
                <w:color w:val="auto"/>
              </w:rPr>
            </w:pPr>
          </w:p>
        </w:tc>
        <w:tc>
          <w:tcPr>
            <w:tcW w:w="4800" w:type="dxa"/>
            <w:vAlign w:val="bottom"/>
            <w:gridSpan w:val="2"/>
          </w:tcPr>
          <w:p>
            <w:pPr>
              <w:jc w:val="center"/>
              <w:ind w:left="3263"/>
              <w:spacing w:after="0"/>
              <w:rPr>
                <w:sz w:val="20"/>
                <w:szCs w:val="20"/>
                <w:color w:val="auto"/>
              </w:rPr>
            </w:pPr>
            <w:r>
              <w:rPr>
                <w:rFonts w:ascii="Arial" w:cs="Arial" w:eastAsia="Arial" w:hAnsi="Arial"/>
                <w:sz w:val="20"/>
                <w:szCs w:val="20"/>
                <w:b w:val="1"/>
                <w:bCs w:val="1"/>
                <w:color w:val="auto"/>
                <w:w w:val="89"/>
              </w:rPr>
              <w:t>2016</w:t>
            </w:r>
          </w:p>
        </w:tc>
        <w:tc>
          <w:tcPr>
            <w:tcW w:w="1900" w:type="dxa"/>
            <w:vAlign w:val="bottom"/>
            <w:gridSpan w:val="2"/>
          </w:tcPr>
          <w:p>
            <w:pPr>
              <w:jc w:val="center"/>
              <w:ind w:left="321"/>
              <w:spacing w:after="0"/>
              <w:rPr>
                <w:sz w:val="20"/>
                <w:szCs w:val="20"/>
                <w:color w:val="auto"/>
              </w:rPr>
            </w:pPr>
            <w:r>
              <w:rPr>
                <w:rFonts w:ascii="Arial" w:cs="Arial" w:eastAsia="Arial" w:hAnsi="Arial"/>
                <w:sz w:val="20"/>
                <w:szCs w:val="20"/>
                <w:b w:val="1"/>
                <w:bCs w:val="1"/>
                <w:color w:val="auto"/>
                <w:w w:val="89"/>
              </w:rPr>
              <w:t>2015</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Accrued warranty obligations – beginning</w:t>
            </w:r>
          </w:p>
        </w:tc>
        <w:tc>
          <w:tcPr>
            <w:tcW w:w="33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$192</w:t>
            </w:r>
          </w:p>
        </w:tc>
        <w:tc>
          <w:tcPr>
            <w:tcW w:w="4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$376</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Accruals for warranties issued</w:t>
            </w:r>
          </w:p>
        </w:tc>
        <w:tc>
          <w:tcPr>
            <w:tcW w:w="4800" w:type="dxa"/>
            <w:vAlign w:val="bottom"/>
            <w:gridSpan w:val="2"/>
          </w:tcPr>
          <w:p>
            <w:pPr>
              <w:jc w:val="center"/>
              <w:ind w:left="3263"/>
              <w:spacing w:after="0"/>
              <w:rPr>
                <w:sz w:val="20"/>
                <w:szCs w:val="20"/>
                <w:color w:val="auto"/>
              </w:rPr>
            </w:pPr>
            <w:r>
              <w:rPr>
                <w:rFonts w:ascii="Arial" w:cs="Arial" w:eastAsia="Arial" w:hAnsi="Arial"/>
                <w:sz w:val="20"/>
                <w:szCs w:val="20"/>
                <w:color w:val="auto"/>
                <w:w w:val="89"/>
              </w:rPr>
              <w:t>10</w:t>
            </w:r>
          </w:p>
        </w:tc>
        <w:tc>
          <w:tcPr>
            <w:tcW w:w="1900" w:type="dxa"/>
            <w:vAlign w:val="bottom"/>
            <w:gridSpan w:val="2"/>
          </w:tcPr>
          <w:p>
            <w:pPr>
              <w:jc w:val="center"/>
              <w:ind w:left="341"/>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Settlements made</w:t>
            </w:r>
          </w:p>
        </w:tc>
        <w:tc>
          <w:tcPr>
            <w:tcW w:w="4800" w:type="dxa"/>
            <w:vAlign w:val="bottom"/>
            <w:gridSpan w:val="2"/>
            <w:shd w:val="clear" w:color="auto" w:fill="CCEEFF"/>
          </w:tcPr>
          <w:p>
            <w:pPr>
              <w:jc w:val="center"/>
              <w:ind w:left="3243"/>
              <w:spacing w:after="0"/>
              <w:rPr>
                <w:sz w:val="20"/>
                <w:szCs w:val="20"/>
                <w:color w:val="auto"/>
              </w:rPr>
            </w:pPr>
            <w:r>
              <w:rPr>
                <w:rFonts w:ascii="Arial" w:cs="Arial" w:eastAsia="Arial" w:hAnsi="Arial"/>
                <w:sz w:val="20"/>
                <w:szCs w:val="20"/>
                <w:color w:val="auto"/>
                <w:w w:val="95"/>
              </w:rPr>
              <w:t>(22)</w:t>
            </w:r>
          </w:p>
        </w:tc>
        <w:tc>
          <w:tcPr>
            <w:tcW w:w="1900" w:type="dxa"/>
            <w:vAlign w:val="bottom"/>
            <w:gridSpan w:val="2"/>
            <w:shd w:val="clear" w:color="auto" w:fill="CCEEFF"/>
          </w:tcPr>
          <w:p>
            <w:pPr>
              <w:jc w:val="center"/>
              <w:ind w:left="321"/>
              <w:spacing w:after="0"/>
              <w:rPr>
                <w:sz w:val="20"/>
                <w:szCs w:val="20"/>
                <w:color w:val="auto"/>
              </w:rPr>
            </w:pPr>
            <w:r>
              <w:rPr>
                <w:rFonts w:ascii="Arial" w:cs="Arial" w:eastAsia="Arial" w:hAnsi="Arial"/>
                <w:sz w:val="20"/>
                <w:szCs w:val="20"/>
                <w:color w:val="auto"/>
                <w:w w:val="97"/>
              </w:rPr>
              <w:t>(1)</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20"/>
                <w:szCs w:val="20"/>
                <w:color w:val="auto"/>
              </w:rPr>
              <w:t>Accrued warranty obligations – ending</w:t>
            </w:r>
          </w:p>
        </w:tc>
        <w:tc>
          <w:tcPr>
            <w:tcW w:w="334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$180</w:t>
            </w:r>
          </w:p>
        </w:tc>
        <w:tc>
          <w:tcPr>
            <w:tcW w:w="42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$375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340" w:type="dxa"/>
            <w:vAlign w:val="bottom"/>
            <w:vMerge w:val="restart"/>
          </w:tcPr>
          <w:p>
            <w:pPr>
              <w:jc w:val="right"/>
              <w:ind w:right="2163"/>
              <w:spacing w:after="0"/>
              <w:rPr>
                <w:sz w:val="20"/>
                <w:szCs w:val="20"/>
                <w:color w:val="auto"/>
              </w:rPr>
            </w:pPr>
            <w:r>
              <w:rPr>
                <w:rFonts w:ascii="Arial" w:cs="Arial" w:eastAsia="Arial" w:hAnsi="Arial"/>
                <w:sz w:val="18"/>
                <w:szCs w:val="18"/>
                <w:color w:val="auto"/>
              </w:rPr>
              <w:t>14</w:t>
            </w: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 Contingencies and Legal Matters</w:t>
      </w:r>
    </w:p>
    <w:p>
      <w:pPr>
        <w:spacing w:after="0" w:line="21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Dreamliner Litigation</w:t>
      </w:r>
    </w:p>
    <w:p>
      <w:pPr>
        <w:spacing w:after="0" w:line="216" w:lineRule="exact"/>
        <w:rPr>
          <w:sz w:val="20"/>
          <w:szCs w:val="20"/>
          <w:color w:val="auto"/>
        </w:rPr>
      </w:pPr>
    </w:p>
    <w:p>
      <w:pPr>
        <w:jc w:val="both"/>
        <w:ind w:firstLine="342"/>
        <w:spacing w:after="0" w:line="243" w:lineRule="auto"/>
        <w:rPr>
          <w:sz w:val="20"/>
          <w:szCs w:val="20"/>
          <w:color w:val="auto"/>
        </w:rPr>
      </w:pPr>
      <w:r>
        <w:rPr>
          <w:rFonts w:ascii="Arial" w:cs="Arial" w:eastAsia="Arial" w:hAnsi="Arial"/>
          <w:sz w:val="20"/>
          <w:szCs w:val="20"/>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97" w:lineRule="exact"/>
        <w:rPr>
          <w:sz w:val="20"/>
          <w:szCs w:val="20"/>
          <w:color w:val="auto"/>
        </w:rPr>
      </w:pPr>
    </w:p>
    <w:p>
      <w:pPr>
        <w:jc w:val="both"/>
        <w:ind w:firstLine="342"/>
        <w:spacing w:after="0" w:line="282"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62" w:lineRule="exact"/>
        <w:rPr>
          <w:sz w:val="20"/>
          <w:szCs w:val="20"/>
          <w:color w:val="auto"/>
        </w:rPr>
      </w:pPr>
    </w:p>
    <w:p>
      <w:pPr>
        <w:jc w:val="both"/>
        <w:ind w:firstLine="342"/>
        <w:spacing w:after="0" w:line="243" w:lineRule="auto"/>
        <w:rPr>
          <w:sz w:val="20"/>
          <w:szCs w:val="20"/>
          <w:color w:val="auto"/>
        </w:rPr>
      </w:pPr>
      <w:r>
        <w:rPr>
          <w:rFonts w:ascii="Arial" w:cs="Arial" w:eastAsia="Arial" w:hAnsi="Arial"/>
          <w:sz w:val="20"/>
          <w:szCs w:val="20"/>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97"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At this time, we believe that there is not a reasonable possibility that this incident will result in a material financial exposure to the Company.</w:t>
      </w:r>
    </w:p>
    <w:p>
      <w:pPr>
        <w:spacing w:after="0" w:line="393" w:lineRule="exact"/>
        <w:rPr>
          <w:sz w:val="20"/>
          <w:szCs w:val="20"/>
          <w:color w:val="auto"/>
        </w:rPr>
      </w:pPr>
    </w:p>
    <w:p>
      <w:pPr>
        <w:ind w:left="1040"/>
        <w:spacing w:after="0"/>
        <w:rPr>
          <w:sz w:val="20"/>
          <w:szCs w:val="20"/>
          <w:color w:val="auto"/>
        </w:rPr>
      </w:pPr>
      <w:r>
        <w:rPr>
          <w:rFonts w:ascii="Arial" w:cs="Arial" w:eastAsia="Arial" w:hAnsi="Arial"/>
          <w:sz w:val="20"/>
          <w:szCs w:val="20"/>
          <w:i w:val="1"/>
          <w:iCs w:val="1"/>
          <w:color w:val="auto"/>
        </w:rPr>
        <w:t>Arista Power Litigation</w:t>
      </w:r>
    </w:p>
    <w:p>
      <w:pPr>
        <w:spacing w:after="0" w:line="216"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20"/>
          <w:szCs w:val="20"/>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BUSINESS SEGMENT INFORMATION</w:t>
      </w:r>
    </w:p>
    <w:p>
      <w:pPr>
        <w:spacing w:after="0" w:line="216" w:lineRule="exact"/>
        <w:rPr>
          <w:sz w:val="20"/>
          <w:szCs w:val="20"/>
          <w:color w:val="auto"/>
        </w:rPr>
      </w:pPr>
    </w:p>
    <w:p>
      <w:pPr>
        <w:jc w:val="both"/>
        <w:ind w:left="360" w:firstLine="332"/>
        <w:spacing w:after="0" w:line="258" w:lineRule="auto"/>
        <w:rPr>
          <w:sz w:val="20"/>
          <w:szCs w:val="20"/>
          <w:color w:val="auto"/>
        </w:rPr>
      </w:pPr>
      <w:r>
        <w:rPr>
          <w:rFonts w:ascii="Arial" w:cs="Arial" w:eastAsia="Arial" w:hAnsi="Arial"/>
          <w:sz w:val="19"/>
          <w:szCs w:val="19"/>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tbl>
      <w:tblPr>
        <w:tblLayout w:type="fixed"/>
        <w:tblInd w:w="360" w:type="dxa"/>
        <w:tblCellMar>
          <w:top w:w="0" w:type="dxa"/>
          <w:left w:w="0" w:type="dxa"/>
          <w:bottom w:w="0" w:type="dxa"/>
          <w:right w:w="0" w:type="dxa"/>
        </w:tblCellMar>
      </w:tblPr>
      <w:tr>
        <w:trPr>
          <w:trHeight w:val="250"/>
        </w:trPr>
        <w:tc>
          <w:tcPr>
            <w:tcW w:w="5000" w:type="dxa"/>
            <w:vAlign w:val="bottom"/>
          </w:tcPr>
          <w:p>
            <w:pPr>
              <w:ind w:left="320"/>
              <w:spacing w:after="0"/>
              <w:rPr>
                <w:sz w:val="20"/>
                <w:szCs w:val="20"/>
                <w:color w:val="auto"/>
              </w:rPr>
            </w:pPr>
            <w:r>
              <w:rPr>
                <w:rFonts w:ascii="Arial" w:cs="Arial" w:eastAsia="Arial" w:hAnsi="Arial"/>
                <w:sz w:val="20"/>
                <w:szCs w:val="20"/>
                <w:color w:val="auto"/>
                <w:w w:val="89"/>
              </w:rPr>
              <w:t>The components of segment performance were as follows:</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46"/>
        </w:trPr>
        <w:tc>
          <w:tcPr>
            <w:tcW w:w="5000" w:type="dxa"/>
            <w:vAlign w:val="bottom"/>
          </w:tcPr>
          <w:p>
            <w:pPr>
              <w:spacing w:after="0"/>
              <w:rPr>
                <w:sz w:val="20"/>
                <w:szCs w:val="20"/>
                <w:color w:val="auto"/>
              </w:rPr>
            </w:pPr>
            <w:r>
              <w:rPr>
                <w:rFonts w:ascii="Arial" w:cs="Arial" w:eastAsia="Arial" w:hAnsi="Arial"/>
                <w:sz w:val="20"/>
                <w:szCs w:val="20"/>
                <w:b w:val="1"/>
                <w:bCs w:val="1"/>
                <w:color w:val="auto"/>
              </w:rPr>
              <w:t>Three-Month Period Ended March 27, 2016:</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500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6"/>
              </w:rPr>
              <w:t>Battery &amp;</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2"/>
              </w:rPr>
              <w:t>Communi-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500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1"/>
              </w:rPr>
              <w:t>Energy</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5"/>
              </w:rPr>
              <w:t>cations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2"/>
        </w:trPr>
        <w:tc>
          <w:tcPr>
            <w:tcW w:w="5000" w:type="dxa"/>
            <w:vAlign w:val="bottom"/>
          </w:tcPr>
          <w:p>
            <w:pPr>
              <w:spacing w:after="0"/>
              <w:rPr>
                <w:sz w:val="21"/>
                <w:szCs w:val="21"/>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7"/>
              </w:rPr>
              <w:t>Products</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2"/>
              </w:rPr>
              <w:t>Systems</w:t>
            </w:r>
          </w:p>
        </w:tc>
        <w:tc>
          <w:tcPr>
            <w:tcW w:w="1520" w:type="dxa"/>
            <w:vAlign w:val="bottom"/>
            <w:gridSpan w:val="2"/>
          </w:tcPr>
          <w:p>
            <w:pPr>
              <w:ind w:left="160"/>
              <w:spacing w:after="0"/>
              <w:rPr>
                <w:sz w:val="20"/>
                <w:szCs w:val="20"/>
                <w:color w:val="auto"/>
              </w:rPr>
            </w:pPr>
            <w:r>
              <w:rPr>
                <w:rFonts w:ascii="Arial" w:cs="Arial" w:eastAsia="Arial" w:hAnsi="Arial"/>
                <w:sz w:val="20"/>
                <w:szCs w:val="20"/>
                <w:b w:val="1"/>
                <w:bCs w:val="1"/>
                <w:color w:val="auto"/>
              </w:rPr>
              <w:t>Corporate</w:t>
            </w:r>
          </w:p>
        </w:tc>
        <w:tc>
          <w:tcPr>
            <w:tcW w:w="1220" w:type="dxa"/>
            <w:vAlign w:val="bottom"/>
          </w:tcPr>
          <w:p>
            <w:pPr>
              <w:ind w:left="380"/>
              <w:spacing w:after="0"/>
              <w:rPr>
                <w:sz w:val="20"/>
                <w:szCs w:val="20"/>
                <w:color w:val="auto"/>
              </w:rPr>
            </w:pPr>
            <w:r>
              <w:rPr>
                <w:rFonts w:ascii="Arial" w:cs="Arial" w:eastAsia="Arial" w:hAnsi="Arial"/>
                <w:sz w:val="20"/>
                <w:szCs w:val="20"/>
                <w:b w:val="1"/>
                <w:bCs w:val="1"/>
                <w:color w:val="auto"/>
              </w:rPr>
              <w:t>Total</w:t>
            </w: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Revenues</w:t>
            </w:r>
          </w:p>
        </w:tc>
        <w:tc>
          <w:tcPr>
            <w:tcW w:w="13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8"/>
              </w:rPr>
              <w:t>$16,440</w:t>
            </w:r>
          </w:p>
        </w:tc>
        <w:tc>
          <w:tcPr>
            <w:tcW w:w="3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$ 4,393</w:t>
            </w: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94"/>
              </w:rPr>
              <w:t>$ -</w:t>
            </w: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8"/>
              </w:rPr>
              <w:t>$20,833</w:t>
            </w: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Segment contribution</w:t>
            </w: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5,217</w:t>
            </w:r>
          </w:p>
        </w:tc>
        <w:tc>
          <w:tcPr>
            <w:tcW w:w="3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7"/>
              </w:rPr>
              <w:t>1,188</w:t>
            </w: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91"/>
              </w:rPr>
              <w:t>(5,924)</w:t>
            </w:r>
          </w:p>
        </w:tc>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482</w:t>
            </w: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Interest, financing and miscellaneous expense, net</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(113)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(113)</w:t>
            </w: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Tax provision</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95"/>
              </w:rPr>
              <w:t>(88)</w:t>
            </w:r>
          </w:p>
        </w:tc>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95"/>
              </w:rPr>
              <w:t>(88)</w:t>
            </w: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Non-Controlling interest</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18</w:t>
            </w: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Net income attributable to Ultralife</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299</w:t>
            </w: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Total assets</w:t>
            </w: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$46,897</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$33,720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$5,025</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$85,643</w:t>
            </w:r>
          </w:p>
        </w:tc>
      </w:tr>
      <w:tr>
        <w:trPr>
          <w:trHeight w:val="882"/>
        </w:trPr>
        <w:tc>
          <w:tcPr>
            <w:tcW w:w="5000" w:type="dxa"/>
            <w:vAlign w:val="bottom"/>
          </w:tcPr>
          <w:p>
            <w:pPr>
              <w:spacing w:after="0"/>
              <w:rPr>
                <w:sz w:val="20"/>
                <w:szCs w:val="20"/>
                <w:color w:val="auto"/>
              </w:rPr>
            </w:pPr>
            <w:r>
              <w:rPr>
                <w:rFonts w:ascii="Arial" w:cs="Arial" w:eastAsia="Arial" w:hAnsi="Arial"/>
                <w:sz w:val="20"/>
                <w:szCs w:val="20"/>
                <w:b w:val="1"/>
                <w:bCs w:val="1"/>
                <w:color w:val="auto"/>
              </w:rPr>
              <w:t>Three-Month Period Ended March 29, 2015:</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500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6"/>
              </w:rPr>
              <w:t>Battery &amp;</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2"/>
              </w:rPr>
              <w:t>Communi-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500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1"/>
              </w:rPr>
              <w:t>Energy</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5"/>
              </w:rPr>
              <w:t>cations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2"/>
        </w:trPr>
        <w:tc>
          <w:tcPr>
            <w:tcW w:w="5000" w:type="dxa"/>
            <w:vAlign w:val="bottom"/>
          </w:tcPr>
          <w:p>
            <w:pPr>
              <w:spacing w:after="0"/>
              <w:rPr>
                <w:sz w:val="21"/>
                <w:szCs w:val="21"/>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7"/>
              </w:rPr>
              <w:t>Products</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2"/>
              </w:rPr>
              <w:t>Systems</w:t>
            </w:r>
          </w:p>
        </w:tc>
        <w:tc>
          <w:tcPr>
            <w:tcW w:w="1520" w:type="dxa"/>
            <w:vAlign w:val="bottom"/>
            <w:gridSpan w:val="2"/>
          </w:tcPr>
          <w:p>
            <w:pPr>
              <w:ind w:left="160"/>
              <w:spacing w:after="0"/>
              <w:rPr>
                <w:sz w:val="20"/>
                <w:szCs w:val="20"/>
                <w:color w:val="auto"/>
              </w:rPr>
            </w:pPr>
            <w:r>
              <w:rPr>
                <w:rFonts w:ascii="Arial" w:cs="Arial" w:eastAsia="Arial" w:hAnsi="Arial"/>
                <w:sz w:val="20"/>
                <w:szCs w:val="20"/>
                <w:b w:val="1"/>
                <w:bCs w:val="1"/>
                <w:color w:val="auto"/>
              </w:rPr>
              <w:t>Corporate</w:t>
            </w:r>
          </w:p>
        </w:tc>
        <w:tc>
          <w:tcPr>
            <w:tcW w:w="1220" w:type="dxa"/>
            <w:vAlign w:val="bottom"/>
          </w:tcPr>
          <w:p>
            <w:pPr>
              <w:ind w:left="380"/>
              <w:spacing w:after="0"/>
              <w:rPr>
                <w:sz w:val="20"/>
                <w:szCs w:val="20"/>
                <w:color w:val="auto"/>
              </w:rPr>
            </w:pPr>
            <w:r>
              <w:rPr>
                <w:rFonts w:ascii="Arial" w:cs="Arial" w:eastAsia="Arial" w:hAnsi="Arial"/>
                <w:sz w:val="20"/>
                <w:szCs w:val="20"/>
                <w:b w:val="1"/>
                <w:bCs w:val="1"/>
                <w:color w:val="auto"/>
              </w:rPr>
              <w:t>Total</w:t>
            </w: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Revenues</w:t>
            </w:r>
          </w:p>
        </w:tc>
        <w:tc>
          <w:tcPr>
            <w:tcW w:w="13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8"/>
              </w:rPr>
              <w:t>$16,276</w:t>
            </w:r>
          </w:p>
        </w:tc>
        <w:tc>
          <w:tcPr>
            <w:tcW w:w="3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$ 2,901</w:t>
            </w:r>
          </w:p>
        </w:tc>
        <w:tc>
          <w:tcPr>
            <w:tcW w:w="3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94"/>
              </w:rPr>
              <w:t>$ -</w:t>
            </w: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8"/>
              </w:rPr>
              <w:t>$19,177</w:t>
            </w: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Segment contribution</w:t>
            </w: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4,784</w:t>
            </w:r>
          </w:p>
        </w:tc>
        <w:tc>
          <w:tcPr>
            <w:tcW w:w="3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7"/>
              </w:rPr>
              <w:t>1,223</w:t>
            </w: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91"/>
              </w:rPr>
              <w:t>(5,185)</w:t>
            </w:r>
          </w:p>
        </w:tc>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822</w:t>
            </w: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Interest, financing and miscellaneous expense, net</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(188)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(188)</w:t>
            </w: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Tax provision</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89"/>
              </w:rPr>
              <w:t>(111)</w:t>
            </w:r>
          </w:p>
        </w:tc>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(111)</w:t>
            </w: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Discontinued operations</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Non-Controlling interest</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89"/>
              </w:rPr>
              <w:t>10</w:t>
            </w:r>
          </w:p>
        </w:tc>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10</w:t>
            </w: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Net income attributable to Ultralife</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533</w:t>
            </w: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Total assets</w:t>
            </w: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$37,299</w:t>
            </w:r>
          </w:p>
        </w:tc>
        <w:tc>
          <w:tcPr>
            <w:tcW w:w="3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$29,062</w:t>
            </w:r>
          </w:p>
        </w:tc>
        <w:tc>
          <w:tcPr>
            <w:tcW w:w="3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88"/>
              </w:rPr>
              <w:t>$22,694</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$89,055</w:t>
            </w:r>
          </w:p>
        </w:tc>
      </w:tr>
      <w:tr>
        <w:trPr>
          <w:trHeight w:val="344"/>
        </w:trPr>
        <w:tc>
          <w:tcPr>
            <w:tcW w:w="5000" w:type="dxa"/>
            <w:vAlign w:val="bottom"/>
          </w:tcPr>
          <w:p>
            <w:pPr>
              <w:spacing w:after="0"/>
              <w:rPr>
                <w:sz w:val="24"/>
                <w:szCs w:val="24"/>
                <w:color w:val="auto"/>
              </w:rPr>
            </w:pPr>
          </w:p>
        </w:tc>
        <w:tc>
          <w:tcPr>
            <w:tcW w:w="1360" w:type="dxa"/>
            <w:vAlign w:val="bottom"/>
          </w:tcPr>
          <w:p>
            <w:pPr>
              <w:jc w:val="right"/>
              <w:ind w:right="822"/>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FAIR VALUE OF FINANCIAL INSTRUMENTS</w:t>
      </w:r>
    </w:p>
    <w:p>
      <w:pPr>
        <w:spacing w:after="0" w:line="216"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The fair value of financial instruments approximated their carrying values at March 27, 2016 and December 31, 2015. The fair value of cash, trade accounts receivable, trade accounts payable and accrued liabilities approximates carrying value due to the short-term nature of these instruments. The fair value of debt approximates the carrying value due to short-term nature and the current ability to borrow under similar terms.</w:t>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FIRE AT MANUFACTURING FACILITY</w:t>
      </w:r>
    </w:p>
    <w:p>
      <w:pPr>
        <w:spacing w:after="0" w:line="216"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9"/>
          <w:szCs w:val="19"/>
          <w:color w:val="auto"/>
        </w:rPr>
        <w:t>In June 2011, we experienced a fire that damaged certain inventory and machinery and equipment at our facility in China. The total amount of the loss pertaining to assets and the related expenses was approximately $1,589. We have pursued a claim against our insurance policy, with the majority of our insurance claim related to the recovery of damaged inventory. We have received payments in June 2012 and April 2013 totaling approximately $1,286 as a partial payment on our insurance claim, which resulted in no gain or loss being recognized. As of March 27, 2016 and December 31, 2015, we reflect a receivable from the insurance company relating to this claim of $177, which is net of our deductible of approximately $126, and represents additional proceeds expected to be received.</w:t>
      </w:r>
    </w:p>
    <w:p>
      <w:pPr>
        <w:spacing w:after="0" w:line="200" w:lineRule="exact"/>
        <w:rPr>
          <w:sz w:val="20"/>
          <w:szCs w:val="20"/>
          <w:color w:val="auto"/>
        </w:rPr>
      </w:pPr>
    </w:p>
    <w:p>
      <w:pPr>
        <w:spacing w:after="0" w:line="26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RECENT ACCOUNTING PRONOUNCEMENTS AND DEVELOPMENTS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May 2014, the Financial Accounting Standards Board (FASB) issued Accounting Standards Update (ASU) 2014-09, “Revenue from Contracts with Customers.”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In August 2015, the FASB issued ASU 2015-14, which deferred the effective date of this standard until January 1, 2018. The Company is currently evaluating the potential impact of this new guidance as well as the available transition methods.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114"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potential costs because of the warranties we supply with our products and services; our ability to comply with changes to the regulations for the shipment of our products; our efforts to develop new commercial applications for our products; the unique risks associated with our China operations; possible future declines in demand for the products that use our batteries or communications systems; reduced U.S. and foreign military spending including the uncertainty associated with government budget approvals; possible impairments of our goodwill and other intangible assets; possible breaches in security and other disruptions; variability in our quarterly and annual results and the price of our common stock; safety risks, including the risk of fire; negative publicity of lithium-ion batteries; the risk that we are unable to protect our proprietary and intellectual property;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2015.</w:t>
      </w:r>
    </w:p>
    <w:p>
      <w:pPr>
        <w:spacing w:after="0" w:line="182"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2015 to reflect new information or risks, future events or other developments.</w:t>
      </w:r>
    </w:p>
    <w:p>
      <w:pPr>
        <w:spacing w:after="0" w:line="192"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2015.</w:t>
      </w:r>
    </w:p>
    <w:p>
      <w:pPr>
        <w:spacing w:after="0" w:line="18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216" w:lineRule="exact"/>
        <w:rPr>
          <w:sz w:val="20"/>
          <w:szCs w:val="20"/>
          <w:color w:val="auto"/>
        </w:rPr>
      </w:pPr>
    </w:p>
    <w:p>
      <w:pPr>
        <w:jc w:val="both"/>
        <w:ind w:firstLine="342"/>
        <w:spacing w:after="0" w:line="342"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12 in the Notes to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Overview</w:t>
      </w:r>
    </w:p>
    <w:p>
      <w:pPr>
        <w:spacing w:after="0" w:line="216"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Consolidated revenues of $20,833 for the three-month period ended March 27, 2016, increased by $1,656 or 8.6%, from $19,177 during the three-month period ended March 29, 2015, due to higher revenues from our Battery &amp; Energy Products business reflecting the January 13, 2016 acquisition of Accutronics and from our Communications Systems business driven by shipments of Vehicle Installed Power Enhanced Rifleman Appliqué (“VIPER”) systems.</w:t>
      </w:r>
    </w:p>
    <w:p>
      <w:pPr>
        <w:spacing w:after="0" w:line="192"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Gross profit for the three-month period ended March 27, 2016 was $6,405 or 30.7% of revenues, compared to $6,007 or 31.3% of revenues, for the same quarter a year ago. The 60 basis point reduction in gross margin in large part resulted from the write-up of certain Accutronics inventory for fair market value in line with Generally Accepted Accounting Principles (“GAAP”) purchase accounting and the subsequent sell through of that inventory during the first quarter.</w:t>
      </w:r>
    </w:p>
    <w:p>
      <w:pPr>
        <w:spacing w:after="0" w:line="192" w:lineRule="exact"/>
        <w:rPr>
          <w:sz w:val="20"/>
          <w:szCs w:val="20"/>
          <w:color w:val="auto"/>
        </w:rPr>
      </w:pPr>
    </w:p>
    <w:p>
      <w:pPr>
        <w:jc w:val="both"/>
        <w:ind w:firstLine="342"/>
        <w:spacing w:after="0" w:line="282" w:lineRule="auto"/>
        <w:rPr>
          <w:sz w:val="20"/>
          <w:szCs w:val="20"/>
          <w:color w:val="auto"/>
        </w:rPr>
      </w:pPr>
      <w:r>
        <w:rPr>
          <w:rFonts w:ascii="Arial" w:cs="Arial" w:eastAsia="Arial" w:hAnsi="Arial"/>
          <w:sz w:val="18"/>
          <w:szCs w:val="18"/>
          <w:color w:val="auto"/>
        </w:rPr>
        <w:t>Operating expenses increased to $5,923 during the three-month period ended March 27, 2016, compared to $5,185 during the three-month period ended March 29, 2015. The increase of $738 or 14.2% was fully attributable to Accutronics which contributed operating expenses of $1,005 in the first quarter, including $203 of one-time direct acquisition costs incurred by the Company. Excluding Accutronics, operating expenses decreased $267 or 5.1% due to strict control over selling, general and administrative discretionary spending.</w:t>
      </w:r>
    </w:p>
    <w:p>
      <w:pPr>
        <w:spacing w:after="0" w:line="162"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Operating income for the three-month period ended March 27, 2016 was $482 or 2.3% of revenues, compared to $822 or 4.3% for the year-earlier period. The year-over-year decrease in operating income primarily reflects the $295 impact of the purchase accounting adjustments and the non-recurring direct acquisition costs.</w:t>
      </w:r>
    </w:p>
    <w:p>
      <w:pPr>
        <w:spacing w:after="0" w:line="18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Net income was $281 or $0.02 per share, for the three-month period ended March 27, 2016, compared to $523 or $0.03 per share for the three-month period ended March 29, 2015. Net income for the first quarter of 2016 includes total one-time costs of $342 pertaining to the acquisition of Accutronics, equivalent $0.02 per share.</w:t>
      </w:r>
    </w:p>
    <w:p>
      <w:pPr>
        <w:spacing w:after="0" w:line="186"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Adjusted EBITDA, defined as net income (loss) attributable to Ultralife before net interest expense, provision (benefit) for income taxes, depreciation and amortization, plus/minus expenses/income that we do not consider reflective of our ongoing operations, amounted to $1,506 in the first quarter of 2016 compared to $1,510 for the first quarter of 2015. See the section “Adjusted EBITDA” beginning on page 22 for a reconciliation of Adjusted EBITDA to net income attributable to Ultralife.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Primarily as a result of our acquisition of Accutronics on January 13, 2016, together with an increase in accounts receivable due to the timing of first quarter sales and an increase in inventory to fulfill backorders, we utilized $11,634 of cash and cash equivalents for the three month period ended March 27, 2016. Accordingly, cash and cash and cash equivalents decreased from $14,393 at December 31, 2015 to $2,759 at March 27, 2016.</w:t>
      </w:r>
    </w:p>
    <w:p>
      <w:pPr>
        <w:spacing w:after="0" w:line="192"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As our market opportunities mature and through continued new product development, we remain well positioned to deliver profitable growth in 2016 now boosted by our acquisition of Accutronics.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Three-month periods ended March 27, 2016 and March 29, 2015</w:t>
      </w:r>
    </w:p>
    <w:p>
      <w:pPr>
        <w:spacing w:after="0" w:line="21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Consolidated revenues for the three-month period ended March 27, 2016 amounted to $20,833, an increase of $1,656, or</w:t>
      </w:r>
      <w:r>
        <w:rPr>
          <w:rFonts w:ascii="Arial" w:cs="Arial" w:eastAsia="Arial" w:hAnsi="Arial"/>
          <w:sz w:val="20"/>
          <w:szCs w:val="20"/>
          <w:b w:val="1"/>
          <w:bCs w:val="1"/>
          <w:color w:val="auto"/>
        </w:rPr>
        <w:t xml:space="preserve"> </w:t>
      </w:r>
      <w:r>
        <w:rPr>
          <w:rFonts w:ascii="Arial" w:cs="Arial" w:eastAsia="Arial" w:hAnsi="Arial"/>
          <w:sz w:val="20"/>
          <w:szCs w:val="20"/>
          <w:color w:val="auto"/>
        </w:rPr>
        <w:t>8.6%, from the $19,177 reported for the three-month period ended March 29, 2015. Revenues for the 2016 period include Accutronics which was acquired by the Company on January 13, 2016.</w:t>
      </w:r>
    </w:p>
    <w:p>
      <w:pPr>
        <w:spacing w:after="0" w:line="184"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9"/>
          <w:szCs w:val="19"/>
          <w:color w:val="auto"/>
        </w:rPr>
        <w:t>Battery &amp; Energy Products revenues increased $164, or 1.0%, from $16,276 for the three-month period ended March 29, 2015 to $16,440 for the three-month period ended March 27, 2016. The increase was attributable to the $2,486 revenue contribution resulting from the acquisition of Accutronics which along with other increases in the core business more than compensated for the absence of a large 9-Volt and a large battery charger order fulfilled in the first quarter of 2015. Commercial revenues for the first quarter of 2016 increased 20.0% over the prior year period, reflecting Accutronics sales, which partially offset the year earlier sales demand for our 9-Volt batteries from large global smoke detector OEM’s to comply with legislation and trends in certain European Union countries for products lasting ten years. Our rechargeable battery business, primarily comprised of medical sales, grew 27% year-over-year before including the contribution of Accutronics. Government and defense sales decreased 13.6% from the 2015 period due to the shipment of a large charger order to an international prime defense supplier in 2015 which was partially compensated for by a 106.5% increase in rechargeable battery sales and higher charger shipments to international customers.</w:t>
      </w:r>
    </w:p>
    <w:p>
      <w:pPr>
        <w:spacing w:after="0" w:line="181" w:lineRule="exact"/>
        <w:rPr>
          <w:sz w:val="20"/>
          <w:szCs w:val="20"/>
          <w:color w:val="auto"/>
        </w:rPr>
      </w:pPr>
    </w:p>
    <w:p>
      <w:pPr>
        <w:jc w:val="both"/>
        <w:ind w:firstLine="342"/>
        <w:spacing w:after="0" w:line="263" w:lineRule="auto"/>
        <w:rPr>
          <w:sz w:val="20"/>
          <w:szCs w:val="20"/>
          <w:color w:val="auto"/>
        </w:rPr>
      </w:pPr>
      <w:r>
        <w:rPr>
          <w:rFonts w:ascii="Arial" w:cs="Arial" w:eastAsia="Arial" w:hAnsi="Arial"/>
          <w:sz w:val="19"/>
          <w:szCs w:val="19"/>
          <w:color w:val="auto"/>
        </w:rPr>
        <w:t>Communications Systems revenues increased $1,492, or 51.4%, from $2,901 during the three-month period ended March 29, 2015 to $4,393 for the three-month period ended March 27, 2016. This increase is attributable to shipments of VIPER systems which more than offset a decrease in core product sales due to closing delays associated with some orders which are expected to ship in subsequent quarters of 2016 and a large 2015 shipment of Universal Vehicle Adaptors to an international prime contractor.</w:t>
      </w:r>
    </w:p>
    <w:p>
      <w:pPr>
        <w:spacing w:after="0" w:line="171"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9"/>
          <w:szCs w:val="19"/>
          <w:b w:val="1"/>
          <w:bCs w:val="1"/>
          <w:color w:val="auto"/>
        </w:rPr>
        <w:t xml:space="preserve">Cost of Products Sold. </w:t>
      </w:r>
      <w:r>
        <w:rPr>
          <w:rFonts w:ascii="Arial" w:cs="Arial" w:eastAsia="Arial" w:hAnsi="Arial"/>
          <w:sz w:val="19"/>
          <w:szCs w:val="19"/>
          <w:color w:val="auto"/>
        </w:rPr>
        <w:t>Cost of products sold totaled $14,428 for the quarter ended March 27, 2016, an increase of $1,258, or 9.5%, from</w:t>
      </w:r>
      <w:r>
        <w:rPr>
          <w:rFonts w:ascii="Arial" w:cs="Arial" w:eastAsia="Arial" w:hAnsi="Arial"/>
          <w:sz w:val="19"/>
          <w:szCs w:val="19"/>
          <w:b w:val="1"/>
          <w:bCs w:val="1"/>
          <w:color w:val="auto"/>
        </w:rPr>
        <w:t xml:space="preserve"> </w:t>
      </w:r>
      <w:r>
        <w:rPr>
          <w:rFonts w:ascii="Arial" w:cs="Arial" w:eastAsia="Arial" w:hAnsi="Arial"/>
          <w:sz w:val="19"/>
          <w:szCs w:val="19"/>
          <w:color w:val="auto"/>
        </w:rPr>
        <w:t>the $13,170 reported for the same three-month period a year ago. Consolidated cost of products sold as a percentage of total revenue increased from 68.7% for the three-month period ended March 29, 2015 to 69.3% for the three-month period ended March 27, 2016. Correspondingly, consolidated gross margin was 30.7% for the three-month period ended March 27, 2016, compared with 31.3% for the three-month period ended March 29, 2015, primarily reflecting a one-time adjustment to increase the opening inventory of Accutronics to fair market value in accordance with purchase accounting which resulted in a 44 basis point reduction in reported gross margin upon sell through of the product during the first quarter of 2016 and sales mix.</w:t>
      </w:r>
    </w:p>
    <w:p>
      <w:pPr>
        <w:spacing w:after="0" w:line="179" w:lineRule="exact"/>
        <w:rPr>
          <w:sz w:val="20"/>
          <w:szCs w:val="20"/>
          <w:color w:val="auto"/>
        </w:rPr>
      </w:pPr>
    </w:p>
    <w:p>
      <w:pPr>
        <w:jc w:val="both"/>
        <w:ind w:firstLine="342"/>
        <w:spacing w:after="0" w:line="263" w:lineRule="auto"/>
        <w:rPr>
          <w:sz w:val="20"/>
          <w:szCs w:val="20"/>
          <w:color w:val="auto"/>
        </w:rPr>
      </w:pPr>
      <w:r>
        <w:rPr>
          <w:rFonts w:ascii="Arial" w:cs="Arial" w:eastAsia="Arial" w:hAnsi="Arial"/>
          <w:sz w:val="19"/>
          <w:szCs w:val="19"/>
          <w:color w:val="auto"/>
        </w:rPr>
        <w:t>In our Battery &amp; Energy Products segment, the cost of products sold decreased $270, or 2.3% from $11,492 during the three-month period ended March 29, 2015 to $11,222 during the three-month period ended March 27, 2016. Battery &amp; Energy Products’ gross profit for the first quarter of 2016 was $5,217 or 31.7% of revenues, an increase of $433 or 9.0% from gross profit of $4,784, or 29.4% of revenues, for the first quarter of 2015. Battery &amp; Energy Products’ gross margin as a percentage of revenues increased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three-month period ended March 27, 2016 by 230 basis points, reflecting favorable mix, despite the purchase accounting adjustment for the increase of Accutronics opening inventory to fair market value upon which $91 was recognized in cost of products sold in the first quarter of 2016. Excluding this adjustment, the gross margin for Battery &amp; Energy Products would have been 32.2%, the highest ever reported for this segment.</w:t>
      </w:r>
    </w:p>
    <w:p>
      <w:pPr>
        <w:spacing w:after="0" w:line="192" w:lineRule="exact"/>
        <w:rPr>
          <w:sz w:val="20"/>
          <w:szCs w:val="20"/>
          <w:color w:val="auto"/>
        </w:rPr>
      </w:pPr>
    </w:p>
    <w:p>
      <w:pPr>
        <w:jc w:val="both"/>
        <w:ind w:firstLine="342"/>
        <w:spacing w:after="0" w:line="244" w:lineRule="auto"/>
        <w:rPr>
          <w:sz w:val="20"/>
          <w:szCs w:val="20"/>
          <w:color w:val="auto"/>
        </w:rPr>
      </w:pPr>
      <w:r>
        <w:rPr>
          <w:rFonts w:ascii="Arial" w:cs="Arial" w:eastAsia="Arial" w:hAnsi="Arial"/>
          <w:sz w:val="20"/>
          <w:szCs w:val="20"/>
          <w:color w:val="auto"/>
        </w:rPr>
        <w:t>In our Communications Systems segment, the cost of products sold increased by $1,527 or 91.0% from $1,678 during the three-month period ended March 29, 2015 to $3,205 during the three-month period ended March 27, 2016 due to the higher sales in 2016. Communications Systems’ gross profit for the first quarter of 2016 was $1,188 or 27.0% of revenues, a decrease of $35 or 2.8%, from gross profit of $1,223, or 42.2% of revenues, for the first quarter of 2015. The 1,520 basis points decrease in gross margin as a percentage of revenue during 2016 is driven by the sales mix.</w:t>
      </w:r>
    </w:p>
    <w:p>
      <w:pPr>
        <w:spacing w:after="0" w:line="189"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Total operating expenses for the three-month period ended March 27, 2016 totaled $5,923, an increase of $738 or</w:t>
      </w:r>
      <w:r>
        <w:rPr>
          <w:rFonts w:ascii="Arial" w:cs="Arial" w:eastAsia="Arial" w:hAnsi="Arial"/>
          <w:sz w:val="20"/>
          <w:szCs w:val="20"/>
          <w:b w:val="1"/>
          <w:bCs w:val="1"/>
          <w:color w:val="auto"/>
        </w:rPr>
        <w:t xml:space="preserve"> </w:t>
      </w:r>
      <w:r>
        <w:rPr>
          <w:rFonts w:ascii="Arial" w:cs="Arial" w:eastAsia="Arial" w:hAnsi="Arial"/>
          <w:sz w:val="20"/>
          <w:szCs w:val="20"/>
          <w:color w:val="auto"/>
        </w:rPr>
        <w:t>14.2% from the $5,185 recorded during the three-month period ended March 29, 2015. The increase was fully attributable to the acquisition of Accutronics, which contributed operating expenses of $1,005 in the first quarter, including $203 of one-time direct acquisition costs and $92 of intangible asset amortization. Excluding Accutronics results, operating expenses decreased $267 or 5.1% due primarily to strict control over discretionary spending.</w:t>
      </w:r>
    </w:p>
    <w:p>
      <w:pPr>
        <w:spacing w:after="0" w:line="191" w:lineRule="exact"/>
        <w:rPr>
          <w:sz w:val="20"/>
          <w:szCs w:val="20"/>
          <w:color w:val="auto"/>
        </w:rPr>
      </w:pPr>
    </w:p>
    <w:p>
      <w:pPr>
        <w:jc w:val="both"/>
        <w:ind w:firstLine="342"/>
        <w:spacing w:after="0" w:line="271" w:lineRule="auto"/>
        <w:rPr>
          <w:sz w:val="20"/>
          <w:szCs w:val="20"/>
          <w:color w:val="auto"/>
        </w:rPr>
      </w:pPr>
      <w:r>
        <w:rPr>
          <w:rFonts w:ascii="Arial" w:cs="Arial" w:eastAsia="Arial" w:hAnsi="Arial"/>
          <w:sz w:val="18"/>
          <w:szCs w:val="18"/>
          <w:color w:val="auto"/>
        </w:rPr>
        <w:t>Overall, operating expenses as a percentage of revenues were 28.4% for the quarter ended March 27, 2016 compared to 27.0% for the quarter ended March 29, 2015. Amortization expense associated with intangible assets related to our acquisitions was $137, including $92 for Accutronics, for the first quarter of 2016 ($86 in selling, general and administrative expenses and $51 in research and development costs), compared with $60 for the first quarter of 2015 ($28 in selling, general, and administrative expenses and $32 in research and development costs). Research and development costs were $1,656 for the three-month period ended March 27, 2016, an increase of $297 or 21.9%, from $1,359 for the three-months ended March 29, 2015. The increase is comprised of $184 of research and development costs (including intangible asset amortization of $28) incurred by Accutronics and an increase of $113 due to the higher level of new product development spending in the 2016 period in response to a heightened level of requests for proposals. Selling, general, and administrative expenses increased $441 or 11.5%, to $4,267 during the first quarter of 2016 from $3,826 during the first quarter of 2015. The increase is fully attributable to the inclusion of Accutronics results which contributed $619 (including intangible asset amortization of $64) of selling, general and administrative expenses for the first quarter, partially offset by continued actions in the core business to reduce discretionary expenses.</w:t>
      </w:r>
    </w:p>
    <w:p>
      <w:pPr>
        <w:spacing w:after="0" w:line="165" w:lineRule="exact"/>
        <w:rPr>
          <w:sz w:val="20"/>
          <w:szCs w:val="20"/>
          <w:color w:val="auto"/>
        </w:rPr>
      </w:pPr>
    </w:p>
    <w:p>
      <w:pPr>
        <w:jc w:val="both"/>
        <w:ind w:firstLine="342"/>
        <w:spacing w:after="0" w:line="245" w:lineRule="auto"/>
        <w:rPr>
          <w:sz w:val="20"/>
          <w:szCs w:val="20"/>
          <w:color w:val="auto"/>
        </w:rPr>
      </w:pPr>
      <w:r>
        <w:rPr>
          <w:rFonts w:ascii="Arial" w:cs="Arial" w:eastAsia="Arial" w:hAnsi="Arial"/>
          <w:sz w:val="20"/>
          <w:szCs w:val="20"/>
          <w:b w:val="1"/>
          <w:bCs w:val="1"/>
          <w:color w:val="auto"/>
        </w:rPr>
        <w:t xml:space="preserve">Other Income (Expense). </w:t>
      </w:r>
      <w:r>
        <w:rPr>
          <w:rFonts w:ascii="Arial" w:cs="Arial" w:eastAsia="Arial" w:hAnsi="Arial"/>
          <w:sz w:val="20"/>
          <w:szCs w:val="20"/>
          <w:color w:val="auto"/>
        </w:rPr>
        <w:t>Other (expense) totaled ($113) for the three-month period ended March 27, 2016 compared to ($188)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three-month period ended March 29, 2015. Interest and financing expense, net of interest income, increased $36, to $102 for the first quarter of 2016 from $66 for the comparable period in 2015, as a result of one-time costs of $48 associated with the acquisition of Accutronics. Miscellaneous expense amounted to ($11) for the first quarter of 2016 compared with ($122) for the first quarter of 2015, primarily due to the Company’s actions commenced in the latter half of 2015 to mitigate the impact of foreign currency fluctuation between the U.S. dollar relative to the Euro and Pounds Sterling.</w:t>
      </w:r>
    </w:p>
    <w:p>
      <w:pPr>
        <w:spacing w:after="0" w:line="185" w:lineRule="exact"/>
        <w:rPr>
          <w:sz w:val="20"/>
          <w:szCs w:val="20"/>
          <w:color w:val="auto"/>
        </w:rPr>
      </w:pPr>
    </w:p>
    <w:p>
      <w:pPr>
        <w:jc w:val="both"/>
        <w:ind w:firstLine="342"/>
        <w:spacing w:after="0" w:line="293" w:lineRule="auto"/>
        <w:rPr>
          <w:sz w:val="20"/>
          <w:szCs w:val="20"/>
          <w:color w:val="auto"/>
        </w:rPr>
      </w:pPr>
      <w:r>
        <w:rPr>
          <w:rFonts w:ascii="Arial" w:cs="Arial" w:eastAsia="Arial" w:hAnsi="Arial"/>
          <w:sz w:val="19"/>
          <w:szCs w:val="19"/>
          <w:b w:val="1"/>
          <w:bCs w:val="1"/>
          <w:color w:val="auto"/>
        </w:rPr>
        <w:t xml:space="preserve">Income Taxes. </w:t>
      </w:r>
      <w:r>
        <w:rPr>
          <w:rFonts w:ascii="Arial" w:cs="Arial" w:eastAsia="Arial" w:hAnsi="Arial"/>
          <w:sz w:val="19"/>
          <w:szCs w:val="19"/>
          <w:color w:val="auto"/>
        </w:rPr>
        <w:t>We reflected a tax provision of $88 for the first quarter of 2016 compared with a tax provision of $111 for the first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of 2015. The effective consolidated tax rate for the three-month periods ended March 27, 2016 and March 29, 2015 was: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60" w:type="dxa"/>
            <w:vAlign w:val="bottom"/>
            <w:gridSpan w:val="3"/>
          </w:tcPr>
          <w:p>
            <w:pPr>
              <w:ind w:left="720"/>
              <w:spacing w:after="0"/>
              <w:rPr>
                <w:sz w:val="20"/>
                <w:szCs w:val="20"/>
                <w:color w:val="auto"/>
              </w:rPr>
            </w:pPr>
            <w:r>
              <w:rPr>
                <w:rFonts w:ascii="Arial" w:cs="Arial" w:eastAsia="Arial" w:hAnsi="Arial"/>
                <w:sz w:val="18"/>
                <w:szCs w:val="18"/>
                <w:b w:val="1"/>
                <w:bCs w:val="1"/>
                <w:color w:val="auto"/>
                <w:w w:val="89"/>
              </w:rPr>
              <w:t>Three month periods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60" w:type="dxa"/>
            <w:vAlign w:val="bottom"/>
            <w:gridSpan w:val="3"/>
          </w:tcPr>
          <w:p>
            <w:pPr>
              <w:ind w:left="720"/>
              <w:spacing w:after="0"/>
              <w:rPr>
                <w:sz w:val="20"/>
                <w:szCs w:val="20"/>
                <w:color w:val="auto"/>
              </w:rPr>
            </w:pPr>
            <w:r>
              <w:rPr>
                <w:rFonts w:ascii="Arial" w:cs="Arial" w:eastAsia="Arial" w:hAnsi="Arial"/>
                <w:sz w:val="18"/>
                <w:szCs w:val="18"/>
                <w:b w:val="1"/>
                <w:bCs w:val="1"/>
                <w:color w:val="auto"/>
              </w:rPr>
              <w:t>March 27,</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3"/>
              </w:rPr>
              <w:t>March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2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9"/>
              </w:rPr>
              <w:t>2016</w:t>
            </w:r>
          </w:p>
        </w:tc>
        <w:tc>
          <w:tcPr>
            <w:tcW w:w="13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w:t>
            </w: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$369</w:t>
            </w:r>
          </w:p>
        </w:tc>
        <w:tc>
          <w:tcPr>
            <w:tcW w:w="1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$634</w:t>
            </w:r>
          </w:p>
        </w:tc>
        <w:tc>
          <w:tcPr>
            <w:tcW w:w="0" w:type="dxa"/>
            <w:vAlign w:val="bottom"/>
          </w:tcPr>
          <w:p>
            <w:pPr>
              <w:spacing w:after="0"/>
              <w:rPr>
                <w:sz w:val="1"/>
                <w:szCs w:val="1"/>
                <w:color w:val="auto"/>
              </w:rPr>
            </w:pPr>
          </w:p>
        </w:tc>
      </w:tr>
      <w:tr>
        <w:trPr>
          <w:trHeight w:val="392"/>
        </w:trPr>
        <w:tc>
          <w:tcPr>
            <w:tcW w:w="5020" w:type="dxa"/>
            <w:vAlign w:val="bottom"/>
            <w:gridSpan w:val="2"/>
          </w:tcPr>
          <w:p>
            <w:pPr>
              <w:spacing w:after="0"/>
              <w:rPr>
                <w:sz w:val="20"/>
                <w:szCs w:val="20"/>
                <w:color w:val="auto"/>
              </w:rPr>
            </w:pPr>
            <w:r>
              <w:rPr>
                <w:rFonts w:ascii="Arial" w:cs="Arial" w:eastAsia="Arial" w:hAnsi="Arial"/>
                <w:sz w:val="18"/>
                <w:szCs w:val="18"/>
                <w:color w:val="auto"/>
              </w:rPr>
              <w:t>Income tax provision (b)</w:t>
            </w:r>
          </w:p>
        </w:tc>
        <w:tc>
          <w:tcPr>
            <w:tcW w:w="15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88</w:t>
            </w:r>
          </w:p>
        </w:tc>
        <w:tc>
          <w:tcPr>
            <w:tcW w:w="1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(b/a)</w:t>
            </w:r>
          </w:p>
        </w:tc>
        <w:tc>
          <w:tcPr>
            <w:tcW w:w="152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0"/>
              </w:rPr>
              <w:t>23.8%</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9 in the Notes to Consolidated Financial Statements for additional information regarding our income taxes.</w:t>
      </w:r>
    </w:p>
    <w:p>
      <w:pPr>
        <w:spacing w:after="0" w:line="210"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19"/>
          <w:szCs w:val="19"/>
          <w:b w:val="1"/>
          <w:bCs w:val="1"/>
          <w:color w:val="auto"/>
        </w:rPr>
        <w:t xml:space="preserve">Net Income Attributable to Ultralife. </w:t>
      </w:r>
      <w:r>
        <w:rPr>
          <w:rFonts w:ascii="Arial" w:cs="Arial" w:eastAsia="Arial" w:hAnsi="Arial"/>
          <w:sz w:val="19"/>
          <w:szCs w:val="19"/>
          <w:color w:val="auto"/>
        </w:rPr>
        <w:t>Net income attributable to Ultralife and income attributable to Ultralife common shareholders per</w:t>
      </w:r>
      <w:r>
        <w:rPr>
          <w:rFonts w:ascii="Arial" w:cs="Arial" w:eastAsia="Arial" w:hAnsi="Arial"/>
          <w:sz w:val="19"/>
          <w:szCs w:val="19"/>
          <w:b w:val="1"/>
          <w:bCs w:val="1"/>
          <w:color w:val="auto"/>
        </w:rPr>
        <w:t xml:space="preserve"> </w:t>
      </w:r>
      <w:r>
        <w:rPr>
          <w:rFonts w:ascii="Arial" w:cs="Arial" w:eastAsia="Arial" w:hAnsi="Arial"/>
          <w:sz w:val="19"/>
          <w:szCs w:val="19"/>
          <w:color w:val="auto"/>
        </w:rPr>
        <w:t>diluted share was $299 and $.02, respectively, for the three months ended March 27, 2016 compared to $533 and $0.03, respectively, for the three months ended March 29, 2015. The 2016 period was impacted by the purchase accounting adjustments and non-recurring costs totaling $343 related to the acquisition of Accutronics, equivalent to $0.02 per share. Average common shares outstanding used to compute diluted earnings per share decreased from 17,354,000 in the first quarter of 2015 to 15,666,000 in the first quarter of 2016, mainly due to the repurchase of shares under the Company’s share repurchase program during 2015.</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EBITDA</w:t>
      </w:r>
    </w:p>
    <w:p>
      <w:pPr>
        <w:spacing w:after="0" w:line="216" w:lineRule="exact"/>
        <w:rPr>
          <w:sz w:val="20"/>
          <w:szCs w:val="20"/>
          <w:color w:val="auto"/>
        </w:rPr>
      </w:pPr>
    </w:p>
    <w:p>
      <w:pPr>
        <w:jc w:val="both"/>
        <w:ind w:firstLine="342"/>
        <w:spacing w:after="0" w:line="271" w:lineRule="auto"/>
        <w:rPr>
          <w:sz w:val="20"/>
          <w:szCs w:val="20"/>
          <w:color w:val="auto"/>
        </w:rPr>
      </w:pPr>
      <w:r>
        <w:rPr>
          <w:rFonts w:ascii="Arial" w:cs="Arial" w:eastAsia="Arial" w:hAnsi="Arial"/>
          <w:sz w:val="18"/>
          <w:szCs w:val="18"/>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plus/minus expenses/income that we do not consider reflective of our ongoing continuing operations. We use Adjusted EBITDA as a supplemental measure to review and assess our operating performance and to enhance comparability between periods. We also believe the use of Adjusted EBITDA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71" w:lineRule="exact"/>
        <w:rPr>
          <w:sz w:val="20"/>
          <w:szCs w:val="20"/>
          <w:color w:val="auto"/>
        </w:rPr>
      </w:pPr>
    </w:p>
    <w:p>
      <w:pPr>
        <w:jc w:val="both"/>
        <w:ind w:firstLine="342"/>
        <w:spacing w:after="0" w:line="272" w:lineRule="auto"/>
        <w:rPr>
          <w:sz w:val="20"/>
          <w:szCs w:val="20"/>
          <w:color w:val="auto"/>
        </w:rPr>
      </w:pPr>
      <w:r>
        <w:rPr>
          <w:rFonts w:ascii="Arial" w:cs="Arial" w:eastAsia="Arial" w:hAnsi="Arial"/>
          <w:sz w:val="18"/>
          <w:szCs w:val="18"/>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firstLine="342"/>
        <w:spacing w:after="0" w:line="244" w:lineRule="auto"/>
        <w:rPr>
          <w:sz w:val="20"/>
          <w:szCs w:val="20"/>
          <w:color w:val="auto"/>
        </w:rPr>
      </w:pPr>
      <w:r>
        <w:rPr>
          <w:rFonts w:ascii="Arial" w:cs="Arial" w:eastAsia="Arial" w:hAnsi="Arial"/>
          <w:sz w:val="20"/>
          <w:szCs w:val="20"/>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222" w:lineRule="exact"/>
        <w:rPr>
          <w:sz w:val="20"/>
          <w:szCs w:val="20"/>
          <w:color w:val="auto"/>
        </w:rPr>
      </w:pPr>
    </w:p>
    <w:p>
      <w:pPr>
        <w:jc w:val="both"/>
        <w:ind w:left="1460" w:hanging="547"/>
        <w:spacing w:after="0" w:line="263" w:lineRule="auto"/>
        <w:tabs>
          <w:tab w:leader="none" w:pos="1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203" w:lineRule="exact"/>
        <w:rPr>
          <w:rFonts w:ascii="Arial" w:cs="Arial" w:eastAsia="Arial" w:hAnsi="Arial"/>
          <w:sz w:val="19"/>
          <w:szCs w:val="19"/>
          <w:color w:val="auto"/>
        </w:rPr>
      </w:pPr>
    </w:p>
    <w:p>
      <w:pPr>
        <w:jc w:val="both"/>
        <w:ind w:left="1460" w:hanging="547"/>
        <w:spacing w:after="0" w:line="250" w:lineRule="auto"/>
        <w:tabs>
          <w:tab w:leader="none" w:pos="1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213" w:lineRule="exact"/>
        <w:rPr>
          <w:rFonts w:ascii="Arial" w:cs="Arial" w:eastAsia="Arial" w:hAnsi="Arial"/>
          <w:sz w:val="20"/>
          <w:szCs w:val="20"/>
          <w:color w:val="auto"/>
        </w:rPr>
      </w:pPr>
    </w:p>
    <w:p>
      <w:pPr>
        <w:jc w:val="both"/>
        <w:ind w:left="1460" w:hanging="547"/>
        <w:spacing w:after="0" w:line="250" w:lineRule="auto"/>
        <w:tabs>
          <w:tab w:leader="none" w:pos="1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213" w:lineRule="exact"/>
        <w:rPr>
          <w:rFonts w:ascii="Arial" w:cs="Arial" w:eastAsia="Arial" w:hAnsi="Arial"/>
          <w:sz w:val="20"/>
          <w:szCs w:val="20"/>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is calculated as follows for the periods presented:</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3360" w:type="dxa"/>
            <w:vAlign w:val="bottom"/>
            <w:gridSpan w:val="3"/>
          </w:tcPr>
          <w:p>
            <w:pPr>
              <w:ind w:left="520"/>
              <w:spacing w:after="0"/>
              <w:rPr>
                <w:sz w:val="20"/>
                <w:szCs w:val="20"/>
                <w:color w:val="auto"/>
              </w:rPr>
            </w:pPr>
            <w:r>
              <w:rPr>
                <w:rFonts w:ascii="Arial" w:cs="Arial" w:eastAsia="Arial" w:hAnsi="Arial"/>
                <w:sz w:val="20"/>
                <w:szCs w:val="20"/>
                <w:b w:val="1"/>
                <w:bCs w:val="1"/>
                <w:color w:val="auto"/>
              </w:rPr>
              <w:t>Three month periods ended</w:t>
            </w: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460" w:type="dxa"/>
            <w:vAlign w:val="bottom"/>
          </w:tcPr>
          <w:p>
            <w:pPr>
              <w:ind w:left="300"/>
              <w:spacing w:after="0"/>
              <w:rPr>
                <w:sz w:val="20"/>
                <w:szCs w:val="20"/>
                <w:color w:val="auto"/>
              </w:rPr>
            </w:pPr>
            <w:r>
              <w:rPr>
                <w:rFonts w:ascii="Arial" w:cs="Arial" w:eastAsia="Arial" w:hAnsi="Arial"/>
                <w:sz w:val="20"/>
                <w:szCs w:val="20"/>
                <w:b w:val="1"/>
                <w:bCs w:val="1"/>
                <w:color w:val="auto"/>
              </w:rPr>
              <w:t>March 27,</w:t>
            </w:r>
          </w:p>
        </w:tc>
        <w:tc>
          <w:tcPr>
            <w:tcW w:w="4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20"/>
                <w:szCs w:val="20"/>
                <w:b w:val="1"/>
                <w:bCs w:val="1"/>
                <w:color w:val="auto"/>
              </w:rPr>
              <w:t>March 29,</w:t>
            </w:r>
          </w:p>
        </w:tc>
      </w:tr>
      <w:tr>
        <w:trPr>
          <w:trHeight w:val="252"/>
        </w:trPr>
        <w:tc>
          <w:tcPr>
            <w:tcW w:w="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9"/>
              </w:rPr>
              <w:t>2016</w:t>
            </w:r>
          </w:p>
        </w:tc>
        <w:tc>
          <w:tcPr>
            <w:tcW w:w="1900" w:type="dxa"/>
            <w:vAlign w:val="bottom"/>
            <w:gridSpan w:val="2"/>
          </w:tcPr>
          <w:p>
            <w:pPr>
              <w:jc w:val="center"/>
              <w:ind w:left="321"/>
              <w:spacing w:after="0"/>
              <w:rPr>
                <w:sz w:val="20"/>
                <w:szCs w:val="20"/>
                <w:color w:val="auto"/>
              </w:rPr>
            </w:pPr>
            <w:r>
              <w:rPr>
                <w:rFonts w:ascii="Arial" w:cs="Arial" w:eastAsia="Arial" w:hAnsi="Arial"/>
                <w:sz w:val="20"/>
                <w:szCs w:val="20"/>
                <w:b w:val="1"/>
                <w:bCs w:val="1"/>
                <w:color w:val="auto"/>
                <w:w w:val="89"/>
              </w:rPr>
              <w:t>2015</w:t>
            </w:r>
          </w:p>
        </w:tc>
      </w:tr>
      <w:tr>
        <w:trPr>
          <w:trHeight w:val="223"/>
        </w:trPr>
        <w:tc>
          <w:tcPr>
            <w:tcW w:w="20" w:type="dxa"/>
            <w:vAlign w:val="bottom"/>
          </w:tcPr>
          <w:p>
            <w:pPr>
              <w:spacing w:after="0"/>
              <w:rPr>
                <w:sz w:val="19"/>
                <w:szCs w:val="19"/>
                <w:color w:val="auto"/>
              </w:rPr>
            </w:pPr>
          </w:p>
        </w:tc>
        <w:tc>
          <w:tcPr>
            <w:tcW w:w="7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income attributable to Ultralife</w:t>
            </w:r>
          </w:p>
        </w:tc>
        <w:tc>
          <w:tcPr>
            <w:tcW w:w="14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$299</w:t>
            </w:r>
          </w:p>
        </w:tc>
        <w:tc>
          <w:tcPr>
            <w:tcW w:w="4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$533</w:t>
            </w: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20"/>
                <w:szCs w:val="20"/>
                <w:color w:val="auto"/>
              </w:rPr>
              <w:t>Add:</w:t>
            </w: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and financing expense, net</w:t>
            </w: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102</w:t>
            </w:r>
          </w:p>
        </w:tc>
        <w:tc>
          <w:tcPr>
            <w:tcW w:w="1900" w:type="dxa"/>
            <w:vAlign w:val="bottom"/>
            <w:gridSpan w:val="2"/>
            <w:shd w:val="clear" w:color="auto" w:fill="CCEEFF"/>
          </w:tcPr>
          <w:p>
            <w:pPr>
              <w:jc w:val="center"/>
              <w:ind w:left="321"/>
              <w:spacing w:after="0"/>
              <w:rPr>
                <w:sz w:val="20"/>
                <w:szCs w:val="20"/>
                <w:color w:val="auto"/>
              </w:rPr>
            </w:pPr>
            <w:r>
              <w:rPr>
                <w:rFonts w:ascii="Arial" w:cs="Arial" w:eastAsia="Arial" w:hAnsi="Arial"/>
                <w:sz w:val="20"/>
                <w:szCs w:val="20"/>
                <w:color w:val="auto"/>
                <w:w w:val="89"/>
              </w:rPr>
              <w:t>66</w:t>
            </w:r>
          </w:p>
        </w:tc>
      </w:tr>
      <w:tr>
        <w:trPr>
          <w:trHeight w:val="230"/>
        </w:trPr>
        <w:tc>
          <w:tcPr>
            <w:tcW w:w="20" w:type="dxa"/>
            <w:vAlign w:val="bottom"/>
          </w:tcPr>
          <w:p>
            <w:pPr>
              <w:spacing w:after="0"/>
              <w:rPr>
                <w:sz w:val="19"/>
                <w:szCs w:val="19"/>
                <w:color w:val="auto"/>
              </w:rPr>
            </w:pPr>
          </w:p>
        </w:tc>
        <w:tc>
          <w:tcPr>
            <w:tcW w:w="7580" w:type="dxa"/>
            <w:vAlign w:val="bottom"/>
          </w:tcPr>
          <w:p>
            <w:pPr>
              <w:ind w:left="180"/>
              <w:spacing w:after="0"/>
              <w:rPr>
                <w:sz w:val="20"/>
                <w:szCs w:val="20"/>
                <w:color w:val="auto"/>
              </w:rPr>
            </w:pPr>
            <w:r>
              <w:rPr>
                <w:rFonts w:ascii="Arial" w:cs="Arial" w:eastAsia="Arial" w:hAnsi="Arial"/>
                <w:sz w:val="20"/>
                <w:szCs w:val="20"/>
                <w:color w:val="auto"/>
              </w:rPr>
              <w:t>Income tax provision</w:t>
            </w:r>
          </w:p>
        </w:tc>
        <w:tc>
          <w:tcPr>
            <w:tcW w:w="1460" w:type="dxa"/>
            <w:vAlign w:val="bottom"/>
          </w:tcPr>
          <w:p>
            <w:pPr>
              <w:jc w:val="center"/>
              <w:spacing w:after="0"/>
              <w:rPr>
                <w:sz w:val="20"/>
                <w:szCs w:val="20"/>
                <w:color w:val="auto"/>
              </w:rPr>
            </w:pPr>
            <w:r>
              <w:rPr>
                <w:rFonts w:ascii="Arial" w:cs="Arial" w:eastAsia="Arial" w:hAnsi="Arial"/>
                <w:sz w:val="20"/>
                <w:szCs w:val="20"/>
                <w:color w:val="auto"/>
                <w:w w:val="89"/>
              </w:rPr>
              <w:t>88</w:t>
            </w:r>
          </w:p>
        </w:tc>
        <w:tc>
          <w:tcPr>
            <w:tcW w:w="1900" w:type="dxa"/>
            <w:vAlign w:val="bottom"/>
            <w:gridSpan w:val="2"/>
          </w:tcPr>
          <w:p>
            <w:pPr>
              <w:jc w:val="center"/>
              <w:ind w:left="321"/>
              <w:spacing w:after="0"/>
              <w:rPr>
                <w:sz w:val="20"/>
                <w:szCs w:val="20"/>
                <w:color w:val="auto"/>
              </w:rPr>
            </w:pPr>
            <w:r>
              <w:rPr>
                <w:rFonts w:ascii="Arial" w:cs="Arial" w:eastAsia="Arial" w:hAnsi="Arial"/>
                <w:sz w:val="20"/>
                <w:szCs w:val="20"/>
                <w:color w:val="auto"/>
                <w:w w:val="83"/>
              </w:rPr>
              <w:t>111</w:t>
            </w: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Depreciation expense</w:t>
            </w: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589</w:t>
            </w:r>
          </w:p>
        </w:tc>
        <w:tc>
          <w:tcPr>
            <w:tcW w:w="1900" w:type="dxa"/>
            <w:vAlign w:val="bottom"/>
            <w:gridSpan w:val="2"/>
            <w:shd w:val="clear" w:color="auto" w:fill="CCEEFF"/>
          </w:tcPr>
          <w:p>
            <w:pPr>
              <w:jc w:val="center"/>
              <w:ind w:left="341"/>
              <w:spacing w:after="0"/>
              <w:rPr>
                <w:sz w:val="20"/>
                <w:szCs w:val="20"/>
                <w:color w:val="auto"/>
              </w:rPr>
            </w:pPr>
            <w:r>
              <w:rPr>
                <w:rFonts w:ascii="Arial" w:cs="Arial" w:eastAsia="Arial" w:hAnsi="Arial"/>
                <w:sz w:val="20"/>
                <w:szCs w:val="20"/>
                <w:color w:val="auto"/>
                <w:w w:val="89"/>
              </w:rPr>
              <w:t>596</w:t>
            </w:r>
          </w:p>
        </w:tc>
      </w:tr>
      <w:tr>
        <w:trPr>
          <w:trHeight w:val="230"/>
        </w:trPr>
        <w:tc>
          <w:tcPr>
            <w:tcW w:w="20" w:type="dxa"/>
            <w:vAlign w:val="bottom"/>
          </w:tcPr>
          <w:p>
            <w:pPr>
              <w:spacing w:after="0"/>
              <w:rPr>
                <w:sz w:val="19"/>
                <w:szCs w:val="19"/>
                <w:color w:val="auto"/>
              </w:rPr>
            </w:pPr>
          </w:p>
        </w:tc>
        <w:tc>
          <w:tcPr>
            <w:tcW w:w="7580" w:type="dxa"/>
            <w:vAlign w:val="bottom"/>
          </w:tcPr>
          <w:p>
            <w:pPr>
              <w:ind w:left="180"/>
              <w:spacing w:after="0"/>
              <w:rPr>
                <w:sz w:val="20"/>
                <w:szCs w:val="20"/>
                <w:color w:val="auto"/>
              </w:rPr>
            </w:pPr>
            <w:r>
              <w:rPr>
                <w:rFonts w:ascii="Arial" w:cs="Arial" w:eastAsia="Arial" w:hAnsi="Arial"/>
                <w:sz w:val="20"/>
                <w:szCs w:val="20"/>
                <w:color w:val="auto"/>
              </w:rPr>
              <w:t>Amortization of intangible assets &amp; financing fees</w:t>
            </w:r>
          </w:p>
        </w:tc>
        <w:tc>
          <w:tcPr>
            <w:tcW w:w="1460" w:type="dxa"/>
            <w:vAlign w:val="bottom"/>
          </w:tcPr>
          <w:p>
            <w:pPr>
              <w:jc w:val="center"/>
              <w:spacing w:after="0"/>
              <w:rPr>
                <w:sz w:val="20"/>
                <w:szCs w:val="20"/>
                <w:color w:val="auto"/>
              </w:rPr>
            </w:pPr>
            <w:r>
              <w:rPr>
                <w:rFonts w:ascii="Arial" w:cs="Arial" w:eastAsia="Arial" w:hAnsi="Arial"/>
                <w:sz w:val="20"/>
                <w:szCs w:val="20"/>
                <w:color w:val="auto"/>
                <w:w w:val="89"/>
              </w:rPr>
              <w:t>156</w:t>
            </w:r>
          </w:p>
        </w:tc>
        <w:tc>
          <w:tcPr>
            <w:tcW w:w="19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60</w:t>
            </w: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Stock-based compensation expense</w:t>
            </w: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181</w:t>
            </w:r>
          </w:p>
        </w:tc>
        <w:tc>
          <w:tcPr>
            <w:tcW w:w="1900" w:type="dxa"/>
            <w:vAlign w:val="bottom"/>
            <w:gridSpan w:val="2"/>
            <w:shd w:val="clear" w:color="auto" w:fill="CCEEFF"/>
          </w:tcPr>
          <w:p>
            <w:pPr>
              <w:jc w:val="center"/>
              <w:ind w:left="341"/>
              <w:spacing w:after="0"/>
              <w:rPr>
                <w:sz w:val="20"/>
                <w:szCs w:val="20"/>
                <w:color w:val="auto"/>
              </w:rPr>
            </w:pPr>
            <w:r>
              <w:rPr>
                <w:rFonts w:ascii="Arial" w:cs="Arial" w:eastAsia="Arial" w:hAnsi="Arial"/>
                <w:sz w:val="20"/>
                <w:szCs w:val="20"/>
                <w:color w:val="auto"/>
                <w:w w:val="89"/>
              </w:rPr>
              <w:t>144</w:t>
            </w:r>
          </w:p>
        </w:tc>
      </w:tr>
      <w:tr>
        <w:trPr>
          <w:trHeight w:val="237"/>
        </w:trPr>
        <w:tc>
          <w:tcPr>
            <w:tcW w:w="20" w:type="dxa"/>
            <w:vAlign w:val="bottom"/>
          </w:tcPr>
          <w:p>
            <w:pPr>
              <w:spacing w:after="0"/>
              <w:rPr>
                <w:sz w:val="20"/>
                <w:szCs w:val="20"/>
                <w:color w:val="auto"/>
              </w:rPr>
            </w:pPr>
          </w:p>
        </w:tc>
        <w:tc>
          <w:tcPr>
            <w:tcW w:w="7580" w:type="dxa"/>
            <w:vAlign w:val="bottom"/>
          </w:tcPr>
          <w:p>
            <w:pPr>
              <w:ind w:left="180"/>
              <w:spacing w:after="0"/>
              <w:rPr>
                <w:sz w:val="20"/>
                <w:szCs w:val="20"/>
                <w:color w:val="auto"/>
              </w:rPr>
            </w:pPr>
            <w:r>
              <w:rPr>
                <w:rFonts w:ascii="Arial" w:cs="Arial" w:eastAsia="Arial" w:hAnsi="Arial"/>
                <w:sz w:val="20"/>
                <w:szCs w:val="20"/>
                <w:color w:val="auto"/>
              </w:rPr>
              <w:t>Non-cash purchase accounting adjustments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91</w:t>
            </w:r>
          </w:p>
        </w:tc>
        <w:tc>
          <w:tcPr>
            <w:tcW w:w="4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20"/>
                <w:szCs w:val="20"/>
                <w:color w:val="auto"/>
              </w:rPr>
              <w:t>Adjusted EBITDA</w:t>
            </w: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$1,506</w:t>
            </w:r>
          </w:p>
        </w:tc>
        <w:tc>
          <w:tcPr>
            <w:tcW w:w="1900" w:type="dxa"/>
            <w:vAlign w:val="bottom"/>
            <w:gridSpan w:val="2"/>
            <w:shd w:val="clear" w:color="auto" w:fill="CCEEFF"/>
          </w:tcPr>
          <w:p>
            <w:pPr>
              <w:jc w:val="center"/>
              <w:ind w:left="341"/>
              <w:spacing w:after="0"/>
              <w:rPr>
                <w:sz w:val="20"/>
                <w:szCs w:val="20"/>
                <w:color w:val="auto"/>
              </w:rPr>
            </w:pPr>
            <w:r>
              <w:rPr>
                <w:rFonts w:ascii="Arial" w:cs="Arial" w:eastAsia="Arial" w:hAnsi="Arial"/>
                <w:sz w:val="20"/>
                <w:szCs w:val="20"/>
                <w:color w:val="auto"/>
                <w:w w:val="88"/>
              </w:rPr>
              <w:t>$1,510</w:t>
            </w: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 and Capital Resources</w:t>
      </w:r>
    </w:p>
    <w:p>
      <w:pPr>
        <w:spacing w:after="0" w:line="216" w:lineRule="exact"/>
        <w:rPr>
          <w:sz w:val="20"/>
          <w:szCs w:val="20"/>
          <w:color w:val="auto"/>
        </w:rPr>
      </w:pPr>
    </w:p>
    <w:p>
      <w:pPr>
        <w:jc w:val="both"/>
        <w:ind w:firstLine="342"/>
        <w:spacing w:after="0" w:line="243" w:lineRule="auto"/>
        <w:rPr>
          <w:sz w:val="20"/>
          <w:szCs w:val="20"/>
          <w:color w:val="auto"/>
        </w:rPr>
      </w:pPr>
      <w:r>
        <w:rPr>
          <w:rFonts w:ascii="Arial" w:cs="Arial" w:eastAsia="Arial" w:hAnsi="Arial"/>
          <w:sz w:val="20"/>
          <w:szCs w:val="20"/>
          <w:color w:val="auto"/>
        </w:rPr>
        <w:t>As of March 27, 2016, cash and cash equivalents totaled $2,759, a decrease of $11,634 from the beginning of the year primarily attributable to the Company’s acquisition of Accutronics. During the three-month period ended March 27, 2016, we utilized $2,875 of cash from our operating activities as compared to providing cash of $3,160 for the three-month period ended March 29, 2015, a decrease of $6,035. Cash utilized by operations in 2016 resulted from cash provided from net income attributable to Ultralife of $281 and non-cash expenses (depreciation, amortization and stock-based compensation) totaling $926, offset by a $2,407 increase in accounts receivables due primarily to the timing of sales during the first quarter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2016, and an increase in inventory of $1,138 due primarily to service backlog including VIPER systems, and a net increase in accounts payable and other working capital items of $537 due in large part to procuring inventory associated with servicing backlog.</w:t>
      </w:r>
    </w:p>
    <w:p>
      <w:pPr>
        <w:spacing w:after="0" w:line="153"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We used $9,926 in cash for investing activities during the first three months of 2016, The Company acquired Accutronics in the 2016 period utilizing cash of $11,161, which was partially offset by the cash acquired from Accutronics of $1,304. Cash paid for capital expenditures totaled $69 and $470 in the first three months of 2016 and 2015, respectively.</w:t>
      </w:r>
    </w:p>
    <w:p>
      <w:pPr>
        <w:spacing w:after="0" w:line="186"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As of March 27, 2016, we had made commitments to purchase approximately $878 of production machinery and equipment, which we expect to fund through operating cash flows.</w:t>
      </w:r>
    </w:p>
    <w:p>
      <w:pPr>
        <w:spacing w:after="0" w:line="177"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On April 28, 2014, the Company’s Board of Directors approved a share repurchase program which became effective on May 1, 2014, under which the Company was authorized to repurchase up to 1.8 million shares of its outstanding common stock over a period not to exceed twelve months. The Share Repurchase Program has been extended through June 2, 2016, and the maximum number of shares authorized to be repurchased under the program has been increased to 3.4 million shares.</w:t>
      </w:r>
    </w:p>
    <w:p>
      <w:pPr>
        <w:spacing w:after="0" w:line="192"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There were no shares repurchases during the three month period ended March 27, 2016. From the inception of the Share Repurchase Program on May 1, 2014 through March 27, 2016, the Company has repurchased 2,442,191 shares for an aggregate cost (excluding fees and commissions) of $9,877. The total remaining balance of shares authorized for repurchase under the Share Repurchase Program is 957,809 shares as of March 27, 2016.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 Commitments</w:t>
      </w:r>
    </w:p>
    <w:p>
      <w:pPr>
        <w:spacing w:after="0" w:line="21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We have financing through our Credit Facility with PNC Bank, which provides a $20,000 secured asset-based revolving credit facility that includes a $1,000 letter of credit sub-facility. As of March 27, 2016, we had approximately $11,589 of borrowing capacity under our $20,000 Credit Facility with PNC Bank, and we had borrowings of $1,156 under the Credit Facility.</w:t>
      </w:r>
    </w:p>
    <w:p>
      <w:pPr>
        <w:spacing w:after="0" w:line="186" w:lineRule="exact"/>
        <w:rPr>
          <w:sz w:val="20"/>
          <w:szCs w:val="20"/>
          <w:color w:val="auto"/>
        </w:rPr>
      </w:pPr>
    </w:p>
    <w:p>
      <w:pPr>
        <w:jc w:val="both"/>
        <w:ind w:firstLine="342"/>
        <w:spacing w:after="0" w:line="263" w:lineRule="auto"/>
        <w:rPr>
          <w:sz w:val="20"/>
          <w:szCs w:val="20"/>
          <w:color w:val="auto"/>
        </w:rPr>
      </w:pPr>
      <w:r>
        <w:rPr>
          <w:rFonts w:ascii="Arial" w:cs="Arial" w:eastAsia="Arial" w:hAnsi="Arial"/>
          <w:sz w:val="19"/>
          <w:szCs w:val="19"/>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The applicable interest rate was 2.43% at March 27, 2016. We pay a quarterly fee on the Credit Facility’s unused availability at 0.375% per annum.</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Critical Accounting Policies</w:t>
      </w:r>
    </w:p>
    <w:p>
      <w:pPr>
        <w:spacing w:after="0" w:line="216" w:lineRule="exact"/>
        <w:rPr>
          <w:sz w:val="20"/>
          <w:szCs w:val="20"/>
          <w:color w:val="auto"/>
        </w:rPr>
      </w:pPr>
    </w:p>
    <w:p>
      <w:pPr>
        <w:jc w:val="both"/>
        <w:ind w:firstLine="342"/>
        <w:spacing w:after="0" w:line="278"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2015 Annual Report on Form 10-K should be reviewed for a greater understanding of how our financial performance is recorded and reported.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During the first three months of 2016, there were no significant changes in the manner in which our significant accounting policies were applied or in which related assumptions and estimates were developed.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Evaluation Of Disclosure Controls And Procedures</w:t>
      </w:r>
    </w:p>
    <w:p>
      <w:pPr>
        <w:spacing w:after="0" w:line="216" w:lineRule="exact"/>
        <w:rPr>
          <w:sz w:val="20"/>
          <w:szCs w:val="20"/>
          <w:color w:val="auto"/>
        </w:rPr>
      </w:pPr>
    </w:p>
    <w:p>
      <w:pPr>
        <w:jc w:val="both"/>
        <w:ind w:firstLine="342"/>
        <w:spacing w:after="0" w:line="263" w:lineRule="auto"/>
        <w:rPr>
          <w:sz w:val="20"/>
          <w:szCs w:val="20"/>
          <w:color w:val="auto"/>
        </w:rPr>
      </w:pPr>
      <w:r>
        <w:rPr>
          <w:rFonts w:ascii="Arial" w:cs="Arial" w:eastAsia="Arial" w:hAnsi="Arial"/>
          <w:sz w:val="19"/>
          <w:szCs w:val="19"/>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Internal Control Over Financial Reporting</w:t>
      </w:r>
    </w:p>
    <w:p>
      <w:pPr>
        <w:spacing w:after="0" w:line="21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II OTHER INFORMATION</w:t>
      </w:r>
    </w:p>
    <w:p>
      <w:pPr>
        <w:spacing w:after="0" w:line="24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Dreamliner Litigation</w:t>
      </w:r>
    </w:p>
    <w:p>
      <w:pPr>
        <w:spacing w:after="0" w:line="216" w:lineRule="exact"/>
        <w:rPr>
          <w:sz w:val="20"/>
          <w:szCs w:val="20"/>
          <w:color w:val="auto"/>
        </w:rPr>
      </w:pPr>
    </w:p>
    <w:p>
      <w:pPr>
        <w:jc w:val="both"/>
        <w:ind w:firstLine="342"/>
        <w:spacing w:after="0" w:line="243" w:lineRule="auto"/>
        <w:rPr>
          <w:sz w:val="20"/>
          <w:szCs w:val="20"/>
          <w:color w:val="auto"/>
        </w:rPr>
      </w:pPr>
      <w:r>
        <w:rPr>
          <w:rFonts w:ascii="Arial" w:cs="Arial" w:eastAsia="Arial" w:hAnsi="Arial"/>
          <w:sz w:val="20"/>
          <w:szCs w:val="20"/>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97" w:lineRule="exact"/>
        <w:rPr>
          <w:sz w:val="20"/>
          <w:szCs w:val="20"/>
          <w:color w:val="auto"/>
        </w:rPr>
      </w:pPr>
    </w:p>
    <w:p>
      <w:pPr>
        <w:jc w:val="both"/>
        <w:ind w:firstLine="342"/>
        <w:spacing w:after="0" w:line="282"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62"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19"/>
          <w:szCs w:val="19"/>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are working with those insurers and their counsel to respond to and actively defend against this action, which is ongoing.</w:t>
      </w:r>
    </w:p>
    <w:p>
      <w:pPr>
        <w:spacing w:after="0" w:line="216"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20"/>
          <w:szCs w:val="20"/>
          <w:color w:val="auto"/>
        </w:rPr>
        <w:t>At this time, we believe that there is not a reasonable possibility that this incident will result in a material financial exposure to the Company.</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Arista Power Litigation</w:t>
      </w:r>
    </w:p>
    <w:p>
      <w:pPr>
        <w:spacing w:after="0" w:line="216"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20"/>
          <w:szCs w:val="20"/>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2(c) Purchases of Equity Securities by the Issuer and Affiliated Purchasers</w:t>
      </w:r>
    </w:p>
    <w:p>
      <w:pPr>
        <w:spacing w:after="0" w:line="114" w:lineRule="exact"/>
        <w:rPr>
          <w:sz w:val="20"/>
          <w:szCs w:val="20"/>
          <w:color w:val="auto"/>
        </w:rPr>
      </w:pPr>
    </w:p>
    <w:p>
      <w:pPr>
        <w:jc w:val="both"/>
        <w:ind w:firstLine="342"/>
        <w:spacing w:after="0" w:line="246" w:lineRule="auto"/>
        <w:rPr>
          <w:sz w:val="20"/>
          <w:szCs w:val="20"/>
          <w:color w:val="auto"/>
        </w:rPr>
      </w:pPr>
      <w:r>
        <w:rPr>
          <w:rFonts w:ascii="Arial" w:cs="Arial" w:eastAsia="Arial" w:hAnsi="Arial"/>
          <w:sz w:val="20"/>
          <w:szCs w:val="20"/>
          <w:color w:val="auto"/>
        </w:rPr>
        <w:t>On April 28, 2014, the Company’s Board of Directors approved a share repurchase program which became effective on May 1, 2014 and under which the Company was authorized to repurchase up to 1.8 million shares of its outstanding common stock over a period not to exceed twelve months. The Share Repurchase Program has been extended through June 2, 2016, and the maximum number of shares authorized to be repurchased under the program has been increased to 3.4 million shares.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were no shares repurchases during the three month period ended March 27, 2016</w:t>
      </w:r>
    </w:p>
    <w:p>
      <w:pPr>
        <w:spacing w:after="0" w:line="216"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20"/>
          <w:szCs w:val="20"/>
          <w:color w:val="auto"/>
        </w:rPr>
        <w:t>From the inception of the Share Repurchase Program on May 1, 2014 through March 27, 2016, the Company has repurchased 2,442,191 shares for an aggregate cost (excluding fees and commissions) of $9,877. The total remaining balance of shares authorized for repurchase under the Share Repurchase Program is 957,809 shares as of March 27,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2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24</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957,809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January 25 – February 21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957,809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February 22 – March 27</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957,809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957,809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80" w:type="dxa"/>
            <w:vAlign w:val="bottom"/>
          </w:tcPr>
          <w:p>
            <w:pPr>
              <w:jc w:val="right"/>
              <w:ind w:right="770"/>
              <w:spacing w:after="0"/>
              <w:rPr>
                <w:sz w:val="20"/>
                <w:szCs w:val="20"/>
                <w:color w:val="auto"/>
              </w:rPr>
            </w:pPr>
            <w:r>
              <w:rPr>
                <w:rFonts w:ascii="Arial" w:cs="Arial" w:eastAsia="Arial" w:hAnsi="Arial"/>
                <w:sz w:val="18"/>
                <w:szCs w:val="18"/>
                <w:color w:val="auto"/>
                <w:w w:val="99"/>
              </w:rPr>
              <w:t>26</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4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6020" w:type="dxa"/>
            <w:vAlign w:val="bottom"/>
          </w:tcPr>
          <w:p>
            <w:pPr>
              <w:ind w:left="160"/>
              <w:spacing w:after="0"/>
              <w:rPr>
                <w:sz w:val="20"/>
                <w:szCs w:val="20"/>
                <w:color w:val="auto"/>
              </w:rPr>
            </w:pPr>
            <w:r>
              <w:rPr>
                <w:rFonts w:ascii="Arial" w:cs="Arial" w:eastAsia="Arial" w:hAnsi="Arial"/>
                <w:sz w:val="20"/>
                <w:szCs w:val="20"/>
                <w:b w:val="1"/>
                <w:bCs w:val="1"/>
                <w:color w:val="auto"/>
              </w:rPr>
              <w:t>EXHIBITS</w:t>
            </w:r>
          </w:p>
        </w:tc>
        <w:tc>
          <w:tcPr>
            <w:tcW w:w="3960" w:type="dxa"/>
            <w:vAlign w:val="bottom"/>
          </w:tcPr>
          <w:p>
            <w:pPr>
              <w:spacing w:after="0"/>
              <w:rPr>
                <w:sz w:val="22"/>
                <w:szCs w:val="22"/>
                <w:color w:val="auto"/>
              </w:rPr>
            </w:pPr>
          </w:p>
        </w:tc>
      </w:tr>
      <w:tr>
        <w:trPr>
          <w:trHeight w:val="441"/>
        </w:trPr>
        <w:tc>
          <w:tcPr>
            <w:tcW w:w="1440" w:type="dxa"/>
            <w:vAlign w:val="bottom"/>
          </w:tcPr>
          <w:p>
            <w:pPr>
              <w:ind w:left="580"/>
              <w:spacing w:after="0"/>
              <w:rPr>
                <w:sz w:val="20"/>
                <w:szCs w:val="20"/>
                <w:color w:val="auto"/>
              </w:rPr>
            </w:pPr>
            <w:r>
              <w:rPr>
                <w:rFonts w:ascii="Arial" w:cs="Arial" w:eastAsia="Arial" w:hAnsi="Arial"/>
                <w:sz w:val="18"/>
                <w:szCs w:val="18"/>
                <w:color w:val="auto"/>
              </w:rPr>
              <w:t>Exhibit</w:t>
            </w:r>
          </w:p>
        </w:tc>
        <w:tc>
          <w:tcPr>
            <w:tcW w:w="6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44"/>
        </w:trPr>
        <w:tc>
          <w:tcPr>
            <w:tcW w:w="1440" w:type="dxa"/>
            <w:vAlign w:val="bottom"/>
          </w:tcPr>
          <w:p>
            <w:pPr>
              <w:ind w:left="580"/>
              <w:spacing w:after="0"/>
              <w:rPr>
                <w:sz w:val="20"/>
                <w:szCs w:val="20"/>
                <w:color w:val="auto"/>
              </w:rPr>
            </w:pPr>
            <w:r>
              <w:rPr>
                <w:rFonts w:ascii="Arial" w:cs="Arial" w:eastAsia="Arial" w:hAnsi="Arial"/>
                <w:sz w:val="18"/>
                <w:szCs w:val="18"/>
                <w:color w:val="auto"/>
              </w:rPr>
              <w:t>Index</w:t>
            </w:r>
          </w:p>
        </w:tc>
        <w:tc>
          <w:tcPr>
            <w:tcW w:w="6020" w:type="dxa"/>
            <w:vAlign w:val="bottom"/>
          </w:tcPr>
          <w:p>
            <w:pPr>
              <w:ind w:left="720"/>
              <w:spacing w:after="0"/>
              <w:rPr>
                <w:sz w:val="20"/>
                <w:szCs w:val="20"/>
                <w:color w:val="auto"/>
              </w:rPr>
            </w:pPr>
            <w:r>
              <w:rPr>
                <w:rFonts w:ascii="Arial" w:cs="Arial" w:eastAsia="Arial" w:hAnsi="Arial"/>
                <w:sz w:val="18"/>
                <w:szCs w:val="18"/>
                <w:color w:val="auto"/>
              </w:rPr>
              <w:t>Description of Document</w:t>
            </w:r>
          </w:p>
        </w:tc>
        <w:tc>
          <w:tcPr>
            <w:tcW w:w="3960" w:type="dxa"/>
            <w:vAlign w:val="bottom"/>
          </w:tcPr>
          <w:p>
            <w:pPr>
              <w:ind w:left="1560"/>
              <w:spacing w:after="0"/>
              <w:rPr>
                <w:sz w:val="20"/>
                <w:szCs w:val="20"/>
                <w:color w:val="auto"/>
              </w:rPr>
            </w:pPr>
            <w:r>
              <w:rPr>
                <w:rFonts w:ascii="Arial" w:cs="Arial" w:eastAsia="Arial" w:hAnsi="Arial"/>
                <w:sz w:val="18"/>
                <w:szCs w:val="18"/>
                <w:color w:val="auto"/>
                <w:w w:val="91"/>
              </w:rPr>
              <w:t>Incorporated By Reference from:</w:t>
            </w:r>
          </w:p>
        </w:tc>
      </w:tr>
      <w:tr>
        <w:trPr>
          <w:trHeight w:val="377"/>
        </w:trPr>
        <w:tc>
          <w:tcPr>
            <w:tcW w:w="1440" w:type="dxa"/>
            <w:vAlign w:val="bottom"/>
          </w:tcPr>
          <w:p>
            <w:pPr>
              <w:ind w:left="580"/>
              <w:spacing w:after="0"/>
              <w:rPr>
                <w:sz w:val="20"/>
                <w:szCs w:val="20"/>
                <w:color w:val="auto"/>
              </w:rPr>
            </w:pPr>
            <w:r>
              <w:rPr>
                <w:rFonts w:ascii="Arial" w:cs="Arial" w:eastAsia="Arial" w:hAnsi="Arial"/>
                <w:sz w:val="18"/>
                <w:szCs w:val="18"/>
                <w:color w:val="auto"/>
              </w:rPr>
              <w:t>31.1</w:t>
            </w:r>
          </w:p>
        </w:tc>
        <w:tc>
          <w:tcPr>
            <w:tcW w:w="6020" w:type="dxa"/>
            <w:vAlign w:val="bottom"/>
          </w:tcPr>
          <w:p>
            <w:pPr>
              <w:ind w:left="720"/>
              <w:spacing w:after="0"/>
              <w:rPr>
                <w:sz w:val="20"/>
                <w:szCs w:val="20"/>
                <w:color w:val="auto"/>
              </w:rPr>
            </w:pPr>
            <w:r>
              <w:rPr>
                <w:rFonts w:ascii="Arial" w:cs="Arial" w:eastAsia="Arial" w:hAnsi="Arial"/>
                <w:sz w:val="18"/>
                <w:szCs w:val="18"/>
                <w:color w:val="auto"/>
              </w:rPr>
              <w:t>Rule 13a-14(a) / 15d-14(a) CEO Certifications</w:t>
            </w:r>
          </w:p>
        </w:tc>
        <w:tc>
          <w:tcPr>
            <w:tcW w:w="3960" w:type="dxa"/>
            <w:vAlign w:val="bottom"/>
          </w:tcPr>
          <w:p>
            <w:pPr>
              <w:ind w:left="1560"/>
              <w:spacing w:after="0"/>
              <w:rPr>
                <w:sz w:val="20"/>
                <w:szCs w:val="20"/>
                <w:color w:val="auto"/>
              </w:rPr>
            </w:pPr>
            <w:r>
              <w:rPr>
                <w:rFonts w:ascii="Arial" w:cs="Arial" w:eastAsia="Arial" w:hAnsi="Arial"/>
                <w:sz w:val="18"/>
                <w:szCs w:val="18"/>
                <w:color w:val="auto"/>
              </w:rPr>
              <w:t>Filed herewith</w:t>
            </w:r>
          </w:p>
        </w:tc>
      </w:tr>
      <w:tr>
        <w:trPr>
          <w:trHeight w:val="216"/>
        </w:trPr>
        <w:tc>
          <w:tcPr>
            <w:tcW w:w="1440" w:type="dxa"/>
            <w:vAlign w:val="bottom"/>
          </w:tcPr>
          <w:p>
            <w:pPr>
              <w:ind w:left="580"/>
              <w:spacing w:after="0"/>
              <w:rPr>
                <w:sz w:val="20"/>
                <w:szCs w:val="20"/>
                <w:color w:val="auto"/>
              </w:rPr>
            </w:pPr>
            <w:r>
              <w:rPr>
                <w:rFonts w:ascii="Arial" w:cs="Arial" w:eastAsia="Arial" w:hAnsi="Arial"/>
                <w:sz w:val="18"/>
                <w:szCs w:val="18"/>
                <w:color w:val="auto"/>
              </w:rPr>
              <w:t>31.2</w:t>
            </w:r>
          </w:p>
        </w:tc>
        <w:tc>
          <w:tcPr>
            <w:tcW w:w="6020" w:type="dxa"/>
            <w:vAlign w:val="bottom"/>
          </w:tcPr>
          <w:p>
            <w:pPr>
              <w:ind w:left="720"/>
              <w:spacing w:after="0"/>
              <w:rPr>
                <w:sz w:val="20"/>
                <w:szCs w:val="20"/>
                <w:color w:val="auto"/>
              </w:rPr>
            </w:pPr>
            <w:r>
              <w:rPr>
                <w:rFonts w:ascii="Arial" w:cs="Arial" w:eastAsia="Arial" w:hAnsi="Arial"/>
                <w:sz w:val="18"/>
                <w:szCs w:val="18"/>
                <w:color w:val="auto"/>
              </w:rPr>
              <w:t>Rule 13a-14(a) / 15d-14(a) CFO Certifications</w:t>
            </w:r>
          </w:p>
        </w:tc>
        <w:tc>
          <w:tcPr>
            <w:tcW w:w="3960" w:type="dxa"/>
            <w:vAlign w:val="bottom"/>
          </w:tcPr>
          <w:p>
            <w:pPr>
              <w:ind w:left="1560"/>
              <w:spacing w:after="0"/>
              <w:rPr>
                <w:sz w:val="20"/>
                <w:szCs w:val="20"/>
                <w:color w:val="auto"/>
              </w:rPr>
            </w:pPr>
            <w:r>
              <w:rPr>
                <w:rFonts w:ascii="Arial" w:cs="Arial" w:eastAsia="Arial" w:hAnsi="Arial"/>
                <w:sz w:val="18"/>
                <w:szCs w:val="18"/>
                <w:color w:val="auto"/>
              </w:rPr>
              <w:t>Filed herewith</w:t>
            </w:r>
          </w:p>
        </w:tc>
      </w:tr>
      <w:tr>
        <w:trPr>
          <w:trHeight w:val="216"/>
        </w:trPr>
        <w:tc>
          <w:tcPr>
            <w:tcW w:w="1440" w:type="dxa"/>
            <w:vAlign w:val="bottom"/>
          </w:tcPr>
          <w:p>
            <w:pPr>
              <w:ind w:left="580"/>
              <w:spacing w:after="0"/>
              <w:rPr>
                <w:sz w:val="20"/>
                <w:szCs w:val="20"/>
                <w:color w:val="auto"/>
              </w:rPr>
            </w:pPr>
            <w:r>
              <w:rPr>
                <w:rFonts w:ascii="Arial" w:cs="Arial" w:eastAsia="Arial" w:hAnsi="Arial"/>
                <w:sz w:val="18"/>
                <w:szCs w:val="18"/>
                <w:color w:val="auto"/>
              </w:rPr>
              <w:t>32</w:t>
            </w:r>
          </w:p>
        </w:tc>
        <w:tc>
          <w:tcPr>
            <w:tcW w:w="6020" w:type="dxa"/>
            <w:vAlign w:val="bottom"/>
          </w:tcPr>
          <w:p>
            <w:pPr>
              <w:ind w:left="720"/>
              <w:spacing w:after="0"/>
              <w:rPr>
                <w:sz w:val="20"/>
                <w:szCs w:val="20"/>
                <w:color w:val="auto"/>
              </w:rPr>
            </w:pPr>
            <w:r>
              <w:rPr>
                <w:rFonts w:ascii="Arial" w:cs="Arial" w:eastAsia="Arial" w:hAnsi="Arial"/>
                <w:sz w:val="18"/>
                <w:szCs w:val="18"/>
                <w:color w:val="auto"/>
              </w:rPr>
              <w:t>Section 1350 Certifications</w:t>
            </w:r>
          </w:p>
        </w:tc>
        <w:tc>
          <w:tcPr>
            <w:tcW w:w="3960" w:type="dxa"/>
            <w:vAlign w:val="bottom"/>
          </w:tcPr>
          <w:p>
            <w:pPr>
              <w:ind w:left="1560"/>
              <w:spacing w:after="0"/>
              <w:rPr>
                <w:sz w:val="20"/>
                <w:szCs w:val="20"/>
                <w:color w:val="auto"/>
              </w:rPr>
            </w:pPr>
            <w:r>
              <w:rPr>
                <w:rFonts w:ascii="Arial" w:cs="Arial" w:eastAsia="Arial" w:hAnsi="Arial"/>
                <w:sz w:val="18"/>
                <w:szCs w:val="18"/>
                <w:color w:val="auto"/>
              </w:rPr>
              <w:t>Filed herewith</w:t>
            </w:r>
          </w:p>
        </w:tc>
      </w:tr>
      <w:tr>
        <w:trPr>
          <w:trHeight w:val="216"/>
        </w:trPr>
        <w:tc>
          <w:tcPr>
            <w:tcW w:w="1440" w:type="dxa"/>
            <w:vAlign w:val="bottom"/>
          </w:tcPr>
          <w:p>
            <w:pPr>
              <w:ind w:left="580"/>
              <w:spacing w:after="0"/>
              <w:rPr>
                <w:sz w:val="20"/>
                <w:szCs w:val="20"/>
                <w:color w:val="auto"/>
              </w:rPr>
            </w:pPr>
            <w:r>
              <w:rPr>
                <w:rFonts w:ascii="Arial" w:cs="Arial" w:eastAsia="Arial" w:hAnsi="Arial"/>
                <w:sz w:val="18"/>
                <w:szCs w:val="18"/>
                <w:color w:val="auto"/>
              </w:rPr>
              <w:t>101.INS</w:t>
            </w:r>
          </w:p>
        </w:tc>
        <w:tc>
          <w:tcPr>
            <w:tcW w:w="6020" w:type="dxa"/>
            <w:vAlign w:val="bottom"/>
          </w:tcPr>
          <w:p>
            <w:pPr>
              <w:ind w:left="720"/>
              <w:spacing w:after="0"/>
              <w:rPr>
                <w:sz w:val="20"/>
                <w:szCs w:val="20"/>
                <w:color w:val="auto"/>
              </w:rPr>
            </w:pPr>
            <w:r>
              <w:rPr>
                <w:rFonts w:ascii="Arial" w:cs="Arial" w:eastAsia="Arial" w:hAnsi="Arial"/>
                <w:sz w:val="18"/>
                <w:szCs w:val="18"/>
                <w:color w:val="auto"/>
              </w:rPr>
              <w:t>XBRL Instance Document</w:t>
            </w:r>
          </w:p>
        </w:tc>
        <w:tc>
          <w:tcPr>
            <w:tcW w:w="3960" w:type="dxa"/>
            <w:vAlign w:val="bottom"/>
          </w:tcPr>
          <w:p>
            <w:pPr>
              <w:spacing w:after="0"/>
              <w:rPr>
                <w:sz w:val="18"/>
                <w:szCs w:val="18"/>
                <w:color w:val="auto"/>
              </w:rPr>
            </w:pPr>
          </w:p>
        </w:tc>
      </w:tr>
      <w:tr>
        <w:trPr>
          <w:trHeight w:val="216"/>
        </w:trPr>
        <w:tc>
          <w:tcPr>
            <w:tcW w:w="1440" w:type="dxa"/>
            <w:vAlign w:val="bottom"/>
          </w:tcPr>
          <w:p>
            <w:pPr>
              <w:ind w:left="580"/>
              <w:spacing w:after="0"/>
              <w:rPr>
                <w:sz w:val="20"/>
                <w:szCs w:val="20"/>
                <w:color w:val="auto"/>
              </w:rPr>
            </w:pPr>
            <w:r>
              <w:rPr>
                <w:rFonts w:ascii="Arial" w:cs="Arial" w:eastAsia="Arial" w:hAnsi="Arial"/>
                <w:sz w:val="18"/>
                <w:szCs w:val="18"/>
                <w:color w:val="auto"/>
              </w:rPr>
              <w:t>101.SCH</w:t>
            </w:r>
          </w:p>
        </w:tc>
        <w:tc>
          <w:tcPr>
            <w:tcW w:w="6020" w:type="dxa"/>
            <w:vAlign w:val="bottom"/>
          </w:tcPr>
          <w:p>
            <w:pPr>
              <w:ind w:left="720"/>
              <w:spacing w:after="0"/>
              <w:rPr>
                <w:sz w:val="20"/>
                <w:szCs w:val="20"/>
                <w:color w:val="auto"/>
              </w:rPr>
            </w:pPr>
            <w:r>
              <w:rPr>
                <w:rFonts w:ascii="Arial" w:cs="Arial" w:eastAsia="Arial" w:hAnsi="Arial"/>
                <w:sz w:val="18"/>
                <w:szCs w:val="18"/>
                <w:color w:val="auto"/>
              </w:rPr>
              <w:t>XBRL Taxonomy Extension Schema Document</w:t>
            </w:r>
          </w:p>
        </w:tc>
        <w:tc>
          <w:tcPr>
            <w:tcW w:w="3960" w:type="dxa"/>
            <w:vAlign w:val="bottom"/>
          </w:tcPr>
          <w:p>
            <w:pPr>
              <w:spacing w:after="0"/>
              <w:rPr>
                <w:sz w:val="18"/>
                <w:szCs w:val="18"/>
                <w:color w:val="auto"/>
              </w:rPr>
            </w:pPr>
          </w:p>
        </w:tc>
      </w:tr>
      <w:tr>
        <w:trPr>
          <w:trHeight w:val="216"/>
        </w:trPr>
        <w:tc>
          <w:tcPr>
            <w:tcW w:w="1440" w:type="dxa"/>
            <w:vAlign w:val="bottom"/>
          </w:tcPr>
          <w:p>
            <w:pPr>
              <w:ind w:left="580"/>
              <w:spacing w:after="0"/>
              <w:rPr>
                <w:sz w:val="20"/>
                <w:szCs w:val="20"/>
                <w:color w:val="auto"/>
              </w:rPr>
            </w:pPr>
            <w:r>
              <w:rPr>
                <w:rFonts w:ascii="Arial" w:cs="Arial" w:eastAsia="Arial" w:hAnsi="Arial"/>
                <w:sz w:val="18"/>
                <w:szCs w:val="18"/>
                <w:color w:val="auto"/>
              </w:rPr>
              <w:t>101.CAL</w:t>
            </w:r>
          </w:p>
        </w:tc>
        <w:tc>
          <w:tcPr>
            <w:tcW w:w="6020" w:type="dxa"/>
            <w:vAlign w:val="bottom"/>
          </w:tcPr>
          <w:p>
            <w:pPr>
              <w:ind w:left="720"/>
              <w:spacing w:after="0"/>
              <w:rPr>
                <w:sz w:val="20"/>
                <w:szCs w:val="20"/>
                <w:color w:val="auto"/>
              </w:rPr>
            </w:pPr>
            <w:r>
              <w:rPr>
                <w:rFonts w:ascii="Arial" w:cs="Arial" w:eastAsia="Arial" w:hAnsi="Arial"/>
                <w:sz w:val="18"/>
                <w:szCs w:val="18"/>
                <w:color w:val="auto"/>
              </w:rPr>
              <w:t>XBRL Taxonomy Calculation Linkbase Document</w:t>
            </w:r>
          </w:p>
        </w:tc>
        <w:tc>
          <w:tcPr>
            <w:tcW w:w="3960" w:type="dxa"/>
            <w:vAlign w:val="bottom"/>
          </w:tcPr>
          <w:p>
            <w:pPr>
              <w:spacing w:after="0"/>
              <w:rPr>
                <w:sz w:val="18"/>
                <w:szCs w:val="18"/>
                <w:color w:val="auto"/>
              </w:rPr>
            </w:pPr>
          </w:p>
        </w:tc>
      </w:tr>
      <w:tr>
        <w:trPr>
          <w:trHeight w:val="216"/>
        </w:trPr>
        <w:tc>
          <w:tcPr>
            <w:tcW w:w="1440" w:type="dxa"/>
            <w:vAlign w:val="bottom"/>
          </w:tcPr>
          <w:p>
            <w:pPr>
              <w:ind w:left="580"/>
              <w:spacing w:after="0"/>
              <w:rPr>
                <w:sz w:val="20"/>
                <w:szCs w:val="20"/>
                <w:color w:val="auto"/>
              </w:rPr>
            </w:pPr>
            <w:r>
              <w:rPr>
                <w:rFonts w:ascii="Arial" w:cs="Arial" w:eastAsia="Arial" w:hAnsi="Arial"/>
                <w:sz w:val="18"/>
                <w:szCs w:val="18"/>
                <w:color w:val="auto"/>
              </w:rPr>
              <w:t>101.LAB</w:t>
            </w:r>
          </w:p>
        </w:tc>
        <w:tc>
          <w:tcPr>
            <w:tcW w:w="6020" w:type="dxa"/>
            <w:vAlign w:val="bottom"/>
          </w:tcPr>
          <w:p>
            <w:pPr>
              <w:ind w:left="720"/>
              <w:spacing w:after="0"/>
              <w:rPr>
                <w:sz w:val="20"/>
                <w:szCs w:val="20"/>
                <w:color w:val="auto"/>
              </w:rPr>
            </w:pPr>
            <w:r>
              <w:rPr>
                <w:rFonts w:ascii="Arial" w:cs="Arial" w:eastAsia="Arial" w:hAnsi="Arial"/>
                <w:sz w:val="18"/>
                <w:szCs w:val="18"/>
                <w:color w:val="auto"/>
              </w:rPr>
              <w:t>XBRL Taxonomy Label Linkbase Document</w:t>
            </w:r>
          </w:p>
        </w:tc>
        <w:tc>
          <w:tcPr>
            <w:tcW w:w="3960" w:type="dxa"/>
            <w:vAlign w:val="bottom"/>
          </w:tcPr>
          <w:p>
            <w:pPr>
              <w:spacing w:after="0"/>
              <w:rPr>
                <w:sz w:val="18"/>
                <w:szCs w:val="18"/>
                <w:color w:val="auto"/>
              </w:rPr>
            </w:pPr>
          </w:p>
        </w:tc>
      </w:tr>
      <w:tr>
        <w:trPr>
          <w:trHeight w:val="216"/>
        </w:trPr>
        <w:tc>
          <w:tcPr>
            <w:tcW w:w="1440" w:type="dxa"/>
            <w:vAlign w:val="bottom"/>
          </w:tcPr>
          <w:p>
            <w:pPr>
              <w:ind w:left="580"/>
              <w:spacing w:after="0"/>
              <w:rPr>
                <w:sz w:val="20"/>
                <w:szCs w:val="20"/>
                <w:color w:val="auto"/>
              </w:rPr>
            </w:pPr>
            <w:r>
              <w:rPr>
                <w:rFonts w:ascii="Arial" w:cs="Arial" w:eastAsia="Arial" w:hAnsi="Arial"/>
                <w:sz w:val="18"/>
                <w:szCs w:val="18"/>
                <w:color w:val="auto"/>
              </w:rPr>
              <w:t>101.PRE</w:t>
            </w:r>
          </w:p>
        </w:tc>
        <w:tc>
          <w:tcPr>
            <w:tcW w:w="6020" w:type="dxa"/>
            <w:vAlign w:val="bottom"/>
          </w:tcPr>
          <w:p>
            <w:pPr>
              <w:ind w:left="720"/>
              <w:spacing w:after="0"/>
              <w:rPr>
                <w:sz w:val="20"/>
                <w:szCs w:val="20"/>
                <w:color w:val="auto"/>
              </w:rPr>
            </w:pPr>
            <w:r>
              <w:rPr>
                <w:rFonts w:ascii="Arial" w:cs="Arial" w:eastAsia="Arial" w:hAnsi="Arial"/>
                <w:sz w:val="18"/>
                <w:szCs w:val="18"/>
                <w:color w:val="auto"/>
              </w:rPr>
              <w:t>XBRL Taxonomy Presentation Linkbase Document</w:t>
            </w:r>
          </w:p>
        </w:tc>
        <w:tc>
          <w:tcPr>
            <w:tcW w:w="3960" w:type="dxa"/>
            <w:vAlign w:val="bottom"/>
          </w:tcPr>
          <w:p>
            <w:pPr>
              <w:spacing w:after="0"/>
              <w:rPr>
                <w:sz w:val="18"/>
                <w:szCs w:val="18"/>
                <w:color w:val="auto"/>
              </w:rPr>
            </w:pPr>
          </w:p>
        </w:tc>
      </w:tr>
      <w:tr>
        <w:trPr>
          <w:trHeight w:val="230"/>
        </w:trPr>
        <w:tc>
          <w:tcPr>
            <w:tcW w:w="1440" w:type="dxa"/>
            <w:vAlign w:val="bottom"/>
          </w:tcPr>
          <w:p>
            <w:pPr>
              <w:ind w:left="580"/>
              <w:spacing w:after="0"/>
              <w:rPr>
                <w:sz w:val="20"/>
                <w:szCs w:val="20"/>
                <w:color w:val="auto"/>
              </w:rPr>
            </w:pPr>
            <w:r>
              <w:rPr>
                <w:rFonts w:ascii="Arial" w:cs="Arial" w:eastAsia="Arial" w:hAnsi="Arial"/>
                <w:sz w:val="18"/>
                <w:szCs w:val="18"/>
                <w:color w:val="auto"/>
              </w:rPr>
              <w:t>101.DEF</w:t>
            </w:r>
          </w:p>
        </w:tc>
        <w:tc>
          <w:tcPr>
            <w:tcW w:w="6020" w:type="dxa"/>
            <w:vAlign w:val="bottom"/>
          </w:tcPr>
          <w:p>
            <w:pPr>
              <w:ind w:left="720"/>
              <w:spacing w:after="0"/>
              <w:rPr>
                <w:sz w:val="20"/>
                <w:szCs w:val="20"/>
                <w:color w:val="auto"/>
              </w:rPr>
            </w:pPr>
            <w:r>
              <w:rPr>
                <w:rFonts w:ascii="Arial" w:cs="Arial" w:eastAsia="Arial" w:hAnsi="Arial"/>
                <w:sz w:val="18"/>
                <w:szCs w:val="18"/>
                <w:color w:val="auto"/>
              </w:rPr>
              <w:t>XBRL Taxonomy Definition Document</w:t>
            </w:r>
          </w:p>
        </w:tc>
        <w:tc>
          <w:tcPr>
            <w:tcW w:w="3960" w:type="dxa"/>
            <w:vAlign w:val="bottom"/>
          </w:tcPr>
          <w:p>
            <w:pPr>
              <w:spacing w:after="0"/>
              <w:rPr>
                <w:sz w:val="20"/>
                <w:szCs w:val="20"/>
                <w:color w:val="auto"/>
              </w:rPr>
            </w:pPr>
          </w:p>
        </w:tc>
      </w:tr>
      <w:tr>
        <w:trPr>
          <w:trHeight w:val="365"/>
        </w:trPr>
        <w:tc>
          <w:tcPr>
            <w:tcW w:w="1440" w:type="dxa"/>
            <w:vAlign w:val="bottom"/>
          </w:tcPr>
          <w:p>
            <w:pPr>
              <w:spacing w:after="0"/>
              <w:rPr>
                <w:sz w:val="24"/>
                <w:szCs w:val="24"/>
                <w:color w:val="auto"/>
              </w:rPr>
            </w:pPr>
          </w:p>
        </w:tc>
        <w:tc>
          <w:tcPr>
            <w:tcW w:w="6020" w:type="dxa"/>
            <w:vAlign w:val="bottom"/>
          </w:tcPr>
          <w:p>
            <w:pPr>
              <w:ind w:left="4180"/>
              <w:spacing w:after="0"/>
              <w:rPr>
                <w:sz w:val="20"/>
                <w:szCs w:val="20"/>
                <w:color w:val="auto"/>
              </w:rPr>
            </w:pPr>
            <w:r>
              <w:rPr>
                <w:rFonts w:ascii="Arial" w:cs="Arial" w:eastAsia="Arial" w:hAnsi="Arial"/>
                <w:sz w:val="18"/>
                <w:szCs w:val="18"/>
                <w:color w:val="auto"/>
              </w:rPr>
              <w:t>27</w:t>
            </w:r>
          </w:p>
        </w:tc>
        <w:tc>
          <w:tcPr>
            <w:tcW w:w="3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spacing w:after="0"/>
              <w:rPr>
                <w:sz w:val="20"/>
                <w:szCs w:val="20"/>
                <w:color w:val="auto"/>
              </w:rPr>
            </w:pPr>
            <w:r>
              <w:rPr>
                <w:rFonts w:ascii="Arial" w:cs="Arial" w:eastAsia="Arial" w:hAnsi="Arial"/>
                <w:sz w:val="20"/>
                <w:szCs w:val="20"/>
                <w:b w:val="1"/>
                <w:bCs w:val="1"/>
                <w:color w:val="auto"/>
              </w:rPr>
              <w:t>ULTRALIFE CORPORATION</w:t>
            </w:r>
          </w:p>
        </w:tc>
      </w:tr>
      <w:tr>
        <w:trPr>
          <w:trHeight w:val="254"/>
        </w:trPr>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80" w:type="dxa"/>
            <w:vAlign w:val="bottom"/>
            <w:tcBorders>
              <w:top w:val="single" w:sz="8" w:color="auto"/>
            </w:tcBorders>
            <w:gridSpan w:val="3"/>
          </w:tcPr>
          <w:p>
            <w:pPr>
              <w:ind w:left="900"/>
              <w:spacing w:after="0"/>
              <w:rPr>
                <w:sz w:val="20"/>
                <w:szCs w:val="20"/>
                <w:color w:val="auto"/>
              </w:rPr>
            </w:pPr>
            <w:r>
              <w:rPr>
                <w:rFonts w:ascii="Arial" w:cs="Arial" w:eastAsia="Arial" w:hAnsi="Arial"/>
                <w:sz w:val="20"/>
                <w:szCs w:val="20"/>
                <w:color w:val="auto"/>
              </w:rPr>
              <w:t>(Registrant)</w:t>
            </w:r>
          </w:p>
        </w:tc>
        <w:tc>
          <w:tcPr>
            <w:tcW w:w="200" w:type="dxa"/>
            <w:vAlign w:val="bottom"/>
          </w:tcPr>
          <w:p>
            <w:pPr>
              <w:spacing w:after="0"/>
              <w:rPr>
                <w:sz w:val="22"/>
                <w:szCs w:val="22"/>
                <w:color w:val="auto"/>
              </w:rPr>
            </w:pPr>
          </w:p>
        </w:tc>
      </w:tr>
      <w:tr>
        <w:trPr>
          <w:trHeight w:val="401"/>
        </w:trPr>
        <w:tc>
          <w:tcPr>
            <w:tcW w:w="3040" w:type="dxa"/>
            <w:vAlign w:val="bottom"/>
            <w:gridSpan w:val="3"/>
          </w:tcPr>
          <w:p>
            <w:pPr>
              <w:spacing w:after="0"/>
              <w:rPr>
                <w:sz w:val="20"/>
                <w:szCs w:val="20"/>
                <w:color w:val="auto"/>
              </w:rPr>
            </w:pPr>
            <w:r>
              <w:rPr>
                <w:rFonts w:ascii="Arial" w:cs="Arial" w:eastAsia="Arial" w:hAnsi="Arial"/>
                <w:sz w:val="20"/>
                <w:szCs w:val="20"/>
                <w:color w:val="auto"/>
              </w:rPr>
              <w:t>Date: April 28, 2016</w:t>
            </w:r>
          </w:p>
        </w:tc>
        <w:tc>
          <w:tcPr>
            <w:tcW w:w="4960" w:type="dxa"/>
            <w:vAlign w:val="bottom"/>
            <w:gridSpan w:val="6"/>
          </w:tcPr>
          <w:p>
            <w:pPr>
              <w:ind w:left="138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20" w:type="dxa"/>
            <w:vAlign w:val="bottom"/>
            <w:tcBorders>
              <w:top w:val="single" w:sz="8" w:color="auto"/>
            </w:tcBorders>
            <w:gridSpan w:val="3"/>
          </w:tcPr>
          <w:p>
            <w:pPr>
              <w:ind w:left="160"/>
              <w:spacing w:after="0"/>
              <w:rPr>
                <w:sz w:val="20"/>
                <w:szCs w:val="20"/>
                <w:color w:val="auto"/>
              </w:rPr>
            </w:pPr>
            <w:r>
              <w:rPr>
                <w:rFonts w:ascii="Arial" w:cs="Arial" w:eastAsia="Arial" w:hAnsi="Arial"/>
                <w:sz w:val="20"/>
                <w:szCs w:val="20"/>
                <w:color w:val="auto"/>
              </w:rPr>
              <w:t>Michael D. Popielec</w:t>
            </w:r>
          </w:p>
        </w:tc>
        <w:tc>
          <w:tcPr>
            <w:tcW w:w="460" w:type="dxa"/>
            <w:vAlign w:val="bottom"/>
            <w:gridSpan w:val="2"/>
          </w:tcPr>
          <w:p>
            <w:pPr>
              <w:spacing w:after="0"/>
              <w:rPr>
                <w:sz w:val="20"/>
                <w:szCs w:val="20"/>
                <w:color w:val="auto"/>
              </w:rPr>
            </w:pPr>
          </w:p>
        </w:tc>
      </w:tr>
      <w:tr>
        <w:trPr>
          <w:trHeight w:val="230"/>
        </w:trPr>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80" w:type="dxa"/>
            <w:vAlign w:val="bottom"/>
            <w:gridSpan w:val="5"/>
          </w:tcPr>
          <w:p>
            <w:pPr>
              <w:ind w:left="160"/>
              <w:spacing w:after="0"/>
              <w:rPr>
                <w:sz w:val="20"/>
                <w:szCs w:val="20"/>
                <w:color w:val="auto"/>
              </w:rPr>
            </w:pPr>
            <w:r>
              <w:rPr>
                <w:rFonts w:ascii="Arial" w:cs="Arial" w:eastAsia="Arial" w:hAnsi="Arial"/>
                <w:sz w:val="20"/>
                <w:szCs w:val="20"/>
                <w:color w:val="auto"/>
                <w:w w:val="90"/>
              </w:rPr>
              <w:t>President and Chief Executive Officer</w:t>
            </w: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180" w:type="dxa"/>
            <w:vAlign w:val="bottom"/>
            <w:gridSpan w:val="5"/>
          </w:tcPr>
          <w:p>
            <w:pPr>
              <w:ind w:left="160"/>
              <w:spacing w:after="0"/>
              <w:rPr>
                <w:sz w:val="20"/>
                <w:szCs w:val="20"/>
                <w:color w:val="auto"/>
              </w:rPr>
            </w:pPr>
            <w:r>
              <w:rPr>
                <w:rFonts w:ascii="Arial" w:cs="Arial" w:eastAsia="Arial" w:hAnsi="Arial"/>
                <w:sz w:val="20"/>
                <w:szCs w:val="20"/>
                <w:color w:val="auto"/>
              </w:rPr>
              <w:t>(Principal Executive Officer)</w:t>
            </w:r>
          </w:p>
        </w:tc>
      </w:tr>
      <w:tr>
        <w:trPr>
          <w:trHeight w:val="401"/>
        </w:trPr>
        <w:tc>
          <w:tcPr>
            <w:tcW w:w="3040" w:type="dxa"/>
            <w:vAlign w:val="bottom"/>
            <w:gridSpan w:val="3"/>
          </w:tcPr>
          <w:p>
            <w:pPr>
              <w:spacing w:after="0"/>
              <w:rPr>
                <w:sz w:val="20"/>
                <w:szCs w:val="20"/>
                <w:color w:val="auto"/>
              </w:rPr>
            </w:pPr>
            <w:r>
              <w:rPr>
                <w:rFonts w:ascii="Arial" w:cs="Arial" w:eastAsia="Arial" w:hAnsi="Arial"/>
                <w:sz w:val="20"/>
                <w:szCs w:val="20"/>
                <w:color w:val="auto"/>
              </w:rPr>
              <w:t>Date: April 28, 2016</w:t>
            </w:r>
          </w:p>
        </w:tc>
        <w:tc>
          <w:tcPr>
            <w:tcW w:w="4960" w:type="dxa"/>
            <w:vAlign w:val="bottom"/>
            <w:gridSpan w:val="6"/>
          </w:tcPr>
          <w:p>
            <w:pPr>
              <w:ind w:left="138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top w:val="single" w:sz="8" w:color="auto"/>
            </w:tcBorders>
            <w:gridSpan w:val="2"/>
          </w:tcPr>
          <w:p>
            <w:pPr>
              <w:ind w:left="160"/>
              <w:spacing w:after="0"/>
              <w:rPr>
                <w:sz w:val="20"/>
                <w:szCs w:val="20"/>
                <w:color w:val="auto"/>
              </w:rPr>
            </w:pPr>
            <w:r>
              <w:rPr>
                <w:rFonts w:ascii="Arial" w:cs="Arial" w:eastAsia="Arial" w:hAnsi="Arial"/>
                <w:sz w:val="20"/>
                <w:szCs w:val="20"/>
                <w:color w:val="auto"/>
              </w:rPr>
              <w:t>Philip A. Fain</w:t>
            </w:r>
          </w:p>
        </w:tc>
        <w:tc>
          <w:tcPr>
            <w:tcW w:w="480" w:type="dxa"/>
            <w:vAlign w:val="bottom"/>
            <w:gridSpan w:val="3"/>
          </w:tcPr>
          <w:p>
            <w:pPr>
              <w:spacing w:after="0"/>
              <w:rPr>
                <w:sz w:val="20"/>
                <w:szCs w:val="20"/>
                <w:color w:val="auto"/>
              </w:rPr>
            </w:pPr>
          </w:p>
        </w:tc>
      </w:tr>
      <w:tr>
        <w:trPr>
          <w:trHeight w:val="230"/>
        </w:trPr>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80" w:type="dxa"/>
            <w:vAlign w:val="bottom"/>
            <w:gridSpan w:val="5"/>
          </w:tcPr>
          <w:p>
            <w:pPr>
              <w:ind w:left="160"/>
              <w:spacing w:after="0"/>
              <w:rPr>
                <w:sz w:val="20"/>
                <w:szCs w:val="20"/>
                <w:color w:val="auto"/>
              </w:rPr>
            </w:pPr>
            <w:r>
              <w:rPr>
                <w:rFonts w:ascii="Arial" w:cs="Arial" w:eastAsia="Arial" w:hAnsi="Arial"/>
                <w:sz w:val="20"/>
                <w:szCs w:val="20"/>
                <w:color w:val="auto"/>
                <w:w w:val="91"/>
              </w:rPr>
              <w:t>Chief Financial Officer and Treasurer</w:t>
            </w:r>
          </w:p>
        </w:tc>
      </w:tr>
      <w:tr>
        <w:trPr>
          <w:trHeight w:val="230"/>
        </w:trPr>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80" w:type="dxa"/>
            <w:vAlign w:val="bottom"/>
            <w:gridSpan w:val="5"/>
          </w:tcPr>
          <w:p>
            <w:pPr>
              <w:ind w:left="160"/>
              <w:spacing w:after="0"/>
              <w:rPr>
                <w:sz w:val="20"/>
                <w:szCs w:val="20"/>
                <w:color w:val="auto"/>
              </w:rPr>
            </w:pPr>
            <w:r>
              <w:rPr>
                <w:rFonts w:ascii="Arial" w:cs="Arial" w:eastAsia="Arial" w:hAnsi="Arial"/>
                <w:sz w:val="20"/>
                <w:szCs w:val="20"/>
                <w:color w:val="auto"/>
              </w:rPr>
              <w:t>(Principal Financial Officer and</w:t>
            </w: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180" w:type="dxa"/>
            <w:vAlign w:val="bottom"/>
            <w:gridSpan w:val="5"/>
          </w:tcPr>
          <w:p>
            <w:pPr>
              <w:ind w:left="300"/>
              <w:spacing w:after="0"/>
              <w:rPr>
                <w:sz w:val="20"/>
                <w:szCs w:val="20"/>
                <w:color w:val="auto"/>
              </w:rPr>
            </w:pPr>
            <w:r>
              <w:rPr>
                <w:rFonts w:ascii="Arial" w:cs="Arial" w:eastAsia="Arial" w:hAnsi="Arial"/>
                <w:sz w:val="20"/>
                <w:szCs w:val="20"/>
                <w:color w:val="auto"/>
              </w:rPr>
              <w:t>Principal Accounting Officer)</w:t>
            </w:r>
          </w:p>
        </w:tc>
      </w:tr>
      <w:tr>
        <w:trPr>
          <w:trHeight w:val="361"/>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80" w:type="dxa"/>
            <w:vAlign w:val="bottom"/>
            <w:gridSpan w:val="3"/>
          </w:tcPr>
          <w:p>
            <w:pPr>
              <w:jc w:val="right"/>
              <w:ind w:right="208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Table of Contents</w:t>
              </w:r>
            </w:hyperlink>
          </w:p>
        </w:tc>
        <w:tc>
          <w:tcPr>
            <w:tcW w:w="9700" w:type="dxa"/>
            <w:vAlign w:val="bottom"/>
          </w:tcPr>
          <w:p>
            <w:pPr>
              <w:spacing w:after="0"/>
              <w:rPr>
                <w:sz w:val="17"/>
                <w:szCs w:val="17"/>
                <w:color w:val="auto"/>
              </w:rPr>
            </w:pPr>
          </w:p>
        </w:tc>
      </w:tr>
      <w:tr>
        <w:trPr>
          <w:trHeight w:val="551"/>
        </w:trPr>
        <w:tc>
          <w:tcPr>
            <w:tcW w:w="1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700" w:type="dxa"/>
            <w:vAlign w:val="bottom"/>
          </w:tcPr>
          <w:p>
            <w:pPr>
              <w:ind w:left="3520"/>
              <w:spacing w:after="0"/>
              <w:rPr>
                <w:sz w:val="20"/>
                <w:szCs w:val="20"/>
                <w:color w:val="auto"/>
              </w:rPr>
            </w:pPr>
            <w:r>
              <w:rPr>
                <w:rFonts w:ascii="Arial" w:cs="Arial" w:eastAsia="Arial" w:hAnsi="Arial"/>
                <w:sz w:val="20"/>
                <w:szCs w:val="20"/>
                <w:color w:val="auto"/>
              </w:rPr>
              <w:t>Index to Exhibits</w:t>
            </w:r>
          </w:p>
        </w:tc>
      </w:tr>
      <w:tr>
        <w:trPr>
          <w:trHeight w:val="452"/>
        </w:trPr>
        <w:tc>
          <w:tcPr>
            <w:tcW w:w="1360" w:type="dxa"/>
            <w:vAlign w:val="bottom"/>
          </w:tcPr>
          <w:p>
            <w:pPr>
              <w:ind w:left="460"/>
              <w:spacing w:after="0"/>
              <w:rPr>
                <w:sz w:val="20"/>
                <w:szCs w:val="20"/>
                <w:color w:val="auto"/>
              </w:rPr>
            </w:pPr>
            <w:r>
              <w:rPr>
                <w:rFonts w:ascii="Arial" w:cs="Arial" w:eastAsia="Arial" w:hAnsi="Arial"/>
                <w:sz w:val="20"/>
                <w:szCs w:val="20"/>
                <w:color w:val="auto"/>
              </w:rPr>
              <w:t>31.1</w:t>
            </w:r>
          </w:p>
        </w:tc>
        <w:tc>
          <w:tcPr>
            <w:tcW w:w="160" w:type="dxa"/>
            <w:vAlign w:val="bottom"/>
          </w:tcPr>
          <w:p>
            <w:pPr>
              <w:spacing w:after="0"/>
              <w:rPr>
                <w:sz w:val="24"/>
                <w:szCs w:val="24"/>
                <w:color w:val="auto"/>
              </w:rPr>
            </w:pPr>
          </w:p>
        </w:tc>
        <w:tc>
          <w:tcPr>
            <w:tcW w:w="9700" w:type="dxa"/>
            <w:vAlign w:val="bottom"/>
          </w:tcPr>
          <w:p>
            <w:pPr>
              <w:ind w:left="160"/>
              <w:spacing w:after="0"/>
              <w:rPr>
                <w:sz w:val="20"/>
                <w:szCs w:val="20"/>
                <w:color w:val="auto"/>
              </w:rPr>
            </w:pPr>
            <w:r>
              <w:rPr>
                <w:rFonts w:ascii="Arial" w:cs="Arial" w:eastAsia="Arial" w:hAnsi="Arial"/>
                <w:sz w:val="20"/>
                <w:szCs w:val="20"/>
                <w:color w:val="auto"/>
                <w:w w:val="91"/>
              </w:rPr>
              <w:t>Certification of Chief Executive Officer Pursuant to Rule 13a-14(a) of the Securities Exchange Act of 1934, as adopted</w:t>
            </w: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700" w:type="dxa"/>
            <w:vAlign w:val="bottom"/>
          </w:tcPr>
          <w:p>
            <w:pPr>
              <w:ind w:left="160"/>
              <w:spacing w:after="0"/>
              <w:rPr>
                <w:sz w:val="20"/>
                <w:szCs w:val="20"/>
                <w:color w:val="auto"/>
              </w:rPr>
            </w:pPr>
            <w:r>
              <w:rPr>
                <w:rFonts w:ascii="Arial" w:cs="Arial" w:eastAsia="Arial" w:hAnsi="Arial"/>
                <w:sz w:val="20"/>
                <w:szCs w:val="20"/>
                <w:color w:val="auto"/>
              </w:rPr>
              <w:t>pursuant to Section 302 of the Sarbanes-Oxley Act of 2002</w:t>
            </w:r>
          </w:p>
        </w:tc>
      </w:tr>
      <w:tr>
        <w:trPr>
          <w:trHeight w:val="230"/>
        </w:trPr>
        <w:tc>
          <w:tcPr>
            <w:tcW w:w="1360" w:type="dxa"/>
            <w:vAlign w:val="bottom"/>
          </w:tcPr>
          <w:p>
            <w:pPr>
              <w:ind w:left="460"/>
              <w:spacing w:after="0"/>
              <w:rPr>
                <w:sz w:val="20"/>
                <w:szCs w:val="20"/>
                <w:color w:val="auto"/>
              </w:rPr>
            </w:pPr>
            <w:r>
              <w:rPr>
                <w:rFonts w:ascii="Arial" w:cs="Arial" w:eastAsia="Arial" w:hAnsi="Arial"/>
                <w:sz w:val="20"/>
                <w:szCs w:val="20"/>
                <w:color w:val="auto"/>
              </w:rPr>
              <w:t>31.2</w:t>
            </w:r>
          </w:p>
        </w:tc>
        <w:tc>
          <w:tcPr>
            <w:tcW w:w="160" w:type="dxa"/>
            <w:vAlign w:val="bottom"/>
          </w:tcPr>
          <w:p>
            <w:pPr>
              <w:spacing w:after="0"/>
              <w:rPr>
                <w:sz w:val="19"/>
                <w:szCs w:val="19"/>
                <w:color w:val="auto"/>
              </w:rPr>
            </w:pPr>
          </w:p>
        </w:tc>
        <w:tc>
          <w:tcPr>
            <w:tcW w:w="9700" w:type="dxa"/>
            <w:vAlign w:val="bottom"/>
          </w:tcPr>
          <w:p>
            <w:pPr>
              <w:ind w:left="160"/>
              <w:spacing w:after="0"/>
              <w:rPr>
                <w:sz w:val="20"/>
                <w:szCs w:val="20"/>
                <w:color w:val="auto"/>
              </w:rPr>
            </w:pPr>
            <w:r>
              <w:rPr>
                <w:rFonts w:ascii="Arial" w:cs="Arial" w:eastAsia="Arial" w:hAnsi="Arial"/>
                <w:sz w:val="20"/>
                <w:szCs w:val="20"/>
                <w:color w:val="auto"/>
                <w:w w:val="91"/>
              </w:rPr>
              <w:t>Certification of Chief Financial Officer Pursuant to Rule 13a-14(a) of the Securities Exchange Act of 1934, as adopted</w:t>
            </w: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700" w:type="dxa"/>
            <w:vAlign w:val="bottom"/>
          </w:tcPr>
          <w:p>
            <w:pPr>
              <w:ind w:left="160"/>
              <w:spacing w:after="0"/>
              <w:rPr>
                <w:sz w:val="20"/>
                <w:szCs w:val="20"/>
                <w:color w:val="auto"/>
              </w:rPr>
            </w:pPr>
            <w:r>
              <w:rPr>
                <w:rFonts w:ascii="Arial" w:cs="Arial" w:eastAsia="Arial" w:hAnsi="Arial"/>
                <w:sz w:val="20"/>
                <w:szCs w:val="20"/>
                <w:color w:val="auto"/>
              </w:rPr>
              <w:t>pursuant to Section 302 of the Sarbanes-Oxley Act of 2002</w:t>
            </w:r>
          </w:p>
        </w:tc>
      </w:tr>
      <w:tr>
        <w:trPr>
          <w:trHeight w:val="230"/>
        </w:trPr>
        <w:tc>
          <w:tcPr>
            <w:tcW w:w="1360" w:type="dxa"/>
            <w:vAlign w:val="bottom"/>
          </w:tcPr>
          <w:p>
            <w:pPr>
              <w:ind w:left="460"/>
              <w:spacing w:after="0"/>
              <w:rPr>
                <w:sz w:val="20"/>
                <w:szCs w:val="20"/>
                <w:color w:val="auto"/>
              </w:rPr>
            </w:pPr>
            <w:r>
              <w:rPr>
                <w:rFonts w:ascii="Arial" w:cs="Arial" w:eastAsia="Arial" w:hAnsi="Arial"/>
                <w:sz w:val="20"/>
                <w:szCs w:val="20"/>
                <w:color w:val="auto"/>
              </w:rPr>
              <w:t>32</w:t>
            </w:r>
          </w:p>
        </w:tc>
        <w:tc>
          <w:tcPr>
            <w:tcW w:w="160" w:type="dxa"/>
            <w:vAlign w:val="bottom"/>
          </w:tcPr>
          <w:p>
            <w:pPr>
              <w:spacing w:after="0"/>
              <w:rPr>
                <w:sz w:val="19"/>
                <w:szCs w:val="19"/>
                <w:color w:val="auto"/>
              </w:rPr>
            </w:pPr>
          </w:p>
        </w:tc>
        <w:tc>
          <w:tcPr>
            <w:tcW w:w="9700" w:type="dxa"/>
            <w:vAlign w:val="bottom"/>
          </w:tcPr>
          <w:p>
            <w:pPr>
              <w:ind w:left="160"/>
              <w:spacing w:after="0"/>
              <w:rPr>
                <w:sz w:val="20"/>
                <w:szCs w:val="20"/>
                <w:color w:val="auto"/>
              </w:rPr>
            </w:pPr>
            <w:r>
              <w:rPr>
                <w:rFonts w:ascii="Arial" w:cs="Arial" w:eastAsia="Arial" w:hAnsi="Arial"/>
                <w:sz w:val="20"/>
                <w:szCs w:val="20"/>
                <w:color w:val="auto"/>
                <w:w w:val="89"/>
              </w:rPr>
              <w:t>Certification pursuant to 18 U.S.C. Section 1350, as adopted pursuant to Section 906 of the Sarbanes-Oxley Act of 2002</w:t>
            </w:r>
          </w:p>
        </w:tc>
      </w:tr>
      <w:tr>
        <w:trPr>
          <w:trHeight w:val="230"/>
        </w:trPr>
        <w:tc>
          <w:tcPr>
            <w:tcW w:w="1520" w:type="dxa"/>
            <w:vAlign w:val="bottom"/>
            <w:gridSpan w:val="2"/>
          </w:tcPr>
          <w:p>
            <w:pPr>
              <w:ind w:left="460"/>
              <w:spacing w:after="0"/>
              <w:rPr>
                <w:sz w:val="20"/>
                <w:szCs w:val="20"/>
                <w:color w:val="auto"/>
              </w:rPr>
            </w:pPr>
            <w:r>
              <w:rPr>
                <w:rFonts w:ascii="Arial" w:cs="Arial" w:eastAsia="Arial" w:hAnsi="Arial"/>
                <w:sz w:val="20"/>
                <w:szCs w:val="20"/>
                <w:color w:val="auto"/>
              </w:rPr>
              <w:t>101.INS</w:t>
            </w:r>
          </w:p>
        </w:tc>
        <w:tc>
          <w:tcPr>
            <w:tcW w:w="9700" w:type="dxa"/>
            <w:vAlign w:val="bottom"/>
          </w:tcPr>
          <w:p>
            <w:pPr>
              <w:ind w:left="160"/>
              <w:spacing w:after="0"/>
              <w:rPr>
                <w:sz w:val="20"/>
                <w:szCs w:val="20"/>
                <w:color w:val="auto"/>
              </w:rPr>
            </w:pPr>
            <w:r>
              <w:rPr>
                <w:rFonts w:ascii="Arial" w:cs="Arial" w:eastAsia="Arial" w:hAnsi="Arial"/>
                <w:sz w:val="20"/>
                <w:szCs w:val="20"/>
                <w:color w:val="auto"/>
              </w:rPr>
              <w:t>XBRL Instance Document</w:t>
            </w:r>
          </w:p>
        </w:tc>
      </w:tr>
      <w:tr>
        <w:trPr>
          <w:trHeight w:val="230"/>
        </w:trPr>
        <w:tc>
          <w:tcPr>
            <w:tcW w:w="1520" w:type="dxa"/>
            <w:vAlign w:val="bottom"/>
            <w:gridSpan w:val="2"/>
          </w:tcPr>
          <w:p>
            <w:pPr>
              <w:ind w:left="460"/>
              <w:spacing w:after="0"/>
              <w:rPr>
                <w:sz w:val="20"/>
                <w:szCs w:val="20"/>
                <w:color w:val="auto"/>
              </w:rPr>
            </w:pPr>
            <w:r>
              <w:rPr>
                <w:rFonts w:ascii="Arial" w:cs="Arial" w:eastAsia="Arial" w:hAnsi="Arial"/>
                <w:sz w:val="20"/>
                <w:szCs w:val="20"/>
                <w:color w:val="auto"/>
              </w:rPr>
              <w:t>101.SCH</w:t>
            </w:r>
          </w:p>
        </w:tc>
        <w:tc>
          <w:tcPr>
            <w:tcW w:w="9700" w:type="dxa"/>
            <w:vAlign w:val="bottom"/>
          </w:tcPr>
          <w:p>
            <w:pPr>
              <w:ind w:left="160"/>
              <w:spacing w:after="0"/>
              <w:rPr>
                <w:sz w:val="20"/>
                <w:szCs w:val="20"/>
                <w:color w:val="auto"/>
              </w:rPr>
            </w:pPr>
            <w:r>
              <w:rPr>
                <w:rFonts w:ascii="Arial" w:cs="Arial" w:eastAsia="Arial" w:hAnsi="Arial"/>
                <w:sz w:val="20"/>
                <w:szCs w:val="20"/>
                <w:color w:val="auto"/>
              </w:rPr>
              <w:t>XBRL Taxonomy Extension Schema Document</w:t>
            </w:r>
          </w:p>
        </w:tc>
      </w:tr>
      <w:tr>
        <w:trPr>
          <w:trHeight w:val="230"/>
        </w:trPr>
        <w:tc>
          <w:tcPr>
            <w:tcW w:w="1520" w:type="dxa"/>
            <w:vAlign w:val="bottom"/>
            <w:gridSpan w:val="2"/>
          </w:tcPr>
          <w:p>
            <w:pPr>
              <w:ind w:left="460"/>
              <w:spacing w:after="0"/>
              <w:rPr>
                <w:sz w:val="20"/>
                <w:szCs w:val="20"/>
                <w:color w:val="auto"/>
              </w:rPr>
            </w:pPr>
            <w:r>
              <w:rPr>
                <w:rFonts w:ascii="Arial" w:cs="Arial" w:eastAsia="Arial" w:hAnsi="Arial"/>
                <w:sz w:val="20"/>
                <w:szCs w:val="20"/>
                <w:color w:val="auto"/>
              </w:rPr>
              <w:t>101.CAL</w:t>
            </w:r>
          </w:p>
        </w:tc>
        <w:tc>
          <w:tcPr>
            <w:tcW w:w="9700" w:type="dxa"/>
            <w:vAlign w:val="bottom"/>
          </w:tcPr>
          <w:p>
            <w:pPr>
              <w:ind w:left="160"/>
              <w:spacing w:after="0"/>
              <w:rPr>
                <w:sz w:val="20"/>
                <w:szCs w:val="20"/>
                <w:color w:val="auto"/>
              </w:rPr>
            </w:pPr>
            <w:r>
              <w:rPr>
                <w:rFonts w:ascii="Arial" w:cs="Arial" w:eastAsia="Arial" w:hAnsi="Arial"/>
                <w:sz w:val="20"/>
                <w:szCs w:val="20"/>
                <w:color w:val="auto"/>
              </w:rPr>
              <w:t>XBRL Taxonomy Calculation Linkbase Document</w:t>
            </w:r>
          </w:p>
        </w:tc>
      </w:tr>
      <w:tr>
        <w:trPr>
          <w:trHeight w:val="230"/>
        </w:trPr>
        <w:tc>
          <w:tcPr>
            <w:tcW w:w="1520" w:type="dxa"/>
            <w:vAlign w:val="bottom"/>
            <w:gridSpan w:val="2"/>
          </w:tcPr>
          <w:p>
            <w:pPr>
              <w:ind w:left="460"/>
              <w:spacing w:after="0"/>
              <w:rPr>
                <w:sz w:val="20"/>
                <w:szCs w:val="20"/>
                <w:color w:val="auto"/>
              </w:rPr>
            </w:pPr>
            <w:r>
              <w:rPr>
                <w:rFonts w:ascii="Arial" w:cs="Arial" w:eastAsia="Arial" w:hAnsi="Arial"/>
                <w:sz w:val="20"/>
                <w:szCs w:val="20"/>
                <w:color w:val="auto"/>
              </w:rPr>
              <w:t>101.LAB</w:t>
            </w:r>
          </w:p>
        </w:tc>
        <w:tc>
          <w:tcPr>
            <w:tcW w:w="9700" w:type="dxa"/>
            <w:vAlign w:val="bottom"/>
          </w:tcPr>
          <w:p>
            <w:pPr>
              <w:ind w:left="160"/>
              <w:spacing w:after="0"/>
              <w:rPr>
                <w:sz w:val="20"/>
                <w:szCs w:val="20"/>
                <w:color w:val="auto"/>
              </w:rPr>
            </w:pPr>
            <w:r>
              <w:rPr>
                <w:rFonts w:ascii="Arial" w:cs="Arial" w:eastAsia="Arial" w:hAnsi="Arial"/>
                <w:sz w:val="20"/>
                <w:szCs w:val="20"/>
                <w:color w:val="auto"/>
              </w:rPr>
              <w:t>XBRL Taxonomy Label Linkbase Document</w:t>
            </w:r>
          </w:p>
        </w:tc>
      </w:tr>
      <w:tr>
        <w:trPr>
          <w:trHeight w:val="230"/>
        </w:trPr>
        <w:tc>
          <w:tcPr>
            <w:tcW w:w="1520" w:type="dxa"/>
            <w:vAlign w:val="bottom"/>
            <w:gridSpan w:val="2"/>
          </w:tcPr>
          <w:p>
            <w:pPr>
              <w:ind w:left="460"/>
              <w:spacing w:after="0"/>
              <w:rPr>
                <w:sz w:val="20"/>
                <w:szCs w:val="20"/>
                <w:color w:val="auto"/>
              </w:rPr>
            </w:pPr>
            <w:r>
              <w:rPr>
                <w:rFonts w:ascii="Arial" w:cs="Arial" w:eastAsia="Arial" w:hAnsi="Arial"/>
                <w:sz w:val="20"/>
                <w:szCs w:val="20"/>
                <w:color w:val="auto"/>
              </w:rPr>
              <w:t>101.PRE</w:t>
            </w:r>
          </w:p>
        </w:tc>
        <w:tc>
          <w:tcPr>
            <w:tcW w:w="9700" w:type="dxa"/>
            <w:vAlign w:val="bottom"/>
          </w:tcPr>
          <w:p>
            <w:pPr>
              <w:ind w:left="160"/>
              <w:spacing w:after="0"/>
              <w:rPr>
                <w:sz w:val="20"/>
                <w:szCs w:val="20"/>
                <w:color w:val="auto"/>
              </w:rPr>
            </w:pPr>
            <w:r>
              <w:rPr>
                <w:rFonts w:ascii="Arial" w:cs="Arial" w:eastAsia="Arial" w:hAnsi="Arial"/>
                <w:sz w:val="20"/>
                <w:szCs w:val="20"/>
                <w:color w:val="auto"/>
              </w:rPr>
              <w:t>XBRL Taxonomy Presentation Linkbase Document</w:t>
            </w:r>
          </w:p>
        </w:tc>
      </w:tr>
      <w:tr>
        <w:trPr>
          <w:trHeight w:val="250"/>
        </w:trPr>
        <w:tc>
          <w:tcPr>
            <w:tcW w:w="1520" w:type="dxa"/>
            <w:vAlign w:val="bottom"/>
            <w:gridSpan w:val="2"/>
          </w:tcPr>
          <w:p>
            <w:pPr>
              <w:ind w:left="460"/>
              <w:spacing w:after="0"/>
              <w:rPr>
                <w:sz w:val="20"/>
                <w:szCs w:val="20"/>
                <w:color w:val="auto"/>
              </w:rPr>
            </w:pPr>
            <w:r>
              <w:rPr>
                <w:rFonts w:ascii="Arial" w:cs="Arial" w:eastAsia="Arial" w:hAnsi="Arial"/>
                <w:sz w:val="20"/>
                <w:szCs w:val="20"/>
                <w:color w:val="auto"/>
              </w:rPr>
              <w:t>101.DEF</w:t>
            </w:r>
          </w:p>
        </w:tc>
        <w:tc>
          <w:tcPr>
            <w:tcW w:w="9700" w:type="dxa"/>
            <w:vAlign w:val="bottom"/>
          </w:tcPr>
          <w:p>
            <w:pPr>
              <w:ind w:left="160"/>
              <w:spacing w:after="0"/>
              <w:rPr>
                <w:sz w:val="20"/>
                <w:szCs w:val="20"/>
                <w:color w:val="auto"/>
              </w:rPr>
            </w:pPr>
            <w:r>
              <w:rPr>
                <w:rFonts w:ascii="Arial" w:cs="Arial" w:eastAsia="Arial" w:hAnsi="Arial"/>
                <w:sz w:val="20"/>
                <w:szCs w:val="20"/>
                <w:color w:val="auto"/>
              </w:rPr>
              <w:t>XBRL Taxonomy Definition Document</w:t>
            </w:r>
          </w:p>
        </w:tc>
      </w:tr>
      <w:tr>
        <w:trPr>
          <w:trHeight w:val="361"/>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00" w:type="dxa"/>
            <w:vAlign w:val="bottom"/>
          </w:tcPr>
          <w:p>
            <w:pPr>
              <w:ind w:left="410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20"/>
          </w:cols>
          <w:pgMar w:left="240" w:top="446"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color w:val="auto"/>
        </w:rPr>
        <w:t>Exhibit 31.1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I, Michael D. Popielec, certify that:</w:t>
      </w:r>
    </w:p>
    <w:p>
      <w:pPr>
        <w:spacing w:after="0" w:line="216"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15" w:lineRule="exact"/>
        <w:rPr>
          <w:rFonts w:ascii="Arial" w:cs="Arial" w:eastAsia="Arial" w:hAnsi="Arial"/>
          <w:sz w:val="20"/>
          <w:szCs w:val="20"/>
          <w:color w:val="auto"/>
        </w:rPr>
      </w:pPr>
    </w:p>
    <w:p>
      <w:pPr>
        <w:jc w:val="both"/>
        <w:ind w:firstLine="8"/>
        <w:spacing w:after="0" w:line="250" w:lineRule="auto"/>
        <w:tabs>
          <w:tab w:leader="none" w:pos="612"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ind w:right="20" w:firstLine="8"/>
        <w:spacing w:after="0" w:line="316" w:lineRule="auto"/>
        <w:tabs>
          <w:tab w:leader="none" w:pos="6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firstLine="8"/>
        <w:spacing w:after="0" w:line="250" w:lineRule="auto"/>
        <w:tabs>
          <w:tab w:leader="none" w:pos="645"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jc w:val="both"/>
        <w:ind w:left="800" w:firstLine="750"/>
        <w:spacing w:after="0" w:line="291" w:lineRule="auto"/>
        <w:tabs>
          <w:tab w:leader="none" w:pos="18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jc w:val="both"/>
        <w:ind w:left="800" w:firstLine="750"/>
        <w:spacing w:after="0" w:line="269" w:lineRule="auto"/>
        <w:tabs>
          <w:tab w:leader="none" w:pos="1844" w:val="left"/>
        </w:tabs>
        <w:numPr>
          <w:ilvl w:val="1"/>
          <w:numId w:val="1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jc w:val="both"/>
        <w:ind w:left="800" w:firstLine="750"/>
        <w:spacing w:after="0" w:line="250" w:lineRule="auto"/>
        <w:tabs>
          <w:tab w:leader="none" w:pos="1855" w:val="left"/>
        </w:tabs>
        <w:numPr>
          <w:ilvl w:val="1"/>
          <w:numId w:val="1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800" w:firstLine="750"/>
        <w:spacing w:after="0" w:line="269" w:lineRule="auto"/>
        <w:tabs>
          <w:tab w:leader="none" w:pos="1837" w:val="left"/>
        </w:tabs>
        <w:numPr>
          <w:ilvl w:val="1"/>
          <w:numId w:val="1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685"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20"/>
          <w:szCs w:val="20"/>
          <w:color w:val="auto"/>
        </w:rPr>
      </w:pPr>
    </w:p>
    <w:p>
      <w:pPr>
        <w:jc w:val="both"/>
        <w:ind w:left="800" w:firstLine="750"/>
        <w:spacing w:after="0" w:line="250" w:lineRule="auto"/>
        <w:tabs>
          <w:tab w:leader="none" w:pos="1859" w:val="left"/>
        </w:tabs>
        <w:numPr>
          <w:ilvl w:val="1"/>
          <w:numId w:val="1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800" w:firstLine="750"/>
        <w:spacing w:after="0" w:line="260" w:lineRule="auto"/>
        <w:tabs>
          <w:tab w:leader="none" w:pos="1844" w:val="left"/>
        </w:tabs>
        <w:numPr>
          <w:ilvl w:val="1"/>
          <w:numId w:val="1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20"/>
                <w:szCs w:val="20"/>
                <w:color w:val="auto"/>
              </w:rPr>
              <w:t>Date: April 28, 2016</w:t>
            </w:r>
          </w:p>
        </w:tc>
        <w:tc>
          <w:tcPr>
            <w:tcW w:w="5500" w:type="dxa"/>
            <w:vAlign w:val="bottom"/>
            <w:gridSpan w:val="3"/>
          </w:tcPr>
          <w:p>
            <w:pPr>
              <w:ind w:left="178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4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Michael D. Popielec</w:t>
            </w:r>
          </w:p>
        </w:tc>
        <w:tc>
          <w:tcPr>
            <w:tcW w:w="38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220" w:type="dxa"/>
            <w:vAlign w:val="bottom"/>
            <w:gridSpan w:val="2"/>
          </w:tcPr>
          <w:p>
            <w:pPr>
              <w:ind w:left="200"/>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color w:val="auto"/>
        </w:rPr>
        <w:t>Exhibit 31.2</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I, Philip A. Fain, certify that:</w:t>
      </w:r>
    </w:p>
    <w:p>
      <w:pPr>
        <w:spacing w:after="0" w:line="216"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15" w:lineRule="exact"/>
        <w:rPr>
          <w:rFonts w:ascii="Arial" w:cs="Arial" w:eastAsia="Arial" w:hAnsi="Arial"/>
          <w:sz w:val="20"/>
          <w:szCs w:val="20"/>
          <w:color w:val="auto"/>
        </w:rPr>
      </w:pPr>
    </w:p>
    <w:p>
      <w:pPr>
        <w:jc w:val="both"/>
        <w:ind w:firstLine="8"/>
        <w:spacing w:after="0" w:line="250" w:lineRule="auto"/>
        <w:tabs>
          <w:tab w:leader="none" w:pos="612" w:val="left"/>
        </w:tabs>
        <w:numPr>
          <w:ilvl w:val="0"/>
          <w:numId w:val="1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ind w:right="20" w:firstLine="8"/>
        <w:spacing w:after="0" w:line="316" w:lineRule="auto"/>
        <w:tabs>
          <w:tab w:leader="none" w:pos="6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firstLine="8"/>
        <w:spacing w:after="0" w:line="250" w:lineRule="auto"/>
        <w:tabs>
          <w:tab w:leader="none" w:pos="642"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jc w:val="both"/>
        <w:ind w:left="800" w:firstLine="750"/>
        <w:spacing w:after="0" w:line="291" w:lineRule="auto"/>
        <w:tabs>
          <w:tab w:leader="none" w:pos="183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jc w:val="both"/>
        <w:ind w:left="800" w:firstLine="750"/>
        <w:spacing w:after="0" w:line="269" w:lineRule="auto"/>
        <w:tabs>
          <w:tab w:leader="none" w:pos="1844" w:val="left"/>
        </w:tabs>
        <w:numPr>
          <w:ilvl w:val="1"/>
          <w:numId w:val="1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jc w:val="both"/>
        <w:ind w:left="800" w:firstLine="750"/>
        <w:spacing w:after="0" w:line="250" w:lineRule="auto"/>
        <w:tabs>
          <w:tab w:leader="none" w:pos="1855" w:val="left"/>
        </w:tabs>
        <w:numPr>
          <w:ilvl w:val="1"/>
          <w:numId w:val="1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800" w:firstLine="750"/>
        <w:spacing w:after="0" w:line="269" w:lineRule="auto"/>
        <w:tabs>
          <w:tab w:leader="none" w:pos="1837" w:val="left"/>
        </w:tabs>
        <w:numPr>
          <w:ilvl w:val="1"/>
          <w:numId w:val="1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681"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20"/>
          <w:szCs w:val="20"/>
          <w:color w:val="auto"/>
        </w:rPr>
      </w:pPr>
    </w:p>
    <w:p>
      <w:pPr>
        <w:jc w:val="both"/>
        <w:ind w:left="800" w:firstLine="750"/>
        <w:spacing w:after="0" w:line="250" w:lineRule="auto"/>
        <w:tabs>
          <w:tab w:leader="none" w:pos="1859" w:val="left"/>
        </w:tabs>
        <w:numPr>
          <w:ilvl w:val="1"/>
          <w:numId w:val="1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800" w:firstLine="750"/>
        <w:spacing w:after="0" w:line="260" w:lineRule="auto"/>
        <w:tabs>
          <w:tab w:leader="none" w:pos="1844"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20"/>
                <w:szCs w:val="20"/>
                <w:color w:val="auto"/>
              </w:rPr>
              <w:t>Date: April 28, 2016</w:t>
            </w:r>
          </w:p>
        </w:tc>
        <w:tc>
          <w:tcPr>
            <w:tcW w:w="5460" w:type="dxa"/>
            <w:vAlign w:val="bottom"/>
            <w:gridSpan w:val="3"/>
          </w:tcPr>
          <w:p>
            <w:pPr>
              <w:ind w:left="178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34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Philip A. Fain</w:t>
            </w:r>
          </w:p>
        </w:tc>
        <w:tc>
          <w:tcPr>
            <w:tcW w:w="84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color w:val="auto"/>
        </w:rPr>
        <w:t>Exhibit 32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1350 Certification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27, 2016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20"/>
                <w:szCs w:val="20"/>
                <w:color w:val="auto"/>
              </w:rPr>
              <w:t>Date: April 28, 2016</w:t>
            </w:r>
          </w:p>
        </w:tc>
        <w:tc>
          <w:tcPr>
            <w:tcW w:w="2280" w:type="dxa"/>
            <w:vAlign w:val="bottom"/>
          </w:tcPr>
          <w:p>
            <w:pPr>
              <w:ind w:left="1780"/>
              <w:spacing w:after="0"/>
              <w:rPr>
                <w:sz w:val="20"/>
                <w:szCs w:val="20"/>
                <w:color w:val="auto"/>
              </w:rPr>
            </w:pPr>
            <w:r>
              <w:rPr>
                <w:rFonts w:ascii="Arial" w:cs="Arial" w:eastAsia="Arial" w:hAnsi="Arial"/>
                <w:sz w:val="20"/>
                <w:szCs w:val="20"/>
                <w:color w:val="auto"/>
              </w:rPr>
              <w:t>By:</w:t>
            </w:r>
          </w:p>
        </w:tc>
        <w:tc>
          <w:tcPr>
            <w:tcW w:w="3220" w:type="dxa"/>
            <w:vAlign w:val="bottom"/>
            <w:gridSpan w:val="3"/>
          </w:tcPr>
          <w:p>
            <w:pPr>
              <w:spacing w:after="0"/>
              <w:rPr>
                <w:sz w:val="20"/>
                <w:szCs w:val="20"/>
                <w:color w:val="auto"/>
              </w:rPr>
            </w:pPr>
            <w:r>
              <w:rPr>
                <w:rFonts w:ascii="Arial" w:cs="Arial" w:eastAsia="Arial" w:hAnsi="Arial"/>
                <w:sz w:val="20"/>
                <w:szCs w:val="20"/>
                <w:color w:val="auto"/>
              </w:rPr>
              <w:t>/s/ Michael D. Popielec</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40" w:type="dxa"/>
            <w:vAlign w:val="bottom"/>
            <w:tcBorders>
              <w:top w:val="single" w:sz="8" w:color="auto"/>
            </w:tcBorders>
            <w:gridSpan w:val="2"/>
          </w:tcPr>
          <w:p>
            <w:pPr>
              <w:ind w:left="200"/>
              <w:spacing w:after="0"/>
              <w:rPr>
                <w:sz w:val="20"/>
                <w:szCs w:val="20"/>
                <w:color w:val="auto"/>
              </w:rPr>
            </w:pPr>
            <w:r>
              <w:rPr>
                <w:rFonts w:ascii="Arial" w:cs="Arial" w:eastAsia="Arial" w:hAnsi="Arial"/>
                <w:sz w:val="20"/>
                <w:szCs w:val="20"/>
                <w:color w:val="auto"/>
              </w:rPr>
              <w:t>Michael D. Popielec</w:t>
            </w:r>
          </w:p>
        </w:tc>
        <w:tc>
          <w:tcPr>
            <w:tcW w:w="38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220" w:type="dxa"/>
            <w:vAlign w:val="bottom"/>
            <w:gridSpan w:val="3"/>
          </w:tcPr>
          <w:p>
            <w:pPr>
              <w:ind w:left="200"/>
              <w:spacing w:after="0"/>
              <w:rPr>
                <w:sz w:val="20"/>
                <w:szCs w:val="20"/>
                <w:color w:val="auto"/>
              </w:rPr>
            </w:pPr>
            <w:r>
              <w:rPr>
                <w:rFonts w:ascii="Arial" w:cs="Arial" w:eastAsia="Arial" w:hAnsi="Arial"/>
                <w:sz w:val="20"/>
                <w:szCs w:val="20"/>
                <w:color w:val="auto"/>
                <w:w w:val="90"/>
              </w:rPr>
              <w:t>President and Chief Executive Officer</w:t>
            </w:r>
          </w:p>
        </w:tc>
      </w:tr>
      <w:tr>
        <w:trPr>
          <w:trHeight w:val="401"/>
        </w:trPr>
        <w:tc>
          <w:tcPr>
            <w:tcW w:w="3420" w:type="dxa"/>
            <w:vAlign w:val="bottom"/>
            <w:gridSpan w:val="3"/>
          </w:tcPr>
          <w:p>
            <w:pPr>
              <w:spacing w:after="0"/>
              <w:rPr>
                <w:sz w:val="20"/>
                <w:szCs w:val="20"/>
                <w:color w:val="auto"/>
              </w:rPr>
            </w:pPr>
            <w:r>
              <w:rPr>
                <w:rFonts w:ascii="Arial" w:cs="Arial" w:eastAsia="Arial" w:hAnsi="Arial"/>
                <w:sz w:val="20"/>
                <w:szCs w:val="20"/>
                <w:color w:val="auto"/>
              </w:rPr>
              <w:t>Date: April 28, 2016</w:t>
            </w:r>
          </w:p>
        </w:tc>
        <w:tc>
          <w:tcPr>
            <w:tcW w:w="2280" w:type="dxa"/>
            <w:vAlign w:val="bottom"/>
          </w:tcPr>
          <w:p>
            <w:pPr>
              <w:ind w:left="1780"/>
              <w:spacing w:after="0"/>
              <w:rPr>
                <w:sz w:val="20"/>
                <w:szCs w:val="20"/>
                <w:color w:val="auto"/>
              </w:rPr>
            </w:pPr>
            <w:r>
              <w:rPr>
                <w:rFonts w:ascii="Arial" w:cs="Arial" w:eastAsia="Arial" w:hAnsi="Arial"/>
                <w:sz w:val="20"/>
                <w:szCs w:val="20"/>
                <w:color w:val="auto"/>
              </w:rPr>
              <w:t>By:</w:t>
            </w:r>
          </w:p>
        </w:tc>
        <w:tc>
          <w:tcPr>
            <w:tcW w:w="3220" w:type="dxa"/>
            <w:vAlign w:val="bottom"/>
            <w:gridSpan w:val="3"/>
          </w:tcPr>
          <w:p>
            <w:pPr>
              <w:spacing w:after="0"/>
              <w:rPr>
                <w:sz w:val="20"/>
                <w:szCs w:val="20"/>
                <w:color w:val="auto"/>
              </w:rPr>
            </w:pPr>
            <w:r>
              <w:rPr>
                <w:rFonts w:ascii="Arial" w:cs="Arial" w:eastAsia="Arial" w:hAnsi="Arial"/>
                <w:sz w:val="20"/>
                <w:szCs w:val="20"/>
                <w:color w:val="auto"/>
              </w:rPr>
              <w:t>/s/ Philip A. Fain</w:t>
            </w:r>
          </w:p>
        </w:tc>
      </w:tr>
      <w:tr>
        <w:trPr>
          <w:trHeight w:val="233"/>
        </w:trPr>
        <w:tc>
          <w:tcPr>
            <w:tcW w:w="4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Philip A. Fain</w:t>
            </w:r>
          </w:p>
        </w:tc>
        <w:tc>
          <w:tcPr>
            <w:tcW w:w="440" w:type="dxa"/>
            <w:vAlign w:val="bottom"/>
            <w:gridSpan w:val="2"/>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220" w:type="dxa"/>
            <w:vAlign w:val="bottom"/>
            <w:gridSpan w:val="3"/>
          </w:tcPr>
          <w:p>
            <w:pPr>
              <w:ind w:left="200"/>
              <w:spacing w:after="0"/>
              <w:rPr>
                <w:sz w:val="20"/>
                <w:szCs w:val="20"/>
                <w:color w:val="auto"/>
              </w:rPr>
            </w:pPr>
            <w:r>
              <w:rPr>
                <w:rFonts w:ascii="Arial" w:cs="Arial" w:eastAsia="Arial" w:hAnsi="Arial"/>
                <w:sz w:val="20"/>
                <w:szCs w:val="20"/>
                <w:color w:val="auto"/>
                <w:w w:val="91"/>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5"/>
    </w:lvl>
  </w:abstractNum>
  <w:abstractNum w:abstractNumId="1">
    <w:nsid w:val="2EB141F2"/>
    <w:multiLevelType w:val="hybridMultilevel"/>
    <w:lvl w:ilvl="0">
      <w:lvlJc w:val="left"/>
      <w:lvlText w:val="%1."/>
      <w:numFmt w:val="decimal"/>
      <w:start w:val="7"/>
    </w:lvl>
  </w:abstractNum>
  <w:abstractNum w:abstractNumId="2">
    <w:nsid w:val="41B71EFB"/>
    <w:multiLevelType w:val="hybridMultilevel"/>
    <w:lvl w:ilvl="0">
      <w:lvlJc w:val="left"/>
      <w:lvlText w:val="%1."/>
      <w:numFmt w:val="decimal"/>
      <w:start w:val="8"/>
    </w:lvl>
  </w:abstractNum>
  <w:abstractNum w:abstractNumId="3">
    <w:nsid w:val="79E2A9E3"/>
    <w:multiLevelType w:val="hybridMultilevel"/>
    <w:lvl w:ilvl="0">
      <w:lvlJc w:val="left"/>
      <w:lvlText w:val="%1."/>
      <w:numFmt w:val="decimal"/>
      <w:start w:val="9"/>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13"/>
    </w:lvl>
  </w:abstractNum>
  <w:abstractNum w:abstractNumId="6">
    <w:nsid w:val="5BD062C2"/>
    <w:multiLevelType w:val="hybridMultilevel"/>
    <w:lvl w:ilvl="0">
      <w:lvlJc w:val="left"/>
      <w:lvlText w:val="%1."/>
      <w:numFmt w:val="decimal"/>
      <w:start w:val="14"/>
    </w:lvl>
  </w:abstractNum>
  <w:abstractNum w:abstractNumId="7">
    <w:nsid w:val="12200854"/>
    <w:multiLevelType w:val="hybridMultilevel"/>
    <w:lvl w:ilvl="0">
      <w:lvlJc w:val="left"/>
      <w:lvlText w:val="%1."/>
      <w:numFmt w:val="decimal"/>
      <w:start w:val="15"/>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2019-12-29T13:01:16Z</dcterms:created>
  <dcterms:modified xsi:type="dcterms:W3CDTF">2019-12-29T13:01:16Z</dcterms:modified>
</cp:coreProperties>
</file>