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31, 2021</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340" w:right="1980" w:hanging="3332"/>
        <w:spacing w:after="0" w:line="498" w:lineRule="auto"/>
        <w:tabs>
          <w:tab w:leader="none" w:pos="57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0-20852</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ULTRALIFE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08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4620" w:type="dxa"/>
            <w:vAlign w:val="bottom"/>
          </w:tcPr>
          <w:p>
            <w:pPr>
              <w:jc w:val="right"/>
              <w:ind w:right="1410"/>
              <w:spacing w:after="0"/>
              <w:rPr>
                <w:sz w:val="20"/>
                <w:szCs w:val="20"/>
                <w:color w:val="auto"/>
              </w:rPr>
            </w:pPr>
            <w:r>
              <w:rPr>
                <w:rFonts w:ascii="Arial" w:cs="Arial" w:eastAsia="Arial" w:hAnsi="Arial"/>
                <w:sz w:val="18"/>
                <w:szCs w:val="18"/>
                <w:b w:val="1"/>
                <w:bCs w:val="1"/>
                <w:color w:val="auto"/>
              </w:rPr>
              <w:t>16-1387013</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 incorporation of organization)</w:t>
            </w:r>
          </w:p>
        </w:tc>
        <w:tc>
          <w:tcPr>
            <w:tcW w:w="4620" w:type="dxa"/>
            <w:vAlign w:val="bottom"/>
          </w:tcPr>
          <w:p>
            <w:pPr>
              <w:jc w:val="center"/>
              <w:ind w:left="6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08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2000 Technology Parkway Newark, New York 14513</w:t>
            </w:r>
          </w:p>
        </w:tc>
        <w:tc>
          <w:tcPr>
            <w:tcW w:w="4620" w:type="dxa"/>
            <w:vAlign w:val="bottom"/>
          </w:tcPr>
          <w:p>
            <w:pPr>
              <w:jc w:val="right"/>
              <w:ind w:right="1270"/>
              <w:spacing w:after="0"/>
              <w:rPr>
                <w:sz w:val="20"/>
                <w:szCs w:val="20"/>
                <w:color w:val="auto"/>
              </w:rPr>
            </w:pPr>
            <w:r>
              <w:rPr>
                <w:rFonts w:ascii="Arial" w:cs="Arial" w:eastAsia="Arial" w:hAnsi="Arial"/>
                <w:sz w:val="18"/>
                <w:szCs w:val="18"/>
                <w:b w:val="1"/>
                <w:bCs w:val="1"/>
                <w:color w:val="auto"/>
              </w:rPr>
              <w:t>(315) 332-7100</w:t>
            </w:r>
          </w:p>
        </w:tc>
      </w:tr>
      <w:tr>
        <w:trPr>
          <w:trHeight w:val="230"/>
        </w:trPr>
        <w:tc>
          <w:tcPr>
            <w:tcW w:w="5080" w:type="dxa"/>
            <w:vAlign w:val="bottom"/>
          </w:tcPr>
          <w:p>
            <w:pPr>
              <w:jc w:val="center"/>
              <w:ind w:right="690"/>
              <w:spacing w:after="0"/>
              <w:rPr>
                <w:sz w:val="20"/>
                <w:szCs w:val="20"/>
                <w:color w:val="auto"/>
              </w:rPr>
            </w:pPr>
            <w:r>
              <w:rPr>
                <w:rFonts w:ascii="Arial" w:cs="Arial" w:eastAsia="Arial" w:hAnsi="Arial"/>
                <w:sz w:val="18"/>
                <w:szCs w:val="18"/>
                <w:color w:val="auto"/>
                <w:w w:val="92"/>
              </w:rPr>
              <w:t>(Address of principal executive offices) (Zip Code)</w:t>
            </w:r>
          </w:p>
        </w:tc>
        <w:tc>
          <w:tcPr>
            <w:tcW w:w="4620" w:type="dxa"/>
            <w:vAlign w:val="bottom"/>
          </w:tcPr>
          <w:p>
            <w:pPr>
              <w:jc w:val="center"/>
              <w:ind w:left="670"/>
              <w:spacing w:after="0"/>
              <w:rPr>
                <w:sz w:val="20"/>
                <w:szCs w:val="20"/>
                <w:color w:val="auto"/>
              </w:rPr>
            </w:pPr>
            <w:r>
              <w:rPr>
                <w:rFonts w:ascii="Arial" w:cs="Arial" w:eastAsia="Arial" w:hAnsi="Arial"/>
                <w:sz w:val="18"/>
                <w:szCs w:val="18"/>
                <w:color w:val="auto"/>
                <w:w w:val="90"/>
              </w:rPr>
              <w:t>(Registrant’s telephone number, including area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120" w:right="339" w:bottom="1440" w:gutter="0" w:footer="0" w:header="0"/>
        </w:sectPr>
      </w:pPr>
    </w:p>
    <w:p>
      <w:pPr>
        <w:spacing w:after="0" w:line="221"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$0.10 par value per share</w:t>
      </w:r>
    </w:p>
    <w:p>
      <w:pPr>
        <w:spacing w:after="0" w:line="50"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ULBI</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NASDAQ</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(Name of each exchange on which registered)</w:t>
      </w:r>
    </w:p>
    <w:p>
      <w:pPr>
        <w:spacing w:after="0" w:line="222" w:lineRule="exact"/>
        <w:rPr>
          <w:sz w:val="24"/>
          <w:szCs w:val="24"/>
          <w:color w:val="auto"/>
        </w:rPr>
      </w:pPr>
    </w:p>
    <w:p>
      <w:pPr>
        <w:sectPr>
          <w:pgSz w:w="11900" w:h="16838" w:orient="portrait"/>
          <w:cols w:equalWidth="0" w:num="3">
            <w:col w:w="4260" w:space="720"/>
            <w:col w:w="2040" w:space="720"/>
            <w:col w:w="3500"/>
          </w:cols>
          <w:pgMar w:left="320" w:top="1120" w:right="339" w:bottom="1440" w:gutter="0" w:footer="0" w:header="0"/>
          <w:type w:val="continuous"/>
        </w:sectPr>
      </w:pPr>
    </w:p>
    <w:p>
      <w:pPr>
        <w:spacing w:after="0" w:line="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20"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42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1120" w:right="3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1120" w:right="339" w:bottom="1440" w:gutter="0" w:footer="0" w:header="0"/>
          <w:type w:val="continuous"/>
        </w:sectPr>
      </w:pPr>
    </w:p>
    <w:p>
      <w:pPr>
        <w:spacing w:after="0" w:line="48" w:lineRule="exact"/>
        <w:rPr>
          <w:sz w:val="24"/>
          <w:szCs w:val="24"/>
          <w:color w:val="auto"/>
        </w:rPr>
      </w:pPr>
    </w:p>
    <w:p>
      <w:pPr>
        <w:ind w:left="56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1120" w:right="339" w:bottom="1440" w:gutter="0" w:footer="0" w:header="0"/>
          <w:type w:val="continuous"/>
        </w:sectPr>
      </w:pP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Yes</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As of April 27, 2021, the registrant had 15,996,772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580" w:type="dxa"/>
            <w:vAlign w:val="bottom"/>
          </w:tcPr>
          <w:p>
            <w:pPr>
              <w:ind w:left="2620"/>
              <w:spacing w:after="0"/>
              <w:rPr>
                <w:sz w:val="20"/>
                <w:szCs w:val="20"/>
                <w:color w:val="auto"/>
              </w:rPr>
            </w:pPr>
            <w:r>
              <w:rPr>
                <w:rFonts w:ascii="Arial" w:cs="Arial" w:eastAsia="Arial" w:hAnsi="Arial"/>
                <w:sz w:val="18"/>
                <w:szCs w:val="18"/>
                <w:b w:val="1"/>
                <w:bCs w:val="1"/>
                <w:color w:val="auto"/>
              </w:rPr>
              <w:t>ULTRALIFE CORPORATION AND SUBSIDIARIES</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9580" w:type="dxa"/>
            <w:vAlign w:val="bottom"/>
          </w:tcPr>
          <w:p>
            <w:pPr>
              <w:ind w:left="442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92"/>
        </w:trPr>
        <w:tc>
          <w:tcPr>
            <w:tcW w:w="9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rPr>
              <w:t>Page</w:t>
            </w:r>
          </w:p>
        </w:tc>
      </w:tr>
      <w:tr>
        <w:trPr>
          <w:trHeight w:val="21"/>
        </w:trPr>
        <w:tc>
          <w:tcPr>
            <w:tcW w:w="9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Financial Statements (unaudited):</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Balance Sheets as of March 31, 2021 and December 31, 2020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rPr>
                <w:sz w:val="17"/>
                <w:szCs w:val="17"/>
                <w:color w:val="auto"/>
              </w:rPr>
            </w:pPr>
          </w:p>
        </w:tc>
        <w:tc>
          <w:tcPr>
            <w:tcW w:w="9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Consolidated Statements of Income and Comprehensive Income for the Three-Month Periods Ended March 31, 2021 and</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38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Statements of Cash Flows for the Three-Month Periods Ended March 31, 2021 and March 31, 2020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02"/>
        </w:trPr>
        <w:tc>
          <w:tcPr>
            <w:tcW w:w="920" w:type="dxa"/>
            <w:vAlign w:val="bottom"/>
            <w:shd w:val="clear" w:color="auto" w:fill="CCEEFF"/>
          </w:tcPr>
          <w:p>
            <w:pPr>
              <w:spacing w:after="0"/>
              <w:rPr>
                <w:sz w:val="17"/>
                <w:szCs w:val="17"/>
                <w:color w:val="auto"/>
              </w:rPr>
            </w:pPr>
          </w:p>
        </w:tc>
        <w:tc>
          <w:tcPr>
            <w:tcW w:w="9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Consolidated Statements of Changes in Shareholders’ Equity for the Three-Month Periods Ended March 31, 2021 and</w:t>
            </w: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230"/>
        </w:trPr>
        <w:tc>
          <w:tcPr>
            <w:tcW w:w="920" w:type="dxa"/>
            <w:vAlign w:val="bottom"/>
            <w:shd w:val="clear" w:color="auto" w:fill="CCEEFF"/>
          </w:tcPr>
          <w:p>
            <w:pPr>
              <w:spacing w:after="0"/>
              <w:rPr>
                <w:sz w:val="20"/>
                <w:szCs w:val="20"/>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380" w:type="dxa"/>
            <w:vAlign w:val="bottom"/>
            <w:shd w:val="clear" w:color="auto" w:fill="CCEEFF"/>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38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9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380" w:type="dxa"/>
            <w:vAlign w:val="bottom"/>
            <w:shd w:val="clear" w:color="auto" w:fill="CCEEFF"/>
          </w:tcPr>
          <w:p>
            <w:pPr>
              <w:spacing w:after="0"/>
              <w:rPr>
                <w:sz w:val="18"/>
                <w:szCs w:val="18"/>
                <w:color w:val="auto"/>
              </w:rPr>
            </w:pPr>
          </w:p>
        </w:tc>
      </w:tr>
      <w:tr>
        <w:trPr>
          <w:trHeight w:val="574"/>
        </w:trPr>
        <w:tc>
          <w:tcPr>
            <w:tcW w:w="9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13,662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10,653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$315 and $317, respectively</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27,856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28,193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63,520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64,496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27,061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27,018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11,836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136,390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137,701</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3620"/>
              <w:spacing w:after="0"/>
              <w:rPr>
                <w:sz w:val="20"/>
                <w:szCs w:val="20"/>
                <w:color w:val="auto"/>
              </w:rPr>
            </w:pPr>
            <w:r>
              <w:rPr>
                <w:rFonts w:ascii="Arial" w:cs="Arial" w:eastAsia="Arial" w:hAnsi="Arial"/>
                <w:sz w:val="18"/>
                <w:szCs w:val="18"/>
                <w:b w:val="1"/>
                <w:bCs w:val="1"/>
                <w:color w:val="auto"/>
              </w:rPr>
              <w:t>LIABILITIES AND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10,141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10,839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 net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compensation and related benefits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1,748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18,706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20,778</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Preferred stock – par value $.10 per share; authorized 1,000,000 shares; none issued</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 par value $.10 per share; authorized 40,000,000 shares; issued – 20,416,511 shares at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0"/>
              </w:rPr>
              <w:t>March 31, 2021 and 20,373,519 shares at December 31, 2020; outstanding – 15,994,606 shares at March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 2021 and 15,959,984 shares at December 31, 2020</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Capital in excess of par value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185,674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185,464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(1,679)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(1,782)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Treasury stock - at cost; 4,421,905 shares at March 31, 2021 and 4,413,535 shares at December 31, 2020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(21,321)</w:t>
            </w:r>
          </w:p>
        </w:tc>
      </w:tr>
      <w:tr>
        <w:trPr>
          <w:trHeight w:val="209"/>
        </w:trPr>
        <w:tc>
          <w:tcPr>
            <w:tcW w:w="800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Ultralife Corporation equity</w:t>
            </w: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116,800</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117,861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116,923</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137,701</w:t>
            </w:r>
          </w:p>
        </w:tc>
        <w:tc>
          <w:tcPr>
            <w:tcW w:w="10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600" w:type="dxa"/>
            <w:vAlign w:val="bottom"/>
            <w:gridSpan w:val="4"/>
          </w:tcPr>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Three-month period ended</w:t>
            </w:r>
          </w:p>
        </w:tc>
      </w:tr>
      <w:tr>
        <w:trPr>
          <w:trHeight w:val="191"/>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25,973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Cost of products sold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7,334</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6,026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financing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Miscellaneous income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income attributable to Ultralife Corporation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Other comprehensive gain (loss):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attributable to Ultralife Corporation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196"/>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per share attributable to Ultralife common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Net income per share attributable to Ultralife common shareholders </w:t>
            </w:r>
            <w:r>
              <w:rPr>
                <w:rFonts w:ascii="Arial" w:cs="Arial" w:eastAsia="Arial" w:hAnsi="Arial"/>
                <w:sz w:val="18"/>
                <w:szCs w:val="18"/>
                <w:color w:val="auto"/>
              </w:rPr>
              <w:t>–</w:t>
            </w:r>
            <w:r>
              <w:rPr>
                <w:rFonts w:ascii="Arial" w:cs="Arial" w:eastAsia="Arial" w:hAnsi="Arial"/>
                <w:sz w:val="18"/>
                <w:szCs w:val="18"/>
                <w:b w:val="1"/>
                <w:bCs w:val="1"/>
                <w:color w:val="auto"/>
              </w:rPr>
              <w:t xml:space="preserve"> 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Weighted average shares outstanding </w:t>
            </w:r>
            <w:r>
              <w:rPr>
                <w:rFonts w:ascii="Arial" w:cs="Arial" w:eastAsia="Arial" w:hAnsi="Arial"/>
                <w:sz w:val="18"/>
                <w:szCs w:val="18"/>
                <w:color w:val="auto"/>
              </w:rPr>
              <w:t>–</w:t>
            </w:r>
            <w:r>
              <w:rPr>
                <w:rFonts w:ascii="Arial" w:cs="Arial" w:eastAsia="Arial" w:hAnsi="Arial"/>
                <w:sz w:val="18"/>
                <w:szCs w:val="18"/>
                <w:b w:val="1"/>
                <w:bCs w:val="1"/>
                <w:color w:val="auto"/>
              </w:rPr>
              <w:t xml:space="preserve"> basic</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15,875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Potential common shares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 diluted</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16,152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16,087</w:t>
            </w:r>
          </w:p>
        </w:tc>
      </w:tr>
      <w:tr>
        <w:trPr>
          <w:trHeight w:val="413"/>
        </w:trPr>
        <w:tc>
          <w:tcPr>
            <w:tcW w:w="8000" w:type="dxa"/>
            <w:vAlign w:val="bottom"/>
            <w:tcBorders>
              <w:top w:val="single" w:sz="8" w:color="CCEEFF"/>
            </w:tcBorders>
          </w:tcPr>
          <w:p>
            <w:pPr>
              <w:ind w:left="5580"/>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Three-month period ended</w:t>
            </w:r>
          </w:p>
        </w:tc>
      </w:tr>
      <w:tr>
        <w:trPr>
          <w:trHeight w:val="191"/>
        </w:trPr>
        <w:tc>
          <w:tcPr>
            <w:tcW w:w="80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0"/>
              <w:spacing w:after="0" w:line="191" w:lineRule="exact"/>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Amortization of financing fees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litigation settlement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(2,175)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r>
      <w:tr>
        <w:trPr>
          <w:trHeight w:val="210"/>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(565)</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equipment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(445)</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credit facilities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withholdings on stock-based awards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0"/>
        </w:trPr>
        <w:tc>
          <w:tcPr>
            <w:tcW w:w="8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(322)</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09"/>
        </w:trPr>
        <w:tc>
          <w:tcPr>
            <w:tcW w:w="80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INCREASE (DECREASE) IN CASH</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(1,296)</w:t>
            </w: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ULTRALIFE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00" w:type="dxa"/>
            <w:vAlign w:val="bottom"/>
          </w:tcPr>
          <w:p>
            <w:pPr>
              <w:spacing w:after="0"/>
              <w:rPr>
                <w:sz w:val="19"/>
                <w:szCs w:val="19"/>
                <w:color w:val="auto"/>
              </w:rPr>
            </w:pPr>
          </w:p>
        </w:tc>
        <w:tc>
          <w:tcPr>
            <w:tcW w:w="2040" w:type="dxa"/>
            <w:vAlign w:val="bottom"/>
            <w:gridSpan w:val="5"/>
            <w:vMerge w:val="restart"/>
          </w:tcPr>
          <w:p>
            <w:pPr>
              <w:jc w:val="right"/>
              <w:ind w:right="520"/>
              <w:spacing w:after="0"/>
              <w:rPr>
                <w:sz w:val="20"/>
                <w:szCs w:val="20"/>
                <w:color w:val="auto"/>
              </w:rPr>
            </w:pPr>
            <w:r>
              <w:rPr>
                <w:rFonts w:ascii="Arial" w:cs="Arial" w:eastAsia="Arial" w:hAnsi="Arial"/>
                <w:sz w:val="18"/>
                <w:szCs w:val="18"/>
                <w:b w:val="1"/>
                <w:bCs w:val="1"/>
                <w:color w:val="auto"/>
              </w:rPr>
              <w:t>Common Stock</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Capital</w:t>
            </w:r>
          </w:p>
        </w:tc>
        <w:tc>
          <w:tcPr>
            <w:tcW w:w="80" w:type="dxa"/>
            <w:vAlign w:val="bottom"/>
          </w:tcPr>
          <w:p>
            <w:pPr>
              <w:spacing w:after="0"/>
              <w:rPr>
                <w:sz w:val="19"/>
                <w:szCs w:val="19"/>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70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in Excess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Non-</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00" w:type="dxa"/>
            <w:vAlign w:val="bottom"/>
          </w:tcPr>
          <w:p>
            <w:pPr>
              <w:spacing w:after="0"/>
              <w:rPr>
                <w:sz w:val="16"/>
                <w:szCs w:val="16"/>
                <w:color w:val="auto"/>
              </w:rPr>
            </w:pPr>
          </w:p>
        </w:tc>
        <w:tc>
          <w:tcPr>
            <w:tcW w:w="9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5"/>
              </w:rPr>
              <w:t>Number of</w:t>
            </w: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0"/>
              </w:rPr>
              <w:t>of Par</w:t>
            </w:r>
          </w:p>
        </w:tc>
        <w:tc>
          <w:tcPr>
            <w:tcW w:w="146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80" w:type="dxa"/>
            <w:vAlign w:val="bottom"/>
            <w:gridSpan w:val="3"/>
          </w:tcPr>
          <w:p>
            <w:pPr>
              <w:jc w:val="right"/>
              <w:ind w:right="160"/>
              <w:spacing w:after="0" w:line="191" w:lineRule="exact"/>
              <w:rPr>
                <w:sz w:val="20"/>
                <w:szCs w:val="20"/>
                <w:color w:val="auto"/>
              </w:rPr>
            </w:pPr>
            <w:r>
              <w:rPr>
                <w:rFonts w:ascii="Arial" w:cs="Arial" w:eastAsia="Arial" w:hAnsi="Arial"/>
                <w:sz w:val="18"/>
                <w:szCs w:val="18"/>
                <w:b w:val="1"/>
                <w:bCs w:val="1"/>
                <w:color w:val="auto"/>
                <w:w w:val="92"/>
              </w:rPr>
              <w:t>Treasury</w:t>
            </w:r>
          </w:p>
        </w:tc>
        <w:tc>
          <w:tcPr>
            <w:tcW w:w="118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rPr>
              <w:t>Controlling</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Value</w:t>
            </w:r>
          </w:p>
        </w:tc>
        <w:tc>
          <w:tcPr>
            <w:tcW w:w="80" w:type="dxa"/>
            <w:vAlign w:val="bottom"/>
          </w:tcPr>
          <w:p>
            <w:pPr>
              <w:spacing w:after="0"/>
              <w:rPr>
                <w:sz w:val="20"/>
                <w:szCs w:val="20"/>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20,268,050</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$ 184,292</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(21,231)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109,750</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Tax withholdings on restricted</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stock</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(807)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7"/>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March 31, 2020</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20,281,516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2,028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$ 184,550</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(3,338)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(51,771)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(21,239)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110,269</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December 31, 2020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20,373,519</w:t>
            </w:r>
          </w:p>
        </w:tc>
        <w:tc>
          <w:tcPr>
            <w:tcW w:w="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$ 185,464</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(21,321)</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116,923</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exercises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w w:val="95"/>
              </w:rPr>
              <w:t>Stock-based compensation – stock</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options</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compensation –</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w:t>
            </w:r>
          </w:p>
        </w:tc>
        <w:tc>
          <w:tcPr>
            <w:tcW w:w="9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700" w:type="dxa"/>
            <w:vAlign w:val="bottom"/>
          </w:tcPr>
          <w:p>
            <w:pPr>
              <w:spacing w:after="0" w:line="201" w:lineRule="exact"/>
              <w:rPr>
                <w:sz w:val="20"/>
                <w:szCs w:val="20"/>
                <w:color w:val="auto"/>
              </w:rPr>
            </w:pPr>
            <w:r>
              <w:rPr>
                <w:rFonts w:ascii="Arial" w:cs="Arial" w:eastAsia="Arial" w:hAnsi="Arial"/>
                <w:sz w:val="18"/>
                <w:szCs w:val="18"/>
                <w:color w:val="auto"/>
              </w:rPr>
              <w:t>Restricted stock vesting and tax</w:t>
            </w: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180"/>
              <w:spacing w:after="0"/>
              <w:rPr>
                <w:sz w:val="20"/>
                <w:szCs w:val="20"/>
                <w:color w:val="auto"/>
              </w:rPr>
            </w:pPr>
            <w:r>
              <w:rPr>
                <w:rFonts w:ascii="Arial" w:cs="Arial" w:eastAsia="Arial" w:hAnsi="Arial"/>
                <w:sz w:val="18"/>
                <w:szCs w:val="18"/>
                <w:color w:val="auto"/>
              </w:rPr>
              <w:t>withholdings</w:t>
            </w:r>
          </w:p>
        </w:tc>
        <w:tc>
          <w:tcPr>
            <w:tcW w:w="920" w:type="dxa"/>
            <w:vAlign w:val="bottom"/>
          </w:tcPr>
          <w:p>
            <w:pPr>
              <w:jc w:val="right"/>
              <w:spacing w:after="0"/>
              <w:rPr>
                <w:sz w:val="20"/>
                <w:szCs w:val="20"/>
                <w:color w:val="auto"/>
              </w:rPr>
            </w:pPr>
            <w:r>
              <w:rPr>
                <w:rFonts w:ascii="Arial" w:cs="Arial" w:eastAsia="Arial" w:hAnsi="Arial"/>
                <w:sz w:val="18"/>
                <w:szCs w:val="18"/>
                <w:color w:val="auto"/>
              </w:rPr>
              <w:t>5,833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translation</w:t>
            </w: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9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20"/>
                <w:szCs w:val="20"/>
                <w:color w:val="auto"/>
              </w:rPr>
            </w:pPr>
            <w:r>
              <w:rPr>
                <w:rFonts w:ascii="Arial" w:cs="Arial" w:eastAsia="Arial" w:hAnsi="Arial"/>
                <w:sz w:val="18"/>
                <w:szCs w:val="18"/>
                <w:b w:val="1"/>
                <w:bCs w:val="1"/>
                <w:color w:val="auto"/>
              </w:rPr>
              <w:t xml:space="preserve">Balance </w:t>
            </w:r>
            <w:r>
              <w:rPr>
                <w:rFonts w:ascii="Arial" w:cs="Arial" w:eastAsia="Arial" w:hAnsi="Arial"/>
                <w:sz w:val="18"/>
                <w:szCs w:val="18"/>
                <w:color w:val="auto"/>
              </w:rPr>
              <w:t>–</w:t>
            </w:r>
            <w:r>
              <w:rPr>
                <w:rFonts w:ascii="Arial" w:cs="Arial" w:eastAsia="Arial" w:hAnsi="Arial"/>
                <w:sz w:val="18"/>
                <w:szCs w:val="18"/>
                <w:b w:val="1"/>
                <w:bCs w:val="1"/>
                <w:color w:val="auto"/>
              </w:rPr>
              <w:t xml:space="preserve"> March 31, 2021</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20,416,511</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$ 185,674</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(1,679)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(46,927)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(21,380)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117,861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footnotes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2020.</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December 31, 2020 consolidated balance sheet information referenced herein was derived from audited financial statements but does not include all disclosures required by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January 1, 2021, the Company adopted Accounting Standards Update (“ASU”) 2019-12, “Simplifying the Accounting for Income Taxes (Topic 740)”. ASU 2019-12 removes certain exceptions to the general principles in Topic 740 and clarifies and amends existing guidance to improve consistent application. Adoption of the new standard did not materially impact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Guidance Not Yet Adopted</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data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Company is currently assessing the impact that adopting this new accounting standard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1, 2019, Ultralife, Southwest Electronic Energy Corporation, a Texas corporation (“SWE”), and CLB, INC., a Texas corporation and wholly owned subsidiary of SWE (“CLB”), as borrowers, entered into the First Amendment Agreement (the “First Amendment Agreement”) with KeyBank National Association (“KeyBank” or the “Bank”), as lender and administrative agent, to amend the Credit and Security Agreement by and among Ultralife and KeyBank dated May 31, 2017 (the “Credit Agreement”, and together with the First Amendment Agreement, the “Amended Credit Agreement”).</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Amended Credit Agreement, among other things, provides for a five-year, $8,000 senior secured term loan (the “Term Loan Facility”) and extends the term of the $30,000 senior secured revolving credit facility (the “Revolving Credit Facility”, and together with the Term Loan Facility, the “Credit Facilities”) through May 31, 2022. Up to six months prior to May 31, 2022, the Revolving Credit Facility may be increased to $50,000 with the Bank’s concurrence.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 Company had $1,081 outstanding principal on the Term Loan Facility, all of which is included in current portion of long-term debt on the consolidated balance sheet, and no amounts outstanding on the Revolving Credit Facility. As of March 31, 2021, total unamortized debt issuance costs of $88 associated with the Amended Credit Agreement, including placement, renewal and legal fees, are classified as a reduction of the current portion of long-term debt on the consolidated balance sheet. Debt issuance costs are amortized to interest expense over the remaining term of the Credit Facilities.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The Company is required to repay the borrowings under the Term Loan Facility in sixty (60) equal consecutive monthly payments which commenced on May 31, 2019, in arrears, together with applicable interest. All unpaid principal and accrued and unpaid interest with respect to the Term Loan Facility is due and payable in full on April 30, 2024. All unpaid principal and accrued and unpaid interest with respect to the Revolving Credit Facility is due and payable in full on May 31, 2022. The Company may voluntarily prepay principal amounts outstanding at any time subject to certain restrictions. The Company made voluntary prepayments of $4,200 during the year ended December 31, 2020. No other voluntary prepayments have been made as of March 31, 2021.</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customary affirmative and negative covenants, the Company must maintain a consolidated fixed charge coverage ratio equal to or greater than 1.15 to 1.0, and a consolidated senior leverage ratio equal to or less than 2.5 to 1.0, each as defined in the Amended Credit Agreement. The Company was in full compliance with its covenants under the Amended Credit Agreement as of March 31, 2021.</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Credit Facilities are secured by substantially all the assets of the Company. Availability under the Revolving Credit Facility is subject to certain borrowing base limits based on receivables and inventories.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Interest will accrue on outstanding indebtedness under the Credit Facilities at the Base Rate or the Overnight LIBOR Rate, as selected by the Company, plus the applicable margin. The Base Rate is the higher of (a) the Prime Rate, (b) the Federal Funds Effective Rate plus 50 basis points, and (c) the Overnight LIBOR Rate plus 100 basis points. The applicable margin ranges from zero (0) to negative 50 basis points for the Base Rate and from 185 to 215 basis points for the Overnight LIBOR Rate and are determined based on the Company’s senior leverage ratio.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must pay a fee of 0.1% to 0.2% based on the average daily unused availability under the Revolving Credit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Payments must be made by the Company to the extent borrowings exceed the maximum amount then permitted to be drawn on the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earnings per share (“EPS”) is computed by dividing net income attributable to Ultralife by the weighted average shares outstanding during the period. Diluted EPS includes the dilutive effect of securities, if any, and is calculated using the treasury stock method. For the three-month period ended March 31, 2021, 459,650 stock options and 20,832 restricted stock awards were included in the calculation of diluted EPS as such securities are dilutive. Inclusion of these securities resulted in 178,781 additional shares in the calculation of fully diluted earnings per share. For the comparable three-month period ended March 31, 2020, 878,408 stock options and 25,833 restricted stock awards were included in the calculation of diluted EPS resulting in 211,286 additional shares in the calculation of fully diluted earnings per share. There were 668,917 and 653,500 outstanding stock options for the three-month periods ended March 31, 2021 and March 31, 2020, respectively, which were not included in diluted EPS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640" w:firstLine="8"/>
        <w:spacing w:after="0" w:line="530" w:lineRule="auto"/>
        <w:tabs>
          <w:tab w:leader="none" w:pos="324"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SUPPLEMENTAL BALANCE SHEET INFORMATION Fair Value Measurements and Disclosures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approximated their carrying values at March 31, 2021 and December 31, 2020. The fair value of cash, accounts receivable, accounts payable, accrued liabilities, and the current portion of long-term debt approximates carrying value due to the short-term nature of these instruments.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color w:val="auto"/>
              </w:rPr>
              <w:t>The composition of the Company’s cash was as follows: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10,562</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67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and December 31, 2020, restricted cash included $88 and $91,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Inventories are stated at the lower of cost or net realizable value, net of obsolescence reserves, with cost determined under the first-in, first-out (FIFO)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 The composition of inventories, net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3,411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27,856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28,193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spacing w:after="0"/>
              <w:rPr>
                <w:sz w:val="20"/>
                <w:szCs w:val="20"/>
                <w:color w:val="auto"/>
              </w:rPr>
            </w:pPr>
            <w:r>
              <w:rPr>
                <w:rFonts w:ascii="Arial" w:cs="Arial" w:eastAsia="Arial" w:hAnsi="Arial"/>
                <w:sz w:val="18"/>
                <w:szCs w:val="18"/>
                <w:color w:val="auto"/>
              </w:rPr>
              <w:t>Major classes of property, plant and equipment consisted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15,396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15,393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2,286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(65,944)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(65,220)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expense for property, plant and equipment was $730 and $579 for the three-month periods ended March 31, 2021 and March 31,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340" w:type="dxa"/>
            <w:vAlign w:val="bottom"/>
            <w:gridSpan w:val="8"/>
          </w:tcPr>
          <w:p>
            <w:pPr>
              <w:spacing w:after="0"/>
              <w:rPr>
                <w:sz w:val="20"/>
                <w:szCs w:val="20"/>
                <w:color w:val="auto"/>
              </w:rPr>
            </w:pPr>
            <w:r>
              <w:rPr>
                <w:rFonts w:ascii="Arial" w:cs="Arial" w:eastAsia="Arial" w:hAnsi="Arial"/>
                <w:sz w:val="18"/>
                <w:szCs w:val="18"/>
                <w:color w:val="auto"/>
              </w:rPr>
              <w:t>The following table summarizes the goodwill activity by segment for the three-month period ended March 31, 2021.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Battery &amp;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Communications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3"/>
              </w:rPr>
              <w:t>Systems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w:t>
            </w:r>
          </w:p>
        </w:tc>
      </w:tr>
      <w:tr>
        <w:trPr>
          <w:trHeight w:val="216"/>
        </w:trPr>
        <w:tc>
          <w:tcPr>
            <w:tcW w:w="34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Effect of foreign currency translation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27,061</w:t>
            </w:r>
          </w:p>
        </w:tc>
      </w:tr>
      <w:tr>
        <w:trPr>
          <w:trHeight w:val="20"/>
        </w:trPr>
        <w:tc>
          <w:tcPr>
            <w:tcW w:w="340" w:type="dxa"/>
            <w:vAlign w:val="bottom"/>
          </w:tcPr>
          <w:p>
            <w:pPr>
              <w:spacing w:after="0" w:line="20" w:lineRule="exact"/>
              <w:rPr>
                <w:sz w:val="1"/>
                <w:szCs w:val="1"/>
                <w:color w:val="auto"/>
              </w:rPr>
            </w:pPr>
          </w:p>
        </w:tc>
        <w:tc>
          <w:tcPr>
            <w:tcW w:w="56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Intangible Assets, Net</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The composition of other intangible assets was: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2"/>
              </w:rPr>
              <w:t>at March 31, 2021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3,978</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10,997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9,077</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at December 31, 2020</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6"/>
              </w:rPr>
              <w:t>Net</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3,410</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5,115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4,056</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r>
      <w:tr>
        <w:trPr>
          <w:trHeight w:val="216"/>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Distributor relationships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r>
      <w:tr>
        <w:trPr>
          <w:trHeight w:val="20"/>
        </w:trPr>
        <w:tc>
          <w:tcPr>
            <w:tcW w:w="34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other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20,039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10,830</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9,209</w:t>
            </w:r>
          </w:p>
        </w:tc>
      </w:tr>
      <w:tr>
        <w:trPr>
          <w:trHeight w:val="20"/>
        </w:trPr>
        <w:tc>
          <w:tcPr>
            <w:tcW w:w="3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cost of total intangible assets from December 31, 2020 to March 31, 2021 is a result of the effect of foreign currency translations.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for intangible assets was $154 and $149 for the three-month periods ended March 31, 2021 and March 31, 2020, respectively. Amortization included in research and development expenses was $33 and $31 for the three-month periods ended March 31, 2021 and March 31, 2020, respectively. Amortization included in selling, general and administrative expenses was $121 and $118 for the three-month periods ended March 31, 2021 and March 31, 2020,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0" w:name="page11"/>
    <w:bookmarkEnd w:id="10"/>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recorded non-cash stock compensation expense in each period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8"/>
                <w:szCs w:val="18"/>
                <w:b w:val="1"/>
                <w:bCs w:val="1"/>
                <w:color w:val="auto"/>
              </w:rPr>
              <w:t>Three-month period ended</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68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1220" w:type="dxa"/>
            <w:vAlign w:val="bottom"/>
            <w:tcBorders>
              <w:bottom w:val="single" w:sz="8" w:color="auto"/>
            </w:tcBorders>
          </w:tcPr>
          <w:p>
            <w:pPr>
              <w:jc w:val="right"/>
              <w:ind w:right="197"/>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right"/>
              <w:ind w:right="178"/>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163</w:t>
            </w:r>
          </w:p>
        </w:tc>
        <w:tc>
          <w:tcPr>
            <w:tcW w:w="1200" w:type="dxa"/>
            <w:vAlign w:val="bottom"/>
            <w:shd w:val="clear" w:color="auto" w:fill="CCEEFF"/>
          </w:tcPr>
          <w:p>
            <w:pPr>
              <w:jc w:val="right"/>
              <w:ind w:right="103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0"/>
        </w:trPr>
        <w:tc>
          <w:tcPr>
            <w:tcW w:w="5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220" w:type="dxa"/>
            <w:vAlign w:val="bottom"/>
            <w:shd w:val="clear" w:color="auto" w:fill="CCEEFF"/>
          </w:tcPr>
          <w:p>
            <w:pPr>
              <w:jc w:val="right"/>
              <w:ind w:right="1057"/>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38"/>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230</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stock options outstanding from various stock-based employee compensation plans for which we record compensation cost relating to share-based payment transactions in our financial statements. As of March 31, 2021, there was $407 of total unrecognized compensation cost related to outstanding stock options, which is expected to be recognized over a weighted average period of 0.9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three-month period ended March 31, 2021:</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Exercise</w:t>
            </w:r>
          </w:p>
        </w:tc>
        <w:tc>
          <w:tcPr>
            <w:tcW w:w="1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1,217,163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2021</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32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1"/>
              </w:rPr>
              <w:t>3.98</w:t>
            </w:r>
          </w:p>
        </w:tc>
        <w:tc>
          <w:tcPr>
            <w:tcW w:w="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7"/>
        </w:trPr>
        <w:tc>
          <w:tcPr>
            <w:tcW w:w="4640" w:type="dxa"/>
            <w:vAlign w:val="bottom"/>
            <w:gridSpan w:val="2"/>
          </w:tcPr>
          <w:p>
            <w:pPr>
              <w:spacing w:after="0" w:line="196" w:lineRule="exact"/>
              <w:rPr>
                <w:sz w:val="20"/>
                <w:szCs w:val="20"/>
                <w:color w:val="auto"/>
              </w:rPr>
            </w:pPr>
            <w:r>
              <w:rPr>
                <w:rFonts w:ascii="Arial" w:cs="Arial" w:eastAsia="Arial" w:hAnsi="Arial"/>
                <w:sz w:val="18"/>
                <w:szCs w:val="18"/>
                <w:color w:val="auto"/>
              </w:rPr>
              <w:t>Vested and expected to vest at March 31, 2021</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1,029,341</w:t>
            </w:r>
          </w:p>
        </w:tc>
        <w:tc>
          <w:tcPr>
            <w:tcW w:w="120" w:type="dxa"/>
            <w:vAlign w:val="bottom"/>
          </w:tcPr>
          <w:p>
            <w:pPr>
              <w:spacing w:after="0"/>
              <w:rPr>
                <w:sz w:val="17"/>
                <w:szCs w:val="17"/>
                <w:color w:val="auto"/>
              </w:rPr>
            </w:pP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6.56</w:t>
            </w:r>
          </w:p>
        </w:tc>
        <w:tc>
          <w:tcPr>
            <w:tcW w:w="1320" w:type="dxa"/>
            <w:vAlign w:val="bottom"/>
            <w:gridSpan w:val="2"/>
          </w:tcPr>
          <w:p>
            <w:pPr>
              <w:jc w:val="center"/>
              <w:ind w:left="70"/>
              <w:spacing w:after="0" w:line="196" w:lineRule="exact"/>
              <w:rPr>
                <w:sz w:val="20"/>
                <w:szCs w:val="20"/>
                <w:color w:val="auto"/>
              </w:rPr>
            </w:pPr>
            <w:r>
              <w:rPr>
                <w:rFonts w:ascii="Arial" w:cs="Arial" w:eastAsia="Arial" w:hAnsi="Arial"/>
                <w:sz w:val="18"/>
                <w:szCs w:val="18"/>
                <w:color w:val="auto"/>
                <w:w w:val="91"/>
              </w:rPr>
              <w:t>3.83</w:t>
            </w: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2,019</w:t>
            </w:r>
          </w:p>
        </w:tc>
        <w:tc>
          <w:tcPr>
            <w:tcW w:w="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6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March 31, 2021</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658,855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6.04</w:t>
            </w:r>
          </w:p>
        </w:tc>
        <w:tc>
          <w:tcPr>
            <w:tcW w:w="1320" w:type="dxa"/>
            <w:vAlign w:val="bottom"/>
            <w:tcBorders>
              <w:bottom w:val="single" w:sz="8" w:color="CCEEFF"/>
            </w:tcBorders>
            <w:gridSpan w:val="2"/>
            <w:shd w:val="clear" w:color="auto" w:fill="CCEEFF"/>
          </w:tcPr>
          <w:p>
            <w:pPr>
              <w:jc w:val="center"/>
              <w:ind w:left="70"/>
              <w:spacing w:after="0" w:line="196" w:lineRule="exact"/>
              <w:rPr>
                <w:sz w:val="20"/>
                <w:szCs w:val="20"/>
                <w:color w:val="auto"/>
              </w:rPr>
            </w:pPr>
            <w:r>
              <w:rPr>
                <w:rFonts w:ascii="Arial" w:cs="Arial" w:eastAsia="Arial" w:hAnsi="Arial"/>
                <w:sz w:val="18"/>
                <w:szCs w:val="18"/>
                <w:color w:val="auto"/>
                <w:w w:val="91"/>
              </w:rPr>
              <w:t>2.85</w:t>
            </w:r>
          </w:p>
        </w:tc>
        <w:tc>
          <w:tcPr>
            <w:tcW w:w="340" w:type="dxa"/>
            <w:vAlign w:val="bottom"/>
            <w:tcBorders>
              <w:bottom w:val="single" w:sz="8" w:color="CCEEFF"/>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1,659</w:t>
            </w:r>
          </w:p>
        </w:tc>
        <w:tc>
          <w:tcPr>
            <w:tcW w:w="12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received from stock option exercises under our stock-based compensation plans for the three-month periods ended March 31, 2021 and March 31, 2020 was $31 and $29, respectively.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October 2020, 5,000 shares of restricted stock were awarded to an employee at a weighted-average grant date fair value of $6.08 per share. In April 2019, 20,000 shares of restricted stock were awarded to certain of our employees at a weighted-average grant date fair value of $11.12 per share. In January 2018, 17,500 shares of restricted stock were awarded to certain of our employees at a weighted-average grant date fair value of $7.16 per share. All outstanding restricted shares vest in equal annual installments over three (3) years. Unrecognized compensation cost related to these restricted shares was $50 at March 31, 2021, which is expected to be recognized over a weighted average period of 1.8 years.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1" w:name="page12"/>
    <w:bookmarkEnd w:id="11"/>
    <w:p>
      <w:pPr>
        <w:ind w:left="340" w:hanging="332"/>
        <w:spacing w:after="0"/>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effective tax rate for the three-month periods ended March 31, 2021 and March 31, 2020 was 24.2% and 22.9%, respectively. The period-over-period change was primarily attributable to the geographic mix of earnings.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we have domestic net operating loss (“NOL”) carryforwards of $47,755, which expire 2021 thru 2035, and domestic tax credits of $2,070, which expire 2028 thru 2039, available to reduce future taxable income. As of March 31, 2021, management has concluded it is more likely than not that these domestic NOL and credit carryforwards will be fully utilized.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for certain past operations in the U.K., we continue to report a valuation allowance for NOL carryforwards of approximately $11,000,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we have not recognized a valuation allowance against our other foreign deferred tax assets, as realization is considered to be more likely than not.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 Company maintains its assertion that all foreign earnings will be indefinitely reinvested in those operations, other than earnings generated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unrecognized tax benefits related to uncertain tax positions at March 31, 2021 and December 31,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operations, we file income tax returns in various jurisdictions including U.S. federal, U.S. state and foreign jurisdictions. We are routinely subject to examination by taxing authorities in these various jurisdictions. In August 2020, the Internal Revenue Service (“IRS”) completed its examination of the Company’s federal tax returns for 2016-2018 with no material adjustments identified. Our U.S. tax matters for 2019 and 2020 remain subject to IRS examination. Our U.S. tax matters for 2001, 2002, 2005-2007 and 2011-2015 also remain subject to IRS examination due to the remaining availability of NOL carryforwards generated in those years. Our U.S. tax matters for 2001, 2002, 2005-2007 and 2011-2020 remain subject to examination by various state and local tax jurisdictions. Our tax matters for the years 2010 through 2020 remain subject to examination by the respective foreign tax jurisdiction authorities.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predominantly for operating facilities. As of March 31, 2021, the remaining lease terms on our operating leases range from less than one year to less than four years. Renewal options not yet exercised and termination options are not reasonably certain of exercise by the Company. There is no transfer of title or option to purchase the leased assets upon expiration. There are no residual value guarantees or material restrictive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current and prior-year comparative periods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320" w:type="dxa"/>
            <w:vAlign w:val="bottom"/>
            <w:gridSpan w:val="6"/>
          </w:tcPr>
          <w:p>
            <w:pPr>
              <w:ind w:left="160"/>
              <w:spacing w:after="0"/>
              <w:rPr>
                <w:sz w:val="20"/>
                <w:szCs w:val="20"/>
                <w:color w:val="auto"/>
              </w:rPr>
            </w:pPr>
            <w:r>
              <w:rPr>
                <w:rFonts w:ascii="Arial" w:cs="Arial" w:eastAsia="Arial" w:hAnsi="Arial"/>
                <w:sz w:val="18"/>
                <w:szCs w:val="18"/>
                <w:b w:val="1"/>
                <w:bCs w:val="1"/>
                <w:color w:val="auto"/>
                <w:w w:val="99"/>
              </w:rPr>
              <w:t>Three-month period ended March 31,</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47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Variable lease cost</w:t>
            </w:r>
          </w:p>
        </w:tc>
        <w:tc>
          <w:tcPr>
            <w:tcW w:w="36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19</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3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472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480" w:type="dxa"/>
            <w:vAlign w:val="bottom"/>
          </w:tcPr>
          <w:p>
            <w:pPr>
              <w:spacing w:after="0"/>
              <w:rPr>
                <w:sz w:val="21"/>
                <w:szCs w:val="21"/>
                <w:color w:val="auto"/>
              </w:rPr>
            </w:pPr>
          </w:p>
        </w:tc>
      </w:tr>
      <w:tr>
        <w:trPr>
          <w:trHeight w:val="413"/>
        </w:trPr>
        <w:tc>
          <w:tcPr>
            <w:tcW w:w="660" w:type="dxa"/>
            <w:vAlign w:val="bottom"/>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3620" w:type="dxa"/>
            <w:vAlign w:val="bottom"/>
            <w:tcBorders>
              <w:top w:val="single" w:sz="8" w:color="CCEEFF"/>
            </w:tcBorders>
          </w:tcPr>
          <w:p>
            <w:pPr>
              <w:jc w:val="right"/>
              <w:ind w:right="1630"/>
              <w:spacing w:after="0"/>
              <w:rPr>
                <w:sz w:val="20"/>
                <w:szCs w:val="20"/>
                <w:color w:val="auto"/>
              </w:rPr>
            </w:pPr>
            <w:r>
              <w:rPr>
                <w:rFonts w:ascii="Arial" w:cs="Arial" w:eastAsia="Arial" w:hAnsi="Arial"/>
                <w:sz w:val="18"/>
                <w:szCs w:val="18"/>
                <w:color w:val="auto"/>
              </w:rPr>
              <w:t>10</w:t>
            </w:r>
          </w:p>
        </w:tc>
        <w:tc>
          <w:tcPr>
            <w:tcW w:w="11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4"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Three-month period ended March 31,</w:t>
            </w:r>
          </w:p>
        </w:tc>
      </w:tr>
      <w:tr>
        <w:trPr>
          <w:trHeight w:val="209"/>
        </w:trPr>
        <w:tc>
          <w:tcPr>
            <w:tcW w:w="66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Operating cash flows from operating leases</w:t>
            </w: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181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consolidated balance sheet information related to leases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6"/>
              </w:rPr>
              <w:t>March 31,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1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classification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Operating lease right-of-use asset</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2,189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31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Accrued expenses and other current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operating lease liability</w:t>
            </w:r>
          </w:p>
        </w:tc>
        <w:tc>
          <w:tcPr>
            <w:tcW w:w="3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4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Operating lease liability, net of current</w:t>
            </w:r>
          </w:p>
        </w:tc>
        <w:tc>
          <w:tcPr>
            <w:tcW w:w="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1,373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1,524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60" w:type="dxa"/>
            <w:vAlign w:val="bottom"/>
            <w:gridSpan w:val="2"/>
          </w:tcPr>
          <w:p>
            <w:pPr>
              <w:ind w:left="340"/>
              <w:spacing w:after="0"/>
              <w:rPr>
                <w:sz w:val="20"/>
                <w:szCs w:val="20"/>
                <w:color w:val="auto"/>
              </w:rPr>
            </w:pPr>
            <w:r>
              <w:rPr>
                <w:rFonts w:ascii="Arial" w:cs="Arial" w:eastAsia="Arial" w:hAnsi="Arial"/>
                <w:sz w:val="18"/>
                <w:szCs w:val="18"/>
                <w:color w:val="auto"/>
              </w:rPr>
              <w:t>portion</w:t>
            </w:r>
          </w:p>
        </w:tc>
        <w:tc>
          <w:tcPr>
            <w:tcW w:w="314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lease liability</w:t>
            </w: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Weighted-average remaining lease term (years)</w:t>
            </w: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0" w:type="dxa"/>
            <w:vAlign w:val="bottom"/>
            <w:gridSpan w:val="4"/>
          </w:tcPr>
          <w:p>
            <w:pPr>
              <w:spacing w:after="0"/>
              <w:rPr>
                <w:sz w:val="20"/>
                <w:szCs w:val="20"/>
                <w:color w:val="auto"/>
              </w:rPr>
            </w:pPr>
            <w:r>
              <w:rPr>
                <w:rFonts w:ascii="Arial" w:cs="Arial" w:eastAsia="Arial" w:hAnsi="Arial"/>
                <w:sz w:val="18"/>
                <w:szCs w:val="18"/>
                <w:color w:val="auto"/>
              </w:rPr>
              <w:t>Future minimum lease payments as of March 31, 2021 are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gridSpan w:val="4"/>
          </w:tcPr>
          <w:p>
            <w:pPr>
              <w:ind w:left="560"/>
              <w:spacing w:after="0"/>
              <w:rPr>
                <w:sz w:val="20"/>
                <w:szCs w:val="20"/>
                <w:color w:val="auto"/>
              </w:rPr>
            </w:pPr>
            <w:r>
              <w:rPr>
                <w:rFonts w:ascii="Arial" w:cs="Arial" w:eastAsia="Arial" w:hAnsi="Arial"/>
                <w:sz w:val="18"/>
                <w:szCs w:val="18"/>
                <w:b w:val="1"/>
                <w:bCs w:val="1"/>
                <w:color w:val="auto"/>
              </w:rPr>
              <w:t>Maturity of Operating Lease Liabilities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40" w:type="dxa"/>
            <w:vAlign w:val="bottom"/>
            <w:tcBorders>
              <w:top w:val="single" w:sz="8" w:color="auto"/>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2024</w:t>
            </w:r>
          </w:p>
        </w:tc>
        <w:tc>
          <w:tcPr>
            <w:tcW w:w="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Less: Imputed interest</w:t>
            </w: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60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remaining lease payments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140" w:type="dxa"/>
            <w:vAlign w:val="bottom"/>
            <w:gridSpan w:val="2"/>
          </w:tcPr>
          <w:p>
            <w:pPr>
              <w:jc w:val="right"/>
              <w:ind w:right="8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3" w:name="page14"/>
    <w:bookmarkEnd w:id="13"/>
    <w:p>
      <w:pPr>
        <w:ind w:right="7580" w:firstLine="8"/>
        <w:spacing w:after="0" w:line="500" w:lineRule="auto"/>
        <w:tabs>
          <w:tab w:leader="none" w:pos="324"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 Purchase Commitments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have made commitments to purchase approximately $919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2021 and 2020 were as follows: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332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6"/>
              </w:rPr>
              <w:t>Three-month period ended March 31,</w:t>
            </w:r>
          </w:p>
        </w:tc>
      </w:tr>
      <w:tr>
        <w:trPr>
          <w:trHeight w:val="209"/>
        </w:trPr>
        <w:tc>
          <w:tcPr>
            <w:tcW w:w="67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Accrued warranty obligations – beginning</w:t>
            </w:r>
          </w:p>
        </w:tc>
        <w:tc>
          <w:tcPr>
            <w:tcW w:w="1100" w:type="dxa"/>
            <w:vAlign w:val="bottom"/>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Accruals for warranties issued</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09"/>
        </w:trPr>
        <w:tc>
          <w:tcPr>
            <w:tcW w:w="6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Accrued warranty obligations – ending</w:t>
            </w:r>
          </w:p>
        </w:tc>
        <w:tc>
          <w:tcPr>
            <w:tcW w:w="1100" w:type="dxa"/>
            <w:vAlign w:val="bottom"/>
            <w:tcBorders>
              <w:top w:val="single" w:sz="8" w:color="auto"/>
              <w:bottom w:val="single" w:sz="8" w:color="auto"/>
            </w:tcBorders>
          </w:tcPr>
          <w:p>
            <w:pPr>
              <w:jc w:val="right"/>
              <w:ind w:right="9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top w:val="single" w:sz="8" w:color="CCEEFF"/>
            </w:tcBorders>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Legal Matters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 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Revenues recognized from prior period performance obligations for the three-month periods ended March 31, 2021 and 2020 were not material.</w:t>
      </w:r>
    </w:p>
    <w:p>
      <w:pPr>
        <w:spacing w:after="0" w:line="2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revenue, unbilled revenue and deferred contract costs recorded on our consolidated balance sheets as of March 31, 2021 and December 31, 2020 were not material. As of March 31, 2021 and December 31, 2020, the Company had no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10. BUSINESS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report our results in two operating segments: Battery &amp; Energy Products and Communications Systems. The Battery &amp; Energy Products segment</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Arial" w:cs="Arial" w:eastAsia="Arial" w:hAnsi="Arial"/>
                <w:sz w:val="18"/>
                <w:szCs w:val="18"/>
                <w:b w:val="1"/>
                <w:bCs w:val="1"/>
                <w:color w:val="auto"/>
              </w:rPr>
              <w:t>Three-month period ended March 31, 2021:</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4"/>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22,111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25,973</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5,436</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(6,026)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560" w:type="dxa"/>
            <w:vAlign w:val="bottom"/>
          </w:tcPr>
          <w:p>
            <w:pPr>
              <w:spacing w:after="0"/>
              <w:rPr>
                <w:sz w:val="20"/>
                <w:szCs w:val="20"/>
                <w:color w:val="auto"/>
              </w:rPr>
            </w:pPr>
          </w:p>
        </w:tc>
      </w:tr>
      <w:tr>
        <w:trPr>
          <w:trHeight w:val="418"/>
        </w:trPr>
        <w:tc>
          <w:tcPr>
            <w:tcW w:w="5220" w:type="dxa"/>
            <w:vAlign w:val="bottom"/>
          </w:tcPr>
          <w:p>
            <w:pPr>
              <w:spacing w:after="0"/>
              <w:rPr>
                <w:sz w:val="20"/>
                <w:szCs w:val="20"/>
                <w:color w:val="auto"/>
              </w:rPr>
            </w:pPr>
            <w:r>
              <w:rPr>
                <w:rFonts w:ascii="Arial" w:cs="Arial" w:eastAsia="Arial" w:hAnsi="Arial"/>
                <w:sz w:val="18"/>
                <w:szCs w:val="18"/>
                <w:b w:val="1"/>
                <w:bCs w:val="1"/>
                <w:color w:val="auto"/>
              </w:rPr>
              <w:t>Three-month period ended March 31, 2020:</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4"/>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Battery &amp;</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Energy</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8"/>
              </w:rPr>
              <w:t>Communications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5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Products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Systems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Segment contribution</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5,316</w:t>
            </w:r>
          </w:p>
        </w:tc>
        <w:tc>
          <w:tcPr>
            <w:tcW w:w="2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(5,849)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1,485</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560" w:type="dxa"/>
            <w:vAlign w:val="bottom"/>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Tax provision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5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Ultralife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560" w:type="dxa"/>
            <w:vAlign w:val="bottom"/>
          </w:tcPr>
          <w:p>
            <w:pPr>
              <w:spacing w:after="0"/>
              <w:rPr>
                <w:sz w:val="20"/>
                <w:szCs w:val="20"/>
                <w:color w:val="auto"/>
              </w:rPr>
            </w:pPr>
          </w:p>
        </w:tc>
      </w:tr>
      <w:tr>
        <w:trPr>
          <w:trHeight w:val="418"/>
        </w:trPr>
        <w:tc>
          <w:tcPr>
            <w:tcW w:w="5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ind w:right="57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disaggregate our business segment revenues by major source and geography.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Commercial and Government/Defense Revenue Information:</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4860" w:type="dxa"/>
            <w:vAlign w:val="bottom"/>
            <w:gridSpan w:val="4"/>
          </w:tcPr>
          <w:p>
            <w:pPr>
              <w:ind w:left="500"/>
              <w:spacing w:after="0"/>
              <w:rPr>
                <w:sz w:val="20"/>
                <w:szCs w:val="20"/>
                <w:color w:val="auto"/>
              </w:rPr>
            </w:pPr>
            <w:r>
              <w:rPr>
                <w:rFonts w:ascii="Arial" w:cs="Arial" w:eastAsia="Arial" w:hAnsi="Arial"/>
                <w:sz w:val="18"/>
                <w:szCs w:val="18"/>
                <w:color w:val="auto"/>
              </w:rPr>
              <w:t>Three-month period ended March 31, 2021:</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8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7,766</w:t>
            </w:r>
          </w:p>
        </w:tc>
      </w:tr>
      <w:tr>
        <w:trPr>
          <w:trHeight w:val="216"/>
        </w:trPr>
        <w:tc>
          <w:tcPr>
            <w:tcW w:w="98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388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11,628</w:t>
            </w:r>
          </w:p>
        </w:tc>
      </w:tr>
      <w:tr>
        <w:trPr>
          <w:trHeight w:val="20"/>
        </w:trPr>
        <w:tc>
          <w:tcPr>
            <w:tcW w:w="98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418"/>
        </w:trPr>
        <w:tc>
          <w:tcPr>
            <w:tcW w:w="4860" w:type="dxa"/>
            <w:vAlign w:val="bottom"/>
            <w:gridSpan w:val="4"/>
          </w:tcPr>
          <w:p>
            <w:pPr>
              <w:ind w:left="500"/>
              <w:spacing w:after="0"/>
              <w:rPr>
                <w:sz w:val="20"/>
                <w:szCs w:val="20"/>
                <w:color w:val="auto"/>
              </w:rPr>
            </w:pPr>
            <w:r>
              <w:rPr>
                <w:rFonts w:ascii="Arial" w:cs="Arial" w:eastAsia="Arial" w:hAnsi="Arial"/>
                <w:sz w:val="18"/>
                <w:szCs w:val="18"/>
                <w:color w:val="auto"/>
              </w:rPr>
              <w:t>Three-month period ended March 31, 2020:</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Government/</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8"/>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3"/>
              </w:rPr>
              <w:t>Commercial</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Defense</w:t>
            </w: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8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5,959</w:t>
            </w:r>
          </w:p>
        </w:tc>
      </w:tr>
      <w:tr>
        <w:trPr>
          <w:trHeight w:val="216"/>
        </w:trPr>
        <w:tc>
          <w:tcPr>
            <w:tcW w:w="98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5,053</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388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8"/>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14,802</w:t>
            </w: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11,012</w:t>
            </w:r>
          </w:p>
        </w:tc>
      </w:tr>
      <w:tr>
        <w:trPr>
          <w:trHeight w:val="20"/>
        </w:trPr>
        <w:tc>
          <w:tcPr>
            <w:tcW w:w="98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377"/>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U.S. and Non-U.S. Revenue Information</w:t>
            </w:r>
            <w:r>
              <w:rPr>
                <w:rFonts w:ascii="Arial" w:cs="Arial" w:eastAsia="Arial" w:hAnsi="Arial"/>
                <w:sz w:val="14"/>
                <w:szCs w:val="14"/>
                <w:color w:val="auto"/>
                <w:w w:val="91"/>
              </w:rPr>
              <w:t>1</w:t>
            </w:r>
            <w:r>
              <w:rPr>
                <w:rFonts w:ascii="Arial" w:cs="Arial" w:eastAsia="Arial" w:hAnsi="Arial"/>
                <w:sz w:val="18"/>
                <w:szCs w:val="18"/>
                <w:color w:val="auto"/>
                <w:w w:val="91"/>
              </w:rPr>
              <w:t>:</w:t>
            </w:r>
          </w:p>
        </w:tc>
        <w:tc>
          <w:tcPr>
            <w:tcW w:w="178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4860" w:type="dxa"/>
            <w:vAlign w:val="bottom"/>
            <w:gridSpan w:val="4"/>
          </w:tcPr>
          <w:p>
            <w:pPr>
              <w:ind w:left="500"/>
              <w:spacing w:after="0"/>
              <w:rPr>
                <w:sz w:val="20"/>
                <w:szCs w:val="20"/>
                <w:color w:val="auto"/>
              </w:rPr>
            </w:pPr>
            <w:r>
              <w:rPr>
                <w:rFonts w:ascii="Arial" w:cs="Arial" w:eastAsia="Arial" w:hAnsi="Arial"/>
                <w:sz w:val="18"/>
                <w:szCs w:val="18"/>
                <w:color w:val="auto"/>
              </w:rPr>
              <w:t>Three-month period ended March 31, 2021:</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r>
      <w:tr>
        <w:trPr>
          <w:trHeight w:val="210"/>
        </w:trPr>
        <w:tc>
          <w:tcPr>
            <w:tcW w:w="980" w:type="dxa"/>
            <w:vAlign w:val="bottom"/>
          </w:tcPr>
          <w:p>
            <w:pPr>
              <w:spacing w:after="0"/>
              <w:rPr>
                <w:sz w:val="18"/>
                <w:szCs w:val="18"/>
                <w:color w:val="auto"/>
              </w:rPr>
            </w:pPr>
          </w:p>
        </w:tc>
        <w:tc>
          <w:tcPr>
            <w:tcW w:w="38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22,111</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9,521</w:t>
            </w:r>
          </w:p>
        </w:tc>
      </w:tr>
      <w:tr>
        <w:trPr>
          <w:trHeight w:val="216"/>
        </w:trPr>
        <w:tc>
          <w:tcPr>
            <w:tcW w:w="98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3,862</w:t>
            </w: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1,468</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2,394</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980" w:type="dxa"/>
            <w:vAlign w:val="bottom"/>
          </w:tcPr>
          <w:p>
            <w:pPr>
              <w:spacing w:after="0"/>
              <w:rPr>
                <w:sz w:val="19"/>
                <w:szCs w:val="19"/>
                <w:color w:val="auto"/>
              </w:rPr>
            </w:pPr>
          </w:p>
        </w:tc>
        <w:tc>
          <w:tcPr>
            <w:tcW w:w="388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25,973</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11,915</w:t>
            </w:r>
          </w:p>
        </w:tc>
      </w:tr>
      <w:tr>
        <w:trPr>
          <w:trHeight w:val="20"/>
        </w:trPr>
        <w:tc>
          <w:tcPr>
            <w:tcW w:w="98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418"/>
        </w:trPr>
        <w:tc>
          <w:tcPr>
            <w:tcW w:w="4860" w:type="dxa"/>
            <w:vAlign w:val="bottom"/>
            <w:gridSpan w:val="4"/>
          </w:tcPr>
          <w:p>
            <w:pPr>
              <w:ind w:left="500"/>
              <w:spacing w:after="0"/>
              <w:rPr>
                <w:sz w:val="20"/>
                <w:szCs w:val="20"/>
                <w:color w:val="auto"/>
              </w:rPr>
            </w:pPr>
            <w:r>
              <w:rPr>
                <w:rFonts w:ascii="Arial" w:cs="Arial" w:eastAsia="Arial" w:hAnsi="Arial"/>
                <w:sz w:val="18"/>
                <w:szCs w:val="18"/>
                <w:color w:val="auto"/>
              </w:rPr>
              <w:t>Three-month period ended March 31, 2020:</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Total</w:t>
            </w:r>
          </w:p>
        </w:tc>
        <w:tc>
          <w:tcPr>
            <w:tcW w:w="20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United</w:t>
            </w:r>
          </w:p>
        </w:tc>
        <w:tc>
          <w:tcPr>
            <w:tcW w:w="180" w:type="dxa"/>
            <w:vAlign w:val="bottom"/>
          </w:tcPr>
          <w:p>
            <w:pPr>
              <w:spacing w:after="0"/>
              <w:rPr>
                <w:sz w:val="24"/>
                <w:szCs w:val="2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Non-United</w:t>
            </w:r>
          </w:p>
        </w:tc>
      </w:tr>
      <w:tr>
        <w:trPr>
          <w:trHeight w:val="230"/>
        </w:trPr>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Revenue</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6"/>
              </w:rPr>
              <w:t>States</w:t>
            </w:r>
          </w:p>
        </w:tc>
        <w:tc>
          <w:tcPr>
            <w:tcW w:w="160" w:type="dxa"/>
            <w:vAlign w:val="bottom"/>
          </w:tcPr>
          <w:p>
            <w:pPr>
              <w:spacing w:after="0"/>
              <w:rPr>
                <w:sz w:val="20"/>
                <w:szCs w:val="20"/>
                <w:color w:val="auto"/>
              </w:rPr>
            </w:pPr>
          </w:p>
        </w:tc>
      </w:tr>
      <w:tr>
        <w:trPr>
          <w:trHeight w:val="209"/>
        </w:trPr>
        <w:tc>
          <w:tcPr>
            <w:tcW w:w="980" w:type="dxa"/>
            <w:vAlign w:val="bottom"/>
          </w:tcPr>
          <w:p>
            <w:pPr>
              <w:spacing w:after="0"/>
              <w:rPr>
                <w:sz w:val="18"/>
                <w:szCs w:val="18"/>
                <w:color w:val="auto"/>
              </w:rPr>
            </w:pPr>
          </w:p>
        </w:tc>
        <w:tc>
          <w:tcPr>
            <w:tcW w:w="38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Battery &amp; Energy Products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20,761</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9,477</w:t>
            </w:r>
          </w:p>
        </w:tc>
      </w:tr>
      <w:tr>
        <w:trPr>
          <w:trHeight w:val="216"/>
        </w:trPr>
        <w:tc>
          <w:tcPr>
            <w:tcW w:w="98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Communications Systems</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5,053</w:t>
            </w:r>
          </w:p>
        </w:tc>
        <w:tc>
          <w:tcPr>
            <w:tcW w:w="20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4,354</w:t>
            </w: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r>
      <w:tr>
        <w:trPr>
          <w:trHeight w:val="20"/>
        </w:trPr>
        <w:tc>
          <w:tcPr>
            <w:tcW w:w="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980" w:type="dxa"/>
            <w:vAlign w:val="bottom"/>
          </w:tcPr>
          <w:p>
            <w:pPr>
              <w:spacing w:after="0"/>
              <w:rPr>
                <w:sz w:val="19"/>
                <w:szCs w:val="19"/>
                <w:color w:val="auto"/>
              </w:rPr>
            </w:pPr>
          </w:p>
        </w:tc>
        <w:tc>
          <w:tcPr>
            <w:tcW w:w="388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25,814</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5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10,176</w:t>
            </w:r>
          </w:p>
        </w:tc>
      </w:tr>
      <w:tr>
        <w:trPr>
          <w:trHeight w:val="20"/>
        </w:trPr>
        <w:tc>
          <w:tcPr>
            <w:tcW w:w="980" w:type="dxa"/>
            <w:vAlign w:val="bottom"/>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9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Sales classified to U.S. include shipments to U.S.-based prime contractors which in some cases may serve non-U.S. projects.</w:t>
      </w:r>
    </w:p>
    <w:p>
      <w:pPr>
        <w:spacing w:after="0" w:line="23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the effects of the novel coronavirus disease of 2019 (COVID-19); our reliance on certain key customers; possible future declines in demand for the products that use our batteries or communications systems; the unique risks associated with our China operations; potential costs because of the warranties we supply with our products and services; potential disruptions in our supply of raw materials and components; our efforts to develop new commercial applications for our products; reduced U.S. and foreign military spending including the uncertainty associated with government budget approvals; possible breaches in security and other disruptions; variability in our quarterly and annual results and the price of our common stock; safety risks, including the risk of fire; our entrance into new end-markets which could lead to additional financial exposure; fluctuations in the price of oil and the resulting impact on the level of downhole drilling; our ability to retain top management and key personnel; our resources being overwhelmed by our growth prospects; our inability to comply with changes to the regulations for the shipment of our products; our customers’ demand falling short of volume expectations in our supply agreements; possible impairments of our goodwill and other intangible assets; negative publicity of Lithium-ion batteries; our exposure to foreign currency fluctuations; the risk that we are unable to protect our proprietary and intellectual property; rules and procedures regarding contracting with the U.S. and foreign governments; our ability to utilize our net operating loss carryforwards; exposure to possible violations of the U.S. Foreign Corrupt Practices Act, the U.K. Bribery Act or other anti-corruption laws; our ability to comply with government regulations regarding the use of “conflict minerals”; possible audits of our contracts by the U.S. and foreign governments and their respective defense agencies; known and unknown environmental matters;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2020.</w:t>
      </w:r>
    </w:p>
    <w:p>
      <w:pPr>
        <w:spacing w:after="0" w:line="3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Form 10-Q or our Annual Report on Form 10-K for the year ended December 31, 2020 to reflect new information or risks, future events or other developments.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discussion and analysis should be read in conjunction with the Consolidated Financial Statements and Notes thereto in Part I, Item 1 of this Form 10-Q, and the Consolidated Financial Statements and Notes thereto and Risk Factors in our Annual Report on Form 10-K for the year ended December 31, 2020.</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financial information in this Management’s Discussion and Analysis of Financial Condition and Results of Operations is presented in thousands of dollars, except for share and per share amounts, unless otherwise specified.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We continually evaluate and implement growth opportunities, including the design, development and sale of new products, expansion of our sales force to penetrate new markets and geographies, as well as seeking opportunities to expand through acquisitions.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sell our products worldwide through a variety of trade channels, including original equipment manufacturers (“OEMs”), industrial and defense supply distributors, and directly to U.S. and international defense departments. We enjoy strong name recognition in our markets under our Ultralife® Batteries, Lithium Power®, McDowell Research®, AMTI™, ABLE™, ACCUTRONICS™, ACCUPRO™, ENTELLION™, SWE Southwest Electronic Energy Group™, SWE DRILL-DATA™, and SWE SEASAFE™ brands. We have sales, operations and product development facilities in North America, Europe and Asia.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We report our results in two operating segments: Battery &amp; Energy Products and Communications Systems.  The Battery &amp; Energy Products segment</w:t>
      </w:r>
    </w:p>
    <w:p>
      <w:pPr>
        <w:spacing w:after="0" w:line="4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 of this Form 10-Q.</w:t>
      </w:r>
    </w:p>
    <w:p>
      <w:pPr>
        <w:spacing w:after="0" w:line="1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COVID-19 pandemic has created significant economic disruption and uncertainty around the world. The Company continues to closely monitor the developments surrounding COVID-19 and take actions to mitigate the business risks involved. During this challenging time, we remain focused on ensuring the health and safety of our employees by implementing the protocols established by public health officials and meeting the demand of our customers. As an essential supplier currently exempt from government-mandated shutdown directives, we are striving to ensure an uninterrupted flow of our mission critical products serving medical device, first responder, public safety, energy, and national security customers. We have maintained normal operations at all our facilities with the exception of an approximately one-month closure of our China facility as was mandated by the Chinese government through early March 2020.</w:t>
      </w:r>
    </w:p>
    <w:p>
      <w:pPr>
        <w:spacing w:after="0" w:line="19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quarter ended March 31, 2021, we estimate that the net impact of COVID-19 was a reduction to sales of approximately $2,000, a reduction to operating income of approximately $900, a reduction of net income of approximately $700 and a reduction of diluted earnings per share of approximately $0.04. Demand for medical batteries, especially those used in ventilators, respirators, and infusion pumps, continued to be high; however, this increase was more than offset by the revenue declines in oil &amp; gas and international industrial markets, some delays in medical battery orders for devices used for elective surgeries and the overall disruptions in supply chains and operations impacting both commercial and government/defense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Overview</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revenues of $25,973 for the three-month period ended March 31, 2021, increased by $159 or 0.6%, over $25,814 during the three-month period ended March 31, 2020, reflecting a 19.4% increase in core battery sales across diversified end markets partially offset by continued softness in the oil &amp; gas market and lower Communications Systems sales primarily due to the high shipments of vehicle amplifier-adaptor systems to support the U.S. Army’s Network Modernization initiatives in the 2020 first quarter. We have estimated that COVID-19 adversely impacted our first quarter 2021 sales by approximately $2,000.</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was $6,978, or 26.9% of revenue, compared to $7,334, or 28.4% of revenue, for the same quarter a year ago. The 150-basis point decline primarily reflects incremental costs in 2021 associated with the transition of a multitude of new products to higher volume production as well as higher freight costs on incoming materials.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to $6,026 during the three-month period ended March 31, 2021, compared to $5,849 during the three-month period ended March 31, 2020. The increase of $177 or 3.0% was attributable to our continued investment in engineering and sales personnel for new product development and market launches. Operating expenses as a percentage of sales increased 50 basis points from 22.7% for the first quarter of 2020 to 23.2% for the current quarter.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income for the three-month period ended March 31, 2021 was $952 or 3.7% of revenues compared to $1,485 or 5.7% of revenues for the year-earlier period. The 35.9% decline in operating income primarily resulted from revenue declines in oil &amp; gas and international industrial markets, the overall disruptions in customer/third party logistics impacting both commercial and government/defense markets resulting from COVID-19 and the impact of a higher mix of new products in our Battery &amp; Energy Products business segment.</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income attributable to Ultralife was $671, or $0.04 per share – basic and diluted, for the three-month period ended March 31, 2021, compared to $1,059, or $0.07 per share – basic and diluted, for the three-month period ended March 31, 2020. Adjusted EPS was $0.05 on a diluted basis for the first quarter of 2021, compared to $0.08 for the year-earlier period. Adjusted EPS excludes the provision for deferred taxes which primarily represents non-cash charges of $168 and $242 for the 2021 and 2020 periods, respectively, for U.S. taxes which will be fully offset by net operating loss carryforwards and other tax credits for the foreseeable future. See the section “Adjusted EPS” on Page 21 for a reconciliation of EPS to Adjusted EPS. For the 2021 first quarter, the estimated net adverse impact of COVID-19 was approximately $0.04 on diluted EPS, and approximately $0.06 on Adjusted EPS.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defined as net income attributable to Ultralife before net interest expense, provision for income taxes, depreciation and amortization, and stock-based compensation expense, plus/minus expenses/income that we do not consider reflective of our ongoing operations, amounted to $2,012 or 7.8% of revenues in the first quarter of 2021 compared to $2,522 or 9.8% of revenues for the first quarter of 2020. See the section “Adjusted EBITDA” beginning on Page 20 for a reconciliation of Adjusted EBITDA to net income attributable to Ultralife. For the first quarter of 2021, it is estimated that COVID-19 adversely impacted Adjusted EBITDA by approximately $900, or 3.6% of revenues.</w:t>
      </w:r>
    </w:p>
    <w:p>
      <w:pPr>
        <w:spacing w:after="0" w:line="17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we continue to work on completing new product development projects and identify new target markets in emerging markets, we are steadily expanding our long-term opportunities to scale the business and realize the operating leverage inherent in our profitable business model.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March 31, 2021 and March 31, 2020</w:t>
      </w:r>
    </w:p>
    <w:p>
      <w:pPr>
        <w:spacing w:after="0" w:line="22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Revenues. </w:t>
      </w:r>
      <w:r>
        <w:rPr>
          <w:rFonts w:ascii="Arial" w:cs="Arial" w:eastAsia="Arial" w:hAnsi="Arial"/>
          <w:sz w:val="16"/>
          <w:szCs w:val="16"/>
          <w:color w:val="auto"/>
        </w:rPr>
        <w:t>Consolidated revenues for the three-month period ended March 31, 2021 amounted to $25,973 an increase of $159 or 0.6%, over $25,814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three-month period ended March 31, 2020. Overall, commercial sales decreased 3.1% while government/defense sales increased 5.6% from the 2020 period. For the quarter ended March 31, 2021, we estimate that the net adverse impact of COVID-19 on revenues was approximately $2,000. Demand for medical batteries, especially those used in ventilators, respirators and infusion pumps, continued to be high; however, this increase was more than offset by the revenue declines in oil &amp; gas and the overall disruptions in customer and third-party logistics which delayed certain shipments.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9" w:name="page20"/>
    <w:bookmarkEnd w:id="19"/>
    <w:p>
      <w:pPr>
        <w:jc w:val="both"/>
        <w:spacing w:after="0" w:line="296" w:lineRule="auto"/>
        <w:rPr>
          <w:sz w:val="20"/>
          <w:szCs w:val="20"/>
          <w:color w:val="auto"/>
        </w:rPr>
      </w:pPr>
      <w:r>
        <w:rPr>
          <w:rFonts w:ascii="Arial" w:cs="Arial" w:eastAsia="Arial" w:hAnsi="Arial"/>
          <w:sz w:val="16"/>
          <w:szCs w:val="16"/>
          <w:color w:val="auto"/>
        </w:rPr>
        <w:t>Battery &amp; Energy Products revenues increased $1,350, or 6.5%, from $20,761 for the three-month period ended March 31, 2020 to $22,111 for the three-month period ended March 31, 2021. Excluding oil &amp; gas sales, revenues increased 19.4% over the prior year reflecting a 32.2% increase in medical sales resulting from an increase in demand for our batteries used in ventilators, respirators, infusion pumps and other medical devices associated with COVID-19, and a 30.3% increase in government/defense sales due primarily to higher demand from a large global defense contractor. This increase was more than offset by a 30.0% decrease in oil &amp; gas market battery sales representative of current market conditions for that sector.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Communications Systems revenues decreased $1,191, or 23.6%, from $5,053 during the three-month period ended March 31, 2020 to $3,862 for the three-month period ended March 31, 2021. This decrease is primarily attributable to higher first quarter 2020 shipments of mounted power amplifiers to support the U.S. Army’s Network Modernization and other initiatives under the delivery orders announced in October 2018. The October 2018 delivery orders to the U.S. Army were completed in the second quarter of 2020.</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Cost of Products Sold / Gross Profit. </w:t>
      </w:r>
      <w:r>
        <w:rPr>
          <w:rFonts w:ascii="Arial" w:cs="Arial" w:eastAsia="Arial" w:hAnsi="Arial"/>
          <w:sz w:val="17"/>
          <w:szCs w:val="17"/>
          <w:color w:val="auto"/>
        </w:rPr>
        <w:t>Cost of products sold totaled $18,995 for the quarter ended March 31, 2021, an increase of $515, or 2.8%,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$18,480 reported for the same three-month period a year ago. Consolidated cost of products sold as a percentage of total revenue increased from 71.6% for the three-month period ended March 31, 2020 to 73.1% for the three-month period ended March 31, 2021. Correspondingly, consolidated gross margin decreased from 28.4% for the three-month period ended March 31, 2020, to 26.9% for the three-month period ended March 31, 2021, primarily reflecting sales mix and costs associated with the transition of new products to higher volume production.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our Battery &amp; Energy Products segment, gross profit for the first quarter of 2021 was $5,436, an increase of $120 or 2.3% over gross profit of $5,316 for the first quarter of 2020. Battery &amp; Energy Products’ gross margin of 24.6% decreased by 100 basis points from the 25.6% gross margin for the year-earlier period, reflecting sales mix, incremental costs associated with the transition of new products to higher volume production and higher freight costs on incoming materials.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our Communications Systems segment, gross profit for the first quarter of 2021 was $1,542 or 39.9% of revenues, compared to gross profit of $2,018 or 39.9% of revenues, for the first quarter of 2020.</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Operating expenses for the three-month period ended March 31, 2021 were $6,026, an increase of $177 or 3.0% from the $5,849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three-month period ended March 31, 2020. The increase in operating expenses is attributable to a 6.4% increase in core engineering and technology expenses and a 9.6% increase in sales and marketing expenses reflecting our investment in engineering and sales resources for new product development and market launches.</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Overall, operating expenses as a percentage of revenues were 23.2% for the quarter ended March 31, 2021 compared to 22.7% for the quarter ended March 31, 2020. Amortization expense associated with intangible assets related to our acquisitions was $154 for the first quarter of 2021 ($121 in selling, general and administrative expenses and $33 in research and development costs), compared with $149 for the first quarter of 2020 ($118 in selling, general, and administrative expenses and $31 in research and development costs). Research and development costs were $1,647 for the three-month period ended March 31, 2021, an increase of $99 or 6.4%, from $1,548 for the three-months ended March 31, 2020. The increase is largely attributable to the hiring of engineering resources to support new product development in our Battery &amp; Energy Products business. Selling, general, and administrative expenses increased $78 or 1.8%, to $4,379 for the first quarter of 2021 from $4,301 for the first quarter of 2020. The increase is primarily attributable to increasing sales resources to support our new product market launches, while closely monitoring all discretionary spending.</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Other Expense. </w:t>
      </w:r>
      <w:r>
        <w:rPr>
          <w:rFonts w:ascii="Arial" w:cs="Arial" w:eastAsia="Arial" w:hAnsi="Arial"/>
          <w:sz w:val="17"/>
          <w:szCs w:val="17"/>
          <w:color w:val="auto"/>
        </w:rPr>
        <w:t>Other expense totaled $56 for the three-month period ended March 31, 2021 compared to $92 for the three-month period ended March 31,</w:t>
      </w:r>
      <w:r>
        <w:rPr>
          <w:rFonts w:ascii="Arial" w:cs="Arial" w:eastAsia="Arial" w:hAnsi="Arial"/>
          <w:sz w:val="17"/>
          <w:szCs w:val="17"/>
          <w:b w:val="1"/>
          <w:bCs w:val="1"/>
          <w:color w:val="auto"/>
        </w:rPr>
        <w:t xml:space="preserve"> </w:t>
      </w:r>
      <w:r>
        <w:rPr>
          <w:rFonts w:ascii="Arial" w:cs="Arial" w:eastAsia="Arial" w:hAnsi="Arial"/>
          <w:sz w:val="17"/>
          <w:szCs w:val="17"/>
          <w:color w:val="auto"/>
        </w:rPr>
        <w:t>2020. Interest and financing expense decreased $118, or 67.8%, from $174 for the first quarter of 2020 to $56 for the comparable period in 2021. The decrease is primarily due to the continued reduction of debt incurred in connection with the financing of the SWE acquisition. Miscellaneous income, which primarily represents gains and losses on foreign currency transactions, amounted to $0 for the first quarter of 2021 compared with miscellaneous income of $82 for the first quarter of 2020, which primarily reflects the translation of U.S.-denominated transactions and balances of Accutronics (U.K.) for the respective periods. The U.S. dollar weakened against the Pound Sterling by 0.9% during the 2021 first quarter, whereas the U.S. dollar strengthened against the Pound Sterling by 6.2% during the 2020 first quarter.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jc w:val="both"/>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The tax provision for the 2021 first quarter was $217 compared to $319 for the first quarter of 2020. Our effective tax rate increased to</w:t>
      </w:r>
      <w:r>
        <w:rPr>
          <w:rFonts w:ascii="Arial" w:cs="Arial" w:eastAsia="Arial" w:hAnsi="Arial"/>
          <w:sz w:val="17"/>
          <w:szCs w:val="17"/>
          <w:b w:val="1"/>
          <w:bCs w:val="1"/>
          <w:color w:val="auto"/>
        </w:rPr>
        <w:t xml:space="preserve"> </w:t>
      </w:r>
      <w:r>
        <w:rPr>
          <w:rFonts w:ascii="Arial" w:cs="Arial" w:eastAsia="Arial" w:hAnsi="Arial"/>
          <w:sz w:val="17"/>
          <w:szCs w:val="17"/>
          <w:color w:val="auto"/>
        </w:rPr>
        <w:t>24.2% for the first quarter of 2021 as compared to 22.9% for the first quarter of 2020, primarily attributable to the geographic mix of earnings. The income tax provision for the first quarter of 2021 is comprised of a $49 current provision for taxes expected to be paid on income from our foreign operations, representing a cash-based effective tax rate of 5.5%, and a $168 deferred tax provision which primarily represents non-cash charges for U.S. taxes which will be fully offset by NOL carryforwards and other tax credits for the foreseeable future. For the 2020 period, the income tax provision was comprised of a $77 current tax provision, representing a cash-based effective tax rate of 5.5%, and a $242 deferred tax provision. See Note 6 in the Notes to Consolidated Financial Statements in Item 1 of Part I of this Form 10-Q for additional information regarding our income taxes.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EPS excludes the provision for deferred taxes of $168 and $242 for the 2021 and 2020 periods, respectively, which primarily represents non-cash charges for U.S. taxes which will be fully offset by NOL carryforwards and other tax credits for the foreseeable future. See the section “Adjusted EPS” on Page 21 for a reconciliation of EPS to Adjusted EPS.</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Net Income Attributable to Ultralife. </w:t>
      </w:r>
      <w:r>
        <w:rPr>
          <w:rFonts w:ascii="Arial" w:cs="Arial" w:eastAsia="Arial" w:hAnsi="Arial"/>
          <w:sz w:val="16"/>
          <w:szCs w:val="16"/>
          <w:color w:val="auto"/>
        </w:rPr>
        <w:t>Net income attributable to Ultralife was $671, or $0.04 per share – basic and diluted, for the three-month period</w:t>
      </w:r>
      <w:r>
        <w:rPr>
          <w:rFonts w:ascii="Arial" w:cs="Arial" w:eastAsia="Arial" w:hAnsi="Arial"/>
          <w:sz w:val="16"/>
          <w:szCs w:val="16"/>
          <w:b w:val="1"/>
          <w:bCs w:val="1"/>
          <w:color w:val="auto"/>
        </w:rPr>
        <w:t xml:space="preserve"> </w:t>
      </w:r>
      <w:r>
        <w:rPr>
          <w:rFonts w:ascii="Arial" w:cs="Arial" w:eastAsia="Arial" w:hAnsi="Arial"/>
          <w:sz w:val="16"/>
          <w:szCs w:val="16"/>
          <w:color w:val="auto"/>
        </w:rPr>
        <w:t>ended March 31, 2021, compared to $1,059, or $0.07 per share – basic and diluted, for the three-month period ended March 31, 2020. Adjusted EPS was $0.05 on a diluted basis for the first quarter of 2021, representing a 35.8% decrease from Adjusted EPS on a diluted basis of $0.08 for the 2020 period. For the 2021 first quarter, the estimated net adverse impact of COVID-19 was approximately $0.04 on diluted EPS, and approximately $0.06 on Adjusted EPS. Weighted average shares outstanding used to compute diluted earnings per share increased from 16,086,744 in the first quarter of 2020 to 16,152,260 in the first quarter of 2021. The increase is attributable to stock option exercises since the first quarter of 2020 and an increase in the weighted average stock price used to compute weighted average shares outstanding from $6.71 for the first quarter of 2020 to $7.32 for the first quarter of 2021.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evaluating our business, we consider and use Adjusted EBITDA, a non-GAAP financial measure, as a supplemental measure of our operating performance. We define Adjusted EBITDA as net income attributable to Ultralife before interest expense, provision for income taxes, depreciation and amortization, and stock-based compensation expense.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attributable to Ultralife, the most comparable financial measure under GAAP.</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use Adjusted EBITDA in our decision-making processes relating to the operation of our business together with GAAP financial measures such as operating income. We believe that Adjusted EBITDA permits a comparative assessment of our operating performance, relative to our performance based on our GAAP results, while isolating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term Adjusted EBITDA is not defined under GAAP, and is not a measure of operating income, operating performance or liquidity presented in accordance with GAAP. Our Adjusted EBITDA has limitations as an analytical tool, and when assessing our operating performance, Adjusted EBITDA should not be considered in isolation or as a substitute for net income attributable to Ultralife or other consolidated statement of operations data prepared in accordance with GAAP. Some of these limitations include, but are not limited to, the following:</w:t>
      </w:r>
    </w:p>
    <w:p>
      <w:pPr>
        <w:spacing w:after="0" w:line="171" w:lineRule="exact"/>
        <w:rPr>
          <w:sz w:val="20"/>
          <w:szCs w:val="20"/>
          <w:color w:val="auto"/>
        </w:rPr>
      </w:pPr>
    </w:p>
    <w:p>
      <w:pPr>
        <w:ind w:left="1100" w:hanging="323"/>
        <w:spacing w:after="0"/>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does not reflect (1) our cash expenditures or future requirements for capital expenditures or contractual commitments;</w:t>
      </w:r>
    </w:p>
    <w:p>
      <w:pPr>
        <w:spacing w:after="0" w:line="46" w:lineRule="exact"/>
        <w:rPr>
          <w:rFonts w:ascii="Arial" w:cs="Arial" w:eastAsia="Arial" w:hAnsi="Arial"/>
          <w:sz w:val="16"/>
          <w:szCs w:val="16"/>
          <w:color w:val="auto"/>
        </w:rPr>
      </w:pPr>
    </w:p>
    <w:p>
      <w:pPr>
        <w:jc w:val="both"/>
        <w:ind w:left="1100"/>
        <w:spacing w:after="0" w:line="255" w:lineRule="auto"/>
        <w:rPr>
          <w:rFonts w:ascii="Arial" w:cs="Arial" w:eastAsia="Arial" w:hAnsi="Arial"/>
          <w:sz w:val="16"/>
          <w:szCs w:val="16"/>
          <w:color w:val="auto"/>
        </w:rPr>
      </w:pPr>
      <w:r>
        <w:rPr>
          <w:rFonts w:ascii="Arial" w:cs="Arial" w:eastAsia="Arial" w:hAnsi="Arial"/>
          <w:sz w:val="18"/>
          <w:szCs w:val="18"/>
          <w:color w:val="auto"/>
        </w:rPr>
        <w:t>(2)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9" w:lineRule="exact"/>
        <w:rPr>
          <w:rFonts w:ascii="Arial" w:cs="Arial" w:eastAsia="Arial" w:hAnsi="Arial"/>
          <w:sz w:val="16"/>
          <w:szCs w:val="16"/>
          <w:color w:val="auto"/>
        </w:rPr>
      </w:pPr>
    </w:p>
    <w:p>
      <w:pPr>
        <w:ind w:left="1100" w:hanging="323"/>
        <w:spacing w:after="0" w:line="308" w:lineRule="auto"/>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100" w:hanging="323"/>
        <w:spacing w:after="0" w:line="263" w:lineRule="auto"/>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p>
      <w:pPr>
        <w:spacing w:after="0" w:line="183" w:lineRule="exact"/>
        <w:rPr>
          <w:rFonts w:ascii="Arial" w:cs="Arial" w:eastAsia="Arial" w:hAnsi="Arial"/>
          <w:sz w:val="18"/>
          <w:szCs w:val="18"/>
          <w:color w:val="auto"/>
        </w:rPr>
      </w:pPr>
    </w:p>
    <w:p>
      <w:pPr>
        <w:ind w:left="1100" w:hanging="32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income attributable to Ultralife.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Adjusted EBITDA is calculated as follows for the periods presented:</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Three-month period</w:t>
            </w: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8"/>
                <w:szCs w:val="18"/>
                <w:b w:val="1"/>
                <w:bCs w:val="1"/>
                <w:color w:val="auto"/>
              </w:rPr>
              <w:t>ended</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line="191" w:lineRule="exact"/>
              <w:rPr>
                <w:sz w:val="20"/>
                <w:szCs w:val="20"/>
                <w:color w:val="auto"/>
              </w:rPr>
            </w:pPr>
            <w:r>
              <w:rPr>
                <w:rFonts w:ascii="Arial" w:cs="Arial" w:eastAsia="Arial" w:hAnsi="Arial"/>
                <w:sz w:val="18"/>
                <w:szCs w:val="18"/>
                <w:b w:val="1"/>
                <w:bCs w:val="1"/>
                <w:color w:val="auto"/>
              </w:rPr>
              <w:t>March 31,</w:t>
            </w:r>
          </w:p>
        </w:tc>
        <w:tc>
          <w:tcPr>
            <w:tcW w:w="260" w:type="dxa"/>
            <w:vAlign w:val="bottom"/>
          </w:tcPr>
          <w:p>
            <w:pPr>
              <w:spacing w:after="0"/>
              <w:rPr>
                <w:sz w:val="16"/>
                <w:szCs w:val="16"/>
                <w:color w:val="auto"/>
              </w:rPr>
            </w:pPr>
          </w:p>
        </w:tc>
        <w:tc>
          <w:tcPr>
            <w:tcW w:w="126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6"/>
                <w:szCs w:val="16"/>
                <w:color w:val="auto"/>
              </w:rPr>
            </w:pPr>
          </w:p>
        </w:tc>
      </w:t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Ultralife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Add:</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579</w:t>
            </w:r>
          </w:p>
        </w:tc>
      </w:tr>
      <w:tr>
        <w:trPr>
          <w:trHeight w:val="216"/>
        </w:trPr>
        <w:tc>
          <w:tcPr>
            <w:tcW w:w="56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230</w:t>
            </w:r>
          </w:p>
        </w:tc>
      </w:tr>
      <w:tr>
        <w:trPr>
          <w:trHeight w:val="20"/>
        </w:trPr>
        <w:tc>
          <w:tcPr>
            <w:tcW w:w="5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2,522</w:t>
            </w:r>
          </w:p>
        </w:tc>
      </w:tr>
      <w:tr>
        <w:trPr>
          <w:trHeight w:val="20"/>
        </w:trPr>
        <w:tc>
          <w:tcPr>
            <w:tcW w:w="5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EPS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evaluating our business, we consider and use Adjusted EPS, a non-GAAP financial measure, as a supplemental measure of our business performance in addition to GAAP financial measures. We define Adjusted EPS as net income attributable to Ultralife Corporation, excluding the provision for deferred taxes, divided by our weighted average shares outstanding on both a basic and diluted basis. We believe that this information is useful in providing period-to-period comparisons of our results by reflecting the portion of our tax provision that will be offset by our U.S. NOL carryforwards and other tax credits for the foreseeable future. We reconcile Adjusted EPS to EPS, the most comparable financial measure under GAAP. Neither current nor potential investors in our securities should rely on Adjusted EPS as a substitute for any GAAP measures and we encourage investors to review the following reconciliation of Adjusted EPS to EPS and net income attributable to Ultralife.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Adjusted EPS is calculated as follows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1"/>
              </w:rPr>
              <w:t>Three-month period ended</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8"/>
                <w:szCs w:val="18"/>
                <w:b w:val="1"/>
                <w:bCs w:val="1"/>
                <w:color w:val="auto"/>
                <w:w w:val="93"/>
              </w:rPr>
              <w:t>March 31, 2021</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93"/>
              </w:rPr>
              <w:t>March 31, 2020</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96"/>
              </w:rPr>
              <w:t>Per</w:t>
            </w:r>
          </w:p>
        </w:tc>
        <w:tc>
          <w:tcPr>
            <w:tcW w:w="120" w:type="dxa"/>
            <w:vAlign w:val="bottom"/>
          </w:tcPr>
          <w:p>
            <w:pPr>
              <w:spacing w:after="0"/>
              <w:rPr>
                <w:sz w:val="16"/>
                <w:szCs w:val="16"/>
                <w:color w:val="auto"/>
              </w:rPr>
            </w:pPr>
          </w:p>
        </w:tc>
        <w:tc>
          <w:tcPr>
            <w:tcW w:w="1020" w:type="dxa"/>
            <w:vAlign w:val="bottom"/>
          </w:tcPr>
          <w:p>
            <w:pPr>
              <w:jc w:val="center"/>
              <w:ind w:right="10"/>
              <w:spacing w:after="0" w:line="191" w:lineRule="exact"/>
              <w:rPr>
                <w:sz w:val="20"/>
                <w:szCs w:val="20"/>
                <w:color w:val="auto"/>
              </w:rPr>
            </w:pPr>
            <w:r>
              <w:rPr>
                <w:rFonts w:ascii="Arial" w:cs="Arial" w:eastAsia="Arial" w:hAnsi="Arial"/>
                <w:sz w:val="18"/>
                <w:szCs w:val="18"/>
                <w:b w:val="1"/>
                <w:bCs w:val="1"/>
                <w:color w:val="auto"/>
                <w:w w:val="96"/>
              </w:rPr>
              <w:t>Per</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96"/>
              </w:rPr>
              <w:t>Per</w:t>
            </w:r>
          </w:p>
        </w:tc>
        <w:tc>
          <w:tcPr>
            <w:tcW w:w="180" w:type="dxa"/>
            <w:vAlign w:val="bottom"/>
          </w:tcPr>
          <w:p>
            <w:pPr>
              <w:spacing w:after="0"/>
              <w:rPr>
                <w:sz w:val="16"/>
                <w:szCs w:val="16"/>
                <w:color w:val="auto"/>
              </w:rPr>
            </w:pPr>
          </w:p>
        </w:tc>
        <w:tc>
          <w:tcPr>
            <w:tcW w:w="94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6"/>
              </w:rPr>
              <w:t>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3"/>
              </w:rPr>
              <w:t>Basic</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Diluted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3"/>
              </w:rPr>
              <w:t>Basic</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Share</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0" w:type="dxa"/>
            <w:vAlign w:val="bottom"/>
          </w:tcPr>
          <w:p>
            <w:pPr>
              <w:spacing w:after="0"/>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income attributable to Ultralife</w:t>
            </w:r>
          </w:p>
        </w:tc>
        <w:tc>
          <w:tcPr>
            <w:tcW w:w="1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Corporation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Deferred tax provision</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2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Adjusted net income attributable to</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839</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.05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Ultralife Corporation</w:t>
            </w:r>
          </w:p>
        </w:tc>
        <w:tc>
          <w:tcPr>
            <w:tcW w:w="16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15,973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16,152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16,087</w:t>
            </w:r>
          </w:p>
        </w:tc>
        <w:tc>
          <w:tcPr>
            <w:tcW w:w="0" w:type="dxa"/>
            <w:vAlign w:val="bottom"/>
          </w:tcPr>
          <w:p>
            <w:pPr>
              <w:spacing w:after="0"/>
              <w:rPr>
                <w:sz w:val="1"/>
                <w:szCs w:val="1"/>
                <w:color w:val="auto"/>
              </w:rPr>
            </w:pPr>
          </w:p>
        </w:tc>
      </w:tr>
      <w:tr>
        <w:trPr>
          <w:trHeight w:val="432"/>
        </w:trPr>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March 31, 2021, cash totaled $13,662 (including restricted cash of $88), an increase of $3,009 as compared to $10,653 of cash held at December 31, 2020, primarily attributable to cash generated from operations, including the receipt of net proceeds of $1,593 awarded in a class action lawsuit.</w:t>
      </w:r>
    </w:p>
    <w:p>
      <w:pPr>
        <w:spacing w:after="0" w:line="12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During the three-month period ended March 31, 2021, we generated $3,903 from our operations, as compared to a net use of $365 in operations for the three-month period ended March 31, 2020. In 2021, the cash generated from operating activities reflects the Company’s receipt during the quarter of $1,593 awarded in a class action lawsuit, net income of $679, a deferred tax provision of $168, non-cash expenses of depreciation, amortization, and stock-based compensation totaling $1,094, and a $369 reduction in net working capital primarily due to the timing of collections and disbursements.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Cash used in investing activities for the three months ended March 31, 2021 was $489 for capital expenditures, primarily for investment in automation equipment for our Battery &amp; Energy Products business, including 3-Volt cell and thionyl chloride cell production.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by financing activities for the three-months ended March 31, 2021 was $420, consisting of $393 of principle payments against our remaining term loan balance and $58 of tax withholdings for stock awards, partially offset by net proceeds of $31 from stock options exercises.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have significant U.S. net operating loss carryforwards available to utilize as an offset to future taxable income. See Note 6 to the Consolidated Financial Statements of this Form 10-Q for additional information.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Going forward, we expect positive operating cash flow and the availability under our Revolving Credit Facility will be sufficient to meet our general funding requirements for the foreseeable future.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Company had $1,081 outstanding principal on the Term Loan Facility, all of which is included in current portion of long-term debt on the consolidated balance sheet, and no amounts outstanding on the Revolving Credit Facility. The Company was in full compliance with all covenants under the Credit Facilities as of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we had made commitments to purchase approximately $919 of production machinery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2020 Annual Report on Form 10-K should be reviewed for a greater understanding of how our financial performance is recorded and reported.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first quarter of 2021, there were no significant changes in the manner in which our significant accounting policies were applied or in which related assumptions and estimates were developed.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5940" w:type="dxa"/>
            <w:vAlign w:val="bottom"/>
            <w:gridSpan w:val="7"/>
          </w:tcPr>
          <w:p>
            <w:pPr>
              <w:ind w:left="220"/>
              <w:spacing w:after="0"/>
              <w:rPr>
                <w:sz w:val="20"/>
                <w:szCs w:val="20"/>
                <w:color w:val="auto"/>
              </w:rPr>
            </w:pPr>
            <w:r>
              <w:rPr>
                <w:rFonts w:ascii="Arial" w:cs="Arial" w:eastAsia="Arial" w:hAnsi="Arial"/>
                <w:sz w:val="18"/>
                <w:szCs w:val="18"/>
                <w:b w:val="1"/>
                <w:bCs w:val="1"/>
                <w:color w:val="auto"/>
              </w:rPr>
              <w:t>OTHER INFORMATION</w:t>
            </w: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94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Exhibits</w:t>
            </w: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18"/>
        </w:trPr>
        <w:tc>
          <w:tcPr>
            <w:tcW w:w="1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Exhibit</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30"/>
        </w:trPr>
        <w:tc>
          <w:tcPr>
            <w:tcW w:w="18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Index</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Exhibit Description</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from</w:t>
            </w:r>
          </w:p>
        </w:tc>
      </w:tr>
      <w:tr>
        <w:trPr>
          <w:trHeight w:val="169"/>
        </w:trPr>
        <w:tc>
          <w:tcPr>
            <w:tcW w:w="180" w:type="dxa"/>
            <w:vAlign w:val="bottom"/>
          </w:tcPr>
          <w:p>
            <w:pPr>
              <w:spacing w:after="0"/>
              <w:rPr>
                <w:sz w:val="14"/>
                <w:szCs w:val="14"/>
                <w:color w:val="auto"/>
              </w:rPr>
            </w:pPr>
          </w:p>
        </w:tc>
        <w:tc>
          <w:tcPr>
            <w:tcW w:w="7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31.1</w:t>
            </w:r>
          </w:p>
        </w:tc>
        <w:tc>
          <w:tcPr>
            <w:tcW w:w="3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340" w:type="dxa"/>
            <w:vAlign w:val="bottom"/>
            <w:tcBorders>
              <w:top w:val="single" w:sz="8" w:color="auto"/>
              <w:bottom w:val="single" w:sz="8" w:color="0000EE"/>
            </w:tcBorders>
            <w:gridSpan w:val="3"/>
          </w:tcPr>
          <w:p>
            <w:pPr>
              <w:spacing w:after="0" w:line="169"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Rule 13a-14(a) / 15d-14(a) CEO Certifications</w:t>
              </w:r>
            </w:hyperlink>
          </w:p>
        </w:tc>
        <w:tc>
          <w:tcPr>
            <w:tcW w:w="2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Filed herewith</w:t>
            </w:r>
          </w:p>
        </w:tc>
      </w:tr>
      <w:tr>
        <w:trPr>
          <w:trHeight w:val="196"/>
        </w:trPr>
        <w:tc>
          <w:tcPr>
            <w:tcW w:w="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31.2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40" w:type="dxa"/>
            <w:vAlign w:val="bottom"/>
            <w:gridSpan w:val="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Rule 13a-14(a) / 15d-14(a) CFO Certifications</w:t>
              </w:r>
            </w:hyperlink>
          </w:p>
        </w:tc>
        <w:tc>
          <w:tcPr>
            <w:tcW w:w="42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Filed herewith</w:t>
            </w:r>
          </w:p>
        </w:tc>
      </w:tr>
      <w:tr>
        <w:trPr>
          <w:trHeight w:val="196"/>
        </w:trPr>
        <w:tc>
          <w:tcPr>
            <w:tcW w:w="90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32</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Section 1350 Certifications</w:t>
              </w:r>
            </w:hyperlink>
          </w:p>
        </w:tc>
        <w:tc>
          <w:tcPr>
            <w:tcW w:w="2100" w:type="dxa"/>
            <w:vAlign w:val="bottom"/>
            <w:gridSpan w:val="2"/>
          </w:tcPr>
          <w:p>
            <w:pPr>
              <w:spacing w:after="0"/>
              <w:rPr>
                <w:sz w:val="17"/>
                <w:szCs w:val="17"/>
                <w:color w:val="auto"/>
              </w:rPr>
            </w:pPr>
          </w:p>
        </w:tc>
        <w:tc>
          <w:tcPr>
            <w:tcW w:w="424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Furnished herewith</w:t>
            </w:r>
          </w:p>
        </w:tc>
      </w:tr>
      <w:tr>
        <w:trPr>
          <w:trHeight w:val="20"/>
        </w:trPr>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r>
      <w:tr>
        <w:trPr>
          <w:trHeight w:val="222"/>
        </w:trPr>
        <w:tc>
          <w:tcPr>
            <w:tcW w:w="180" w:type="dxa"/>
            <w:vAlign w:val="bottom"/>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Instance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18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16"/>
        </w:trPr>
        <w:tc>
          <w:tcPr>
            <w:tcW w:w="90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w w:val="91"/>
              </w:rPr>
              <w:t>Cover Page Interactive Data File (formatted as Inline XBRL and contained</w:t>
            </w:r>
          </w:p>
        </w:tc>
        <w:tc>
          <w:tcPr>
            <w:tcW w:w="4240" w:type="dxa"/>
            <w:vAlign w:val="bottom"/>
            <w:gridSpan w:val="2"/>
          </w:tcPr>
          <w:p>
            <w:pPr>
              <w:ind w:left="100"/>
              <w:spacing w:after="0"/>
              <w:rPr>
                <w:sz w:val="20"/>
                <w:szCs w:val="20"/>
                <w:color w:val="auto"/>
              </w:rPr>
            </w:pPr>
            <w:r>
              <w:rPr>
                <w:rFonts w:ascii="Arial" w:cs="Arial" w:eastAsia="Arial" w:hAnsi="Arial"/>
                <w:sz w:val="18"/>
                <w:szCs w:val="18"/>
                <w:color w:val="auto"/>
              </w:rPr>
              <w:t>Filed herewith</w:t>
            </w:r>
          </w:p>
        </w:tc>
      </w:tr>
      <w:tr>
        <w:trPr>
          <w:trHeight w:val="230"/>
        </w:trPr>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5"/>
          </w:tcPr>
          <w:p>
            <w:pPr>
              <w:spacing w:after="0"/>
              <w:rPr>
                <w:sz w:val="20"/>
                <w:szCs w:val="20"/>
                <w:color w:val="auto"/>
              </w:rPr>
            </w:pPr>
            <w:r>
              <w:rPr>
                <w:rFonts w:ascii="Arial" w:cs="Arial" w:eastAsia="Arial" w:hAnsi="Arial"/>
                <w:sz w:val="18"/>
                <w:szCs w:val="18"/>
                <w:color w:val="auto"/>
              </w:rPr>
              <w:t>in Exhibit 101)</w:t>
            </w:r>
          </w:p>
        </w:tc>
        <w:tc>
          <w:tcPr>
            <w:tcW w:w="100" w:type="dxa"/>
            <w:vAlign w:val="bottom"/>
          </w:tcPr>
          <w:p>
            <w:pPr>
              <w:spacing w:after="0"/>
              <w:rPr>
                <w:sz w:val="20"/>
                <w:szCs w:val="20"/>
                <w:color w:val="auto"/>
              </w:rPr>
            </w:pPr>
          </w:p>
        </w:tc>
        <w:tc>
          <w:tcPr>
            <w:tcW w:w="4140" w:type="dxa"/>
            <w:vAlign w:val="bottom"/>
          </w:tcPr>
          <w:p>
            <w:pPr>
              <w:spacing w:after="0"/>
              <w:rPr>
                <w:sz w:val="20"/>
                <w:szCs w:val="20"/>
                <w:color w:val="auto"/>
              </w:rPr>
            </w:pPr>
          </w:p>
        </w:tc>
      </w:tr>
    </w:tbl>
    <w:p>
      <w:pPr>
        <w:spacing w:after="0" w:line="202" w:lineRule="exact"/>
        <w:rPr>
          <w:sz w:val="20"/>
          <w:szCs w:val="20"/>
          <w:color w:val="auto"/>
        </w:rPr>
      </w:pPr>
    </w:p>
    <w:p>
      <w:pPr>
        <w:jc w:val="both"/>
        <w:ind w:left="340" w:right="340"/>
        <w:spacing w:after="0" w:line="287"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Consolidated Balance Sheets as of March 31, 2021 and December 31, 2020, (ii) Consolidated Statements of Income and Comprehensive Income for the three months ended March 31, 2021 and 2020, (iii) Consolidated Statements of Cash Flows for the three months ended March 31, 2021 and 2020, (iv)</w:t>
      </w:r>
    </w:p>
    <w:p>
      <w:pPr>
        <w:spacing w:after="0" w:line="2" w:lineRule="exact"/>
        <w:rPr>
          <w:sz w:val="20"/>
          <w:szCs w:val="20"/>
          <w:color w:val="auto"/>
        </w:rPr>
      </w:pPr>
    </w:p>
    <w:p>
      <w:pPr>
        <w:ind w:left="340" w:right="220"/>
        <w:spacing w:after="0" w:line="260" w:lineRule="auto"/>
        <w:rPr>
          <w:sz w:val="20"/>
          <w:szCs w:val="20"/>
          <w:color w:val="auto"/>
        </w:rPr>
      </w:pPr>
      <w:r>
        <w:rPr>
          <w:rFonts w:ascii="Arial" w:cs="Arial" w:eastAsia="Arial" w:hAnsi="Arial"/>
          <w:sz w:val="18"/>
          <w:szCs w:val="18"/>
          <w:color w:val="auto"/>
        </w:rPr>
        <w:t>Consolidated Statements of Changes in Shareholders’ Equity for the three months ended March 31, 2021 and 2020, and (v) Notes to Consolidated Financial Statements.</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80" w:right="49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4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rPr>
              <w:t>ULTRALIFE CORPORATION</w:t>
            </w:r>
          </w:p>
        </w:tc>
      </w:tr>
      <w:tr>
        <w:trPr>
          <w:trHeight w:val="236"/>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1"/>
              </w:rPr>
              <w:t>(Registrant)</w:t>
            </w: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3340" w:type="dxa"/>
            <w:vAlign w:val="bottom"/>
            <w:gridSpan w:val="5"/>
          </w:tcPr>
          <w:p>
            <w:pPr>
              <w:ind w:left="100"/>
              <w:spacing w:after="0"/>
              <w:rPr>
                <w:sz w:val="20"/>
                <w:szCs w:val="20"/>
                <w:color w:val="auto"/>
              </w:rPr>
            </w:pPr>
            <w:r>
              <w:rPr>
                <w:rFonts w:ascii="Arial" w:cs="Arial" w:eastAsia="Arial" w:hAnsi="Arial"/>
                <w:sz w:val="18"/>
                <w:szCs w:val="18"/>
                <w:color w:val="auto"/>
              </w:rPr>
              <w:t>/s/ Michael D. Popielec</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rPr>
              <w:t>Michael D. Popielec</w:t>
            </w:r>
          </w:p>
        </w:tc>
        <w:tc>
          <w:tcPr>
            <w:tcW w:w="60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4"/>
          </w:tcPr>
          <w:p>
            <w:pPr>
              <w:ind w:left="20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2640" w:type="dxa"/>
            <w:vAlign w:val="bottom"/>
          </w:tcPr>
          <w:p>
            <w:pPr>
              <w:ind w:left="2300"/>
              <w:spacing w:after="0"/>
              <w:rPr>
                <w:sz w:val="20"/>
                <w:szCs w:val="20"/>
                <w:color w:val="auto"/>
              </w:rPr>
            </w:pPr>
            <w:r>
              <w:rPr>
                <w:rFonts w:ascii="Arial" w:cs="Arial" w:eastAsia="Arial" w:hAnsi="Arial"/>
                <w:sz w:val="18"/>
                <w:szCs w:val="18"/>
                <w:color w:val="auto"/>
              </w:rPr>
              <w:t>By:</w:t>
            </w:r>
          </w:p>
        </w:tc>
        <w:tc>
          <w:tcPr>
            <w:tcW w:w="3340" w:type="dxa"/>
            <w:vAlign w:val="bottom"/>
            <w:gridSpan w:val="5"/>
          </w:tcPr>
          <w:p>
            <w:pPr>
              <w:ind w:left="100"/>
              <w:spacing w:after="0"/>
              <w:rPr>
                <w:sz w:val="20"/>
                <w:szCs w:val="20"/>
                <w:color w:val="auto"/>
              </w:rPr>
            </w:pPr>
            <w:r>
              <w:rPr>
                <w:rFonts w:ascii="Arial" w:cs="Arial" w:eastAsia="Arial" w:hAnsi="Arial"/>
                <w:sz w:val="18"/>
                <w:szCs w:val="18"/>
                <w:color w:val="auto"/>
              </w:rPr>
              <w:t>/s/ Philip A. Fain</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Philip A. Fain</w:t>
            </w:r>
          </w:p>
        </w:tc>
        <w:tc>
          <w:tcPr>
            <w:tcW w:w="62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ind w:left="200"/>
              <w:spacing w:after="0"/>
              <w:rPr>
                <w:sz w:val="20"/>
                <w:szCs w:val="20"/>
                <w:color w:val="auto"/>
              </w:rPr>
            </w:pPr>
            <w:r>
              <w:rPr>
                <w:rFonts w:ascii="Arial" w:cs="Arial" w:eastAsia="Arial" w:hAnsi="Arial"/>
                <w:sz w:val="18"/>
                <w:szCs w:val="18"/>
                <w:color w:val="auto"/>
              </w:rPr>
              <w:t>Chief Financial Officer and Treasurer</w:t>
            </w:r>
          </w:p>
        </w:tc>
      </w:tr>
      <w:tr>
        <w:trPr>
          <w:trHeight w:val="216"/>
        </w:trPr>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ind w:left="20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4"/>
          </w:tcPr>
          <w:p>
            <w:pPr>
              <w:ind w:left="340"/>
              <w:spacing w:after="0"/>
              <w:rPr>
                <w:sz w:val="20"/>
                <w:szCs w:val="20"/>
                <w:color w:val="auto"/>
              </w:rPr>
            </w:pPr>
            <w:r>
              <w:rPr>
                <w:rFonts w:ascii="Arial" w:cs="Arial" w:eastAsia="Arial" w:hAnsi="Arial"/>
                <w:sz w:val="18"/>
                <w:szCs w:val="18"/>
                <w:color w:val="auto"/>
              </w:rPr>
              <w:t>Principal Accounting Officer)</w:t>
            </w:r>
          </w:p>
        </w:tc>
      </w:tr>
      <w:tr>
        <w:trPr>
          <w:trHeight w:val="432"/>
        </w:trPr>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gridSpan w:val="3"/>
          </w:tcPr>
          <w:p>
            <w:pPr>
              <w:jc w:val="right"/>
              <w:ind w:right="131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ectPr>
          <w:pgSz w:w="11900" w:h="16838" w:orient="portrait"/>
          <w:cols w:equalWidth="0" w:num="1">
            <w:col w:w="11200"/>
          </w:cols>
          <w:pgMar w:left="320" w:top="580"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D. Popielec, certify that:</w:t>
      </w:r>
    </w:p>
    <w:p>
      <w:pPr>
        <w:spacing w:after="0" w:line="22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5520" w:type="dxa"/>
            <w:vAlign w:val="bottom"/>
            <w:gridSpan w:val="3"/>
          </w:tcPr>
          <w:p>
            <w:pPr>
              <w:ind w:left="23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25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Michael D. Popielec</w:t>
            </w:r>
          </w:p>
        </w:tc>
        <w:tc>
          <w:tcPr>
            <w:tcW w:w="4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20" w:type="dxa"/>
            <w:vAlign w:val="bottom"/>
            <w:gridSpan w:val="2"/>
          </w:tcPr>
          <w:p>
            <w:pPr>
              <w:ind w:left="180"/>
              <w:spacing w:after="0"/>
              <w:rPr>
                <w:sz w:val="20"/>
                <w:szCs w:val="20"/>
                <w:color w:val="auto"/>
              </w:rPr>
            </w:pPr>
            <w:r>
              <w:rPr>
                <w:rFonts w:ascii="Arial" w:cs="Arial" w:eastAsia="Arial" w:hAnsi="Arial"/>
                <w:sz w:val="18"/>
                <w:szCs w:val="18"/>
                <w:color w:val="auto"/>
                <w:w w:val="90"/>
              </w:rPr>
              <w:t>President and Chief Executive Officer</w:t>
            </w:r>
          </w:p>
        </w:tc>
      </w:tr>
    </w:tbl>
    <w:p>
      <w:pPr>
        <w:sectPr>
          <w:pgSz w:w="11900" w:h="16838" w:orient="portrait"/>
          <w:cols w:equalWidth="0" w:num="1">
            <w:col w:w="11240"/>
          </w:cols>
          <w:pgMar w:left="320" w:top="33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Philip A. Fain,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Ultralife Corporation;</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hanging="320"/>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5500" w:type="dxa"/>
            <w:vAlign w:val="bottom"/>
            <w:gridSpan w:val="3"/>
          </w:tcPr>
          <w:p>
            <w:pPr>
              <w:ind w:left="23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20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Philip A. Fain</w:t>
            </w:r>
          </w:p>
        </w:tc>
        <w:tc>
          <w:tcPr>
            <w:tcW w:w="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00" w:type="dxa"/>
            <w:vAlign w:val="bottom"/>
            <w:gridSpan w:val="2"/>
          </w:tcPr>
          <w:p>
            <w:pPr>
              <w:ind w:left="180"/>
              <w:spacing w:after="0"/>
              <w:rPr>
                <w:sz w:val="20"/>
                <w:szCs w:val="20"/>
                <w:color w:val="auto"/>
              </w:rPr>
            </w:pPr>
            <w:r>
              <w:rPr>
                <w:rFonts w:ascii="Arial" w:cs="Arial" w:eastAsia="Arial" w:hAnsi="Arial"/>
                <w:sz w:val="18"/>
                <w:szCs w:val="18"/>
                <w:color w:val="auto"/>
                <w:w w:val="91"/>
              </w:rPr>
              <w:t>Chief Financial Officer and Treasurer</w:t>
            </w:r>
          </w:p>
        </w:tc>
      </w:tr>
    </w:tbl>
    <w:p>
      <w:pPr>
        <w:sectPr>
          <w:pgSz w:w="11900" w:h="16838" w:orient="portrait"/>
          <w:cols w:equalWidth="0" w:num="1">
            <w:col w:w="11240"/>
          </w:cols>
          <w:pgMar w:left="320" w:top="823"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March 31, 2021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5520" w:type="dxa"/>
            <w:vAlign w:val="bottom"/>
            <w:gridSpan w:val="4"/>
          </w:tcPr>
          <w:p>
            <w:pPr>
              <w:ind w:left="2300"/>
              <w:spacing w:after="0"/>
              <w:rPr>
                <w:sz w:val="20"/>
                <w:szCs w:val="20"/>
                <w:color w:val="auto"/>
              </w:rPr>
            </w:pPr>
            <w:r>
              <w:rPr>
                <w:rFonts w:ascii="Arial" w:cs="Arial" w:eastAsia="Arial" w:hAnsi="Arial"/>
                <w:sz w:val="18"/>
                <w:szCs w:val="18"/>
                <w:color w:val="auto"/>
              </w:rPr>
              <w:t>By: /s/ Michael D. Popielec</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242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Michael D. Popielec</w:t>
            </w:r>
          </w:p>
        </w:tc>
        <w:tc>
          <w:tcPr>
            <w:tcW w:w="5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Arial" w:cs="Arial" w:eastAsia="Arial" w:hAnsi="Arial"/>
                <w:sz w:val="18"/>
                <w:szCs w:val="18"/>
                <w:color w:val="auto"/>
                <w:w w:val="90"/>
              </w:rPr>
              <w:t>President and Chief Executive Officer</w:t>
            </w:r>
          </w:p>
        </w:tc>
      </w:tr>
      <w:tr>
        <w:trPr>
          <w:trHeight w:val="392"/>
        </w:trPr>
        <w:tc>
          <w:tcPr>
            <w:tcW w:w="1480" w:type="dxa"/>
            <w:vAlign w:val="bottom"/>
            <w:gridSpan w:val="2"/>
          </w:tcPr>
          <w:p>
            <w:pPr>
              <w:spacing w:after="0"/>
              <w:rPr>
                <w:sz w:val="20"/>
                <w:szCs w:val="20"/>
                <w:color w:val="auto"/>
              </w:rPr>
            </w:pPr>
            <w:r>
              <w:rPr>
                <w:rFonts w:ascii="Arial" w:cs="Arial" w:eastAsia="Arial" w:hAnsi="Arial"/>
                <w:sz w:val="18"/>
                <w:szCs w:val="18"/>
                <w:color w:val="auto"/>
                <w:w w:val="91"/>
              </w:rPr>
              <w:t>Date: April 29, 2021</w:t>
            </w:r>
          </w:p>
        </w:tc>
        <w:tc>
          <w:tcPr>
            <w:tcW w:w="5520" w:type="dxa"/>
            <w:vAlign w:val="bottom"/>
            <w:gridSpan w:val="4"/>
          </w:tcPr>
          <w:p>
            <w:pPr>
              <w:ind w:left="2300"/>
              <w:spacing w:after="0"/>
              <w:rPr>
                <w:sz w:val="20"/>
                <w:szCs w:val="20"/>
                <w:color w:val="auto"/>
              </w:rPr>
            </w:pPr>
            <w:r>
              <w:rPr>
                <w:rFonts w:ascii="Arial" w:cs="Arial" w:eastAsia="Arial" w:hAnsi="Arial"/>
                <w:sz w:val="18"/>
                <w:szCs w:val="18"/>
                <w:color w:val="auto"/>
              </w:rPr>
              <w:t>By: /s/ Philip A. Fain</w:t>
            </w:r>
          </w:p>
        </w:tc>
      </w:tr>
      <w:tr>
        <w:trPr>
          <w:trHeight w:val="222"/>
        </w:trPr>
        <w:tc>
          <w:tcPr>
            <w:tcW w:w="4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600" w:type="dxa"/>
            <w:vAlign w:val="bottom"/>
          </w:tcPr>
          <w:p>
            <w:pPr>
              <w:spacing w:after="0"/>
              <w:rPr>
                <w:sz w:val="19"/>
                <w:szCs w:val="19"/>
                <w:color w:val="auto"/>
              </w:rPr>
            </w:pPr>
          </w:p>
        </w:tc>
        <w:tc>
          <w:tcPr>
            <w:tcW w:w="24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Philip A. Fain</w:t>
            </w:r>
          </w:p>
        </w:tc>
        <w:tc>
          <w:tcPr>
            <w:tcW w:w="520" w:type="dxa"/>
            <w:vAlign w:val="bottom"/>
            <w:gridSpan w:val="2"/>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920" w:type="dxa"/>
            <w:vAlign w:val="bottom"/>
            <w:gridSpan w:val="3"/>
          </w:tcPr>
          <w:p>
            <w:pPr>
              <w:ind w:left="180"/>
              <w:spacing w:after="0"/>
              <w:rPr>
                <w:sz w:val="20"/>
                <w:szCs w:val="20"/>
                <w:color w:val="auto"/>
              </w:rPr>
            </w:pPr>
            <w:r>
              <w:rPr>
                <w:rFonts w:ascii="Arial" w:cs="Arial" w:eastAsia="Arial" w:hAnsi="Arial"/>
                <w:sz w:val="18"/>
                <w:szCs w:val="18"/>
                <w:color w:val="auto"/>
                <w:w w:val="92"/>
              </w:rPr>
              <w:t>Chief Financial Officer and Treasurer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decimal"/>
      <w:start w:val="6"/>
    </w:lvl>
  </w:abstractNum>
  <w:abstractNum w:abstractNumId="8">
    <w:nsid w:val="1190CDE7"/>
    <w:multiLevelType w:val="hybridMultilevel"/>
    <w:lvl w:ilvl="0">
      <w:lvlJc w:val="left"/>
      <w:lvlText w:val="%1."/>
      <w:numFmt w:val="decimal"/>
      <w:start w:val="7"/>
    </w:lvl>
  </w:abstractNum>
  <w:abstractNum w:abstractNumId="9">
    <w:nsid w:val="66EF438D"/>
    <w:multiLevelType w:val="hybridMultilevel"/>
    <w:lvl w:ilvl="0">
      <w:lvlJc w:val="left"/>
      <w:lvlText w:val="%1."/>
      <w:numFmt w:val="decimal"/>
      <w:start w:val="8"/>
    </w:lvl>
  </w:abstractNum>
  <w:abstractNum w:abstractNumId="10">
    <w:nsid w:val="140E0F76"/>
    <w:multiLevelType w:val="hybridMultilevel"/>
    <w:lvl w:ilvl="0">
      <w:lvlJc w:val="left"/>
      <w:lvlText w:val="%1."/>
      <w:numFmt w:val="decimal"/>
      <w:start w:val="9"/>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2021-04-29T06:36:25Z</dcterms:created>
  <dcterms:modified xsi:type="dcterms:W3CDTF">2021-04-29T06:36:25Z</dcterms:modified>
</cp:coreProperties>
</file>