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0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 w:lineRule="exact"/>
        <w:rPr>
          <w:sz w:val="24"/>
          <w:szCs w:val="24"/>
          <w:color w:val="auto"/>
        </w:rPr>
      </w:pPr>
    </w:p>
    <w:p>
      <w:pPr>
        <w:ind w:left="34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-20320</wp:posOffset>
            </wp:positionV>
            <wp:extent cx="1345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ULTRALIFE CORPORATION</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(315) 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84" w:right="339" w:bottom="1440"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40" w:space="720"/>
            <w:col w:w="3500"/>
          </w:cols>
          <w:pgMar w:left="320" w:top="684" w:right="339" w:bottom="1440" w:gutter="0" w:footer="0" w:header="0"/>
          <w:type w:val="continuous"/>
        </w:sectPr>
      </w:pPr>
    </w:p>
    <w:p>
      <w:pPr>
        <w:spacing w:after="0" w:line="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2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37" w:lineRule="exact"/>
        <w:rPr>
          <w:sz w:val="24"/>
          <w:szCs w:val="24"/>
          <w:color w:val="auto"/>
        </w:rPr>
      </w:pPr>
    </w:p>
    <w:p>
      <w:pPr>
        <w:ind w:left="5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4" w:right="339" w:bottom="1440"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22, 2024, the registrant had 16,623,347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700" w:type="dxa"/>
            <w:vAlign w:val="bottom"/>
          </w:tcPr>
          <w:p>
            <w:pPr>
              <w:spacing w:after="0"/>
              <w:rPr>
                <w:sz w:val="17"/>
                <w:szCs w:val="17"/>
                <w:color w:val="auto"/>
              </w:rPr>
            </w:pPr>
          </w:p>
        </w:tc>
        <w:tc>
          <w:tcPr>
            <w:tcW w:w="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9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June 30, 2024 and December 31, 2023</w:t>
            </w:r>
          </w:p>
        </w:tc>
        <w:tc>
          <w:tcPr>
            <w:tcW w:w="5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920" w:type="dxa"/>
            <w:vAlign w:val="bottom"/>
            <w:shd w:val="clear" w:color="auto" w:fill="CCEEFF"/>
          </w:tcPr>
          <w:p>
            <w:pPr>
              <w:spacing w:after="0"/>
              <w:rPr>
                <w:sz w:val="17"/>
                <w:szCs w:val="17"/>
                <w:color w:val="auto"/>
              </w:rPr>
            </w:pPr>
          </w:p>
        </w:tc>
        <w:tc>
          <w:tcPr>
            <w:tcW w:w="9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and Comprehensive Income for the Three and Six-Month Periods Ended June 30, 2024 and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2023</w:t>
            </w:r>
          </w:p>
        </w:tc>
        <w:tc>
          <w:tcPr>
            <w:tcW w:w="5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Six-Month Periods Ended June 30, 2024 and June 30, 2023</w:t>
            </w:r>
          </w:p>
        </w:tc>
        <w:tc>
          <w:tcPr>
            <w:tcW w:w="5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920" w:type="dxa"/>
            <w:vAlign w:val="bottom"/>
            <w:shd w:val="clear" w:color="auto" w:fill="CCEEFF"/>
          </w:tcPr>
          <w:p>
            <w:pPr>
              <w:spacing w:after="0"/>
              <w:rPr>
                <w:sz w:val="17"/>
                <w:szCs w:val="17"/>
                <w:color w:val="auto"/>
              </w:rPr>
            </w:pPr>
          </w:p>
        </w:tc>
        <w:tc>
          <w:tcPr>
            <w:tcW w:w="9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Six-Month Periods Ended June 30, 2024 and June</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30, 2023</w:t>
            </w:r>
          </w:p>
        </w:tc>
        <w:tc>
          <w:tcPr>
            <w:tcW w:w="5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5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5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5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8"/>
                <w:szCs w:val="18"/>
                <w:color w:val="auto"/>
              </w:rPr>
            </w:pPr>
          </w:p>
        </w:tc>
      </w:tr>
      <w:tr>
        <w:trPr>
          <w:trHeight w:val="574"/>
        </w:trPr>
        <w:tc>
          <w:tcPr>
            <w:tcW w:w="9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$296 and $300, respectively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169,817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r>
      <w:tr>
        <w:trPr>
          <w:trHeight w:val="197"/>
        </w:trPr>
        <w:tc>
          <w:tcPr>
            <w:tcW w:w="8000" w:type="dxa"/>
            <w:vAlign w:val="bottom"/>
            <w:tcBorders>
              <w:top w:val="single" w:sz="8" w:color="CCEEFF"/>
            </w:tcBorders>
          </w:tcPr>
          <w:p>
            <w:pPr>
              <w:ind w:left="2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52,849</w:t>
            </w:r>
          </w:p>
        </w:tc>
      </w:tr>
      <w:tr>
        <w:trPr>
          <w:trHeight w:val="209"/>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21,059,461 shares at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2024 and 20,783,607 shares at December 31, 2023; outstanding – 16,623,347 shares at June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and 16,347,493 shares at December 31, 2023</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 at cost; 4,436,114 shares at June 30, 2024 and 4,436,114 shares at December 31, 2023</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r>
      <w:tr>
        <w:trPr>
          <w:trHeight w:val="209"/>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56,584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18,024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common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80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209"/>
        </w:trPr>
        <w:tc>
          <w:tcPr>
            <w:tcW w:w="800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borrowings on revolving credit facility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(In thousands except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0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0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of Par</w:t>
            </w:r>
          </w:p>
        </w:tc>
        <w:tc>
          <w:tcPr>
            <w:tcW w:w="13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5"/>
                <w:szCs w:val="15"/>
                <w:color w:val="auto"/>
              </w:rPr>
            </w:pPr>
          </w:p>
        </w:tc>
        <w:tc>
          <w:tcPr>
            <w:tcW w:w="9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20,570,710</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187,405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(47,951)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$ 116,403</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3,013</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 restricted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20,586,045</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187,758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(44,957)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$ 119,675</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20,783,607</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189,160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(40,754)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$ 125,427</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5,897</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-restricted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21,059,461</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191,388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(34,894)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$ 133,345</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20,570,710</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187,544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(48,297)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$ 116,404</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3,348</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-restricted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20,586,045</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187,758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(44,957)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$ 119,675</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20,887,446</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189,995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(3,892)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(37,863)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$ 128,945</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-restricted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21,059,461</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191,388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(34,894)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$ 133,345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2023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the Secured Overnight Financing Rate or “SOFR” (the “Third Amendment Agreement”). On June 30, 2024, Ultralife, SWE, CLB, UEHC, Excell USA and Excell Canada entered into that certain Fourth Amendment Agreement with KeyBank to extend the period under which loans may be requested by the Company under the Credit Agreement to May 30, 2028, to increase the “Applicable Margin” used in the calculation of the rate at which interest accrues on outstanding indebtedness under the Credit Agreement and to increase the fee payable on the average daily unused availability under the $30,000 senior secured revolving credit facility (the “Revolving Credit Facility”) which is made available to the Company under the Credit Agreement (the “Fourth Amendment Agreement”, and together with the Third Amendment Agreement, the Second Amendment Agreement and the Credit Agreement, the “Amended Credit Agreement”).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Revolving Credit Facility through May 30, 2028. Up to six months prior to May 30, 2028, the Revolving Credit Facility may be increased to $50,000 with the Bank’s concurrence.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$5,167 outstanding principal on the Term Loan Facility, $2,000 of which is included in current portion of long-term debt on the balance sheet, and $6,902 outstanding on the Revolving Credit Facility. As of June 30, 2024, total unamortized debt issuance costs of $91,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2028. The Company may voluntarily prepay principal amounts outstanding at any time subject to certain restrictions.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June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Amended Credit Agreement, interest accrues on outstanding indebtedness under the Amended Credit Facilities at the Daily Simple SOFR Rate, plus an index spread adjustment of 0.10%, plus the applicable margin. Upon the effectiveness of the Fourth Amendment Agreement, the applicable margin ranges from 210 to 240 basis points and is determined based on the Company’s senior leverage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must pay a fee of 0.20% to 0.30%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June 30, 2024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36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6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three-month period ended June 30, 2024, there were 873,898 outstanding stock options and 5,229 unvested restricted stock awards included in the calculation of diluted weighted average shares outstanding, as such securities were dilutive, resulting in 257,068 potential common shares included in the calculation of diluted EPS. For the comparable three-month period ended June 30, 2023, 4,166 outstanding stock options and 2,500 unvested restricted stock awards were included in the calculation of diluted weighted average shares outstanding, as such securities were dilutive, resulting in 2,334 potential common shares included in the calculation of diluted EPS. For the three-month period ended June 30, 2023, there were 1,289,862 outstanding stock options not included in the calculation of diluted weighted average shares outstanding as the effect would be anti-dilutive.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six-month period ended June 30, 2024, there were 795,898 outstanding stock options and 5,229 unvested restricted stock awards included in the calculation of diluted weighted average shares outstanding, resulting in 179,112 potential common shares included in the calculation of diluted EPS. For the comparable six-month period ended June 30, 2023, there were no outstanding stock options and 2,500 unvested restricted stock awards included in the calculation of diluted weighted average shares outstanding, resulting in 2,157 potential common shares included in the calculation of diluted EPS. There were 78,000 and 1,294,028 outstanding stock options for the six-month periods ended June 30, 2024 and 2023, respectively, not included in the calculation of diluted weighted average shares outstanding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640" w:firstLine="8"/>
        <w:spacing w:after="0" w:line="503" w:lineRule="auto"/>
        <w:tabs>
          <w:tab w:leader="none" w:pos="32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June 30, 2024 and December 31, 2023.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10,196</w:t>
            </w:r>
          </w:p>
        </w:tc>
      </w:tr>
      <w:tr>
        <w:trPr>
          <w:trHeight w:val="216"/>
        </w:trPr>
        <w:tc>
          <w:tcPr>
            <w:tcW w:w="50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7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r>
      <w:tr>
        <w:trPr>
          <w:trHeight w:val="20"/>
        </w:trPr>
        <w:tc>
          <w:tcPr>
            <w:tcW w:w="500" w:type="dxa"/>
            <w:vAlign w:val="bottom"/>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December 31, 2023, restricted cash of $82 represented euro-denominated deposits withheld by the Dutch tax authorities and third-party VAT representatives in connection with a previously utilized logistics arrangement in the Netherlands. During the period ended June 30, 2024, the deposits were returned to the Company and no longer restricted. As of June 30, 2024, there was no cash classified as restricted cash. Restricted cash as of December 31, 2023 is included as a component of the cash balance for purposes of the consolidated statements of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29,848</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40" w:type="dxa"/>
            <w:vAlign w:val="bottom"/>
            <w:tcBorders>
              <w:left w:val="single" w:sz="8" w:color="CCEEFF"/>
            </w:tcBorders>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57,494</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87,302</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19"/>
                <w:szCs w:val="19"/>
                <w:color w:val="auto"/>
              </w:rPr>
            </w:pPr>
          </w:p>
        </w:tc>
        <w:tc>
          <w:tcPr>
            <w:tcW w:w="62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340" w:type="dxa"/>
            <w:vAlign w:val="bottom"/>
            <w:tcBorders>
              <w:left w:val="single" w:sz="8" w:color="CCEEFF"/>
            </w:tcBorders>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2460" w:type="dxa"/>
            <w:vAlign w:val="bottom"/>
            <w:gridSpan w:val="10"/>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6"/>
                <w:szCs w:val="16"/>
                <w:color w:val="auto"/>
              </w:rPr>
            </w:pPr>
          </w:p>
        </w:tc>
        <w:tc>
          <w:tcPr>
            <w:tcW w:w="1000" w:type="dxa"/>
            <w:vAlign w:val="bottom"/>
            <w:tcBorders>
              <w:top w:val="single" w:sz="8" w:color="auto"/>
            </w:tcBorders>
            <w:gridSpan w:val="5"/>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5"/>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1,529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six-month period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37,510</w:t>
            </w:r>
          </w:p>
        </w:tc>
        <w:tc>
          <w:tcPr>
            <w:tcW w:w="24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at June 30, 2024</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6,956</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6,131</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3,944</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14,646</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6,656</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13,140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2023 to June 30, 2024 is the effect of foreign currency translations.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STOCK-BASED COMPENSATION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June 30, 2024, there was $545 of total unrecognized compensation cost related to outstanding stock options, which is expected to be recognized over a weighted average period of 1.0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six-month period ended June 30, 2024:</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(91,482)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873,898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775,281</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7.00</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2024</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417,867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7.56</w:t>
            </w:r>
          </w:p>
        </w:tc>
        <w:tc>
          <w:tcPr>
            <w:tcW w:w="14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32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June 30, 2024 and June 30, 2023 was $1,251 and $62, respectively. Cash received from stock option exercises under our stock-based compensation plans for the six-month periods ended June 30, 2024 and June 30, 2023 was $1,936 and $62,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shares at June 30, 2024 and June 30, 2023, respectively, was $25 and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six-month periods ended June 30, 2024 and June 30, 2023 was 20.9% and 29.2%, respectively. The period-over-period change was primarily attributable to the geographic mix of our operating results and the larger impact of discrete adjustments for stock option exercises in the current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have domestic net operating loss (“NOL”) carryforwards of $27,200, which expire 2031 through 2035, and domestic tax credits of $2,900, which expire 2028 through 2043, available to reduce future taxable income. As of June 30, 2024,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for certain past operations in the U.K., we continue to report a valuation allowance for NOL carryforwards of approximately $9,800,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June 30, 2024 and December 31,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2020 thru 2022 remain subject to IRS examination. Our U.S. tax matters for 2001-2002, 2005-2007, 2009, and 2011-2015 also remain subject to IRS examination due to the remaining availability of net operating loss carryforwards generated in those years. Our U.S. tax matters for 2013 thru 2022 remain subject to examination by various state and local tax jurisdictions. Our tax matters for the years 2013 thru 2022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June 30, 2024, the remaining lease terms on our operating leases range from approximately less than one (1) year to seven (7)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92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2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92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Six-month period ended June 30,</w:t>
            </w:r>
          </w:p>
        </w:tc>
      </w:tr>
      <w:tr>
        <w:trPr>
          <w:trHeight w:val="209"/>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1,391</w:t>
            </w:r>
          </w:p>
        </w:tc>
        <w:tc>
          <w:tcPr>
            <w:tcW w:w="64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21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4,325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as of June 30, 2024 are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34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ind w:right="7580" w:firstLine="8"/>
        <w:spacing w:after="0" w:line="503" w:lineRule="auto"/>
        <w:tabs>
          <w:tab w:leader="none" w:pos="324"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rPr>
          <w:sz w:val="20"/>
          <w:szCs w:val="20"/>
          <w:color w:val="auto"/>
        </w:rPr>
      </w:pPr>
      <w:r>
        <w:rPr>
          <w:rFonts w:ascii="Times New Roman" w:cs="Times New Roman" w:eastAsia="Times New Roman" w:hAnsi="Times New Roman"/>
          <w:sz w:val="18"/>
          <w:szCs w:val="18"/>
          <w:color w:val="auto"/>
        </w:rPr>
        <w:t>As of June 30, 2024, we have made commitments to purchase approximately $779 of production machinery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2024 and 2023 were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Six-month period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73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Pr>
          <w:p>
            <w:pPr>
              <w:spacing w:after="0"/>
              <w:rPr>
                <w:sz w:val="18"/>
                <w:szCs w:val="18"/>
                <w:color w:val="auto"/>
              </w:rPr>
            </w:pPr>
          </w:p>
        </w:tc>
        <w:tc>
          <w:tcPr>
            <w:tcW w:w="126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 For the three-month and six-month periods ended June 30, 2024, revenue recognized on extended warranties was $71 and $143,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deferred revenue on extended warranty contracts of $1,264, comprised of $287 expected to be recognized as revenue within one (1) year and classified as accrued expenses and other current liabilities on our consolidated balance sheet, and $977 expected to be recognized as revenue over the remaining duration of the respective contracts and classified as other noncurrent liabilities on our consolidated balance sheet.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deferred revenue on extended warranty contracts of $1,407, comprised of $287 expected to be recognized as revenue within one (1) year and classified as accrued expenses and other current liabilities on our consolidated balance sheet, and $1,120 expected to be recognized as revenue evenly over the remaining duration of the respective contracts and classified as other noncurrent liabilities on our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Corporate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42,983</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9,953</w:t>
            </w:r>
          </w:p>
        </w:tc>
        <w:tc>
          <w:tcPr>
            <w:tcW w:w="12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w:t>
            </w: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33,861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8,831</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42,692</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71,672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13,238</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84,910</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5,860</w:t>
            </w: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4"/>
                <w:szCs w:val="24"/>
                <w:color w:val="auto"/>
              </w:rPr>
            </w:pPr>
          </w:p>
        </w:tc>
        <w:tc>
          <w:tcPr>
            <w:tcW w:w="11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62,331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74,608</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14,055</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(14,333)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Three-month period ended June 30, 2024:</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36,683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27,664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9,019</w:t>
            </w:r>
          </w:p>
        </w:tc>
      </w:tr>
      <w:tr>
        <w:trPr>
          <w:trHeight w:val="216"/>
        </w:trPr>
        <w:tc>
          <w:tcPr>
            <w:tcW w:w="9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r>
      <w:tr>
        <w:trPr>
          <w:trHeight w:val="20"/>
        </w:trPr>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27,664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15,319</w:t>
            </w:r>
          </w:p>
        </w:tc>
      </w:tr>
      <w:tr>
        <w:trPr>
          <w:trHeight w:val="20"/>
        </w:trPr>
        <w:tc>
          <w:tcPr>
            <w:tcW w:w="98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i w:val="1"/>
                <w:iCs w:val="1"/>
                <w:color w:val="auto"/>
              </w:rPr>
              <w:t>%</w:t>
            </w:r>
          </w:p>
        </w:tc>
      </w:tr>
      <w:tr>
        <w:trPr>
          <w:trHeight w:val="412"/>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Three-month period ended June 30, 2023: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4"/>
        </w:trPr>
        <w:tc>
          <w:tcPr>
            <w:tcW w:w="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33,861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6,911</w:t>
            </w:r>
          </w:p>
        </w:tc>
      </w:tr>
      <w:tr>
        <w:trPr>
          <w:trHeight w:val="216"/>
        </w:trPr>
        <w:tc>
          <w:tcPr>
            <w:tcW w:w="9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8,831</w:t>
            </w:r>
          </w:p>
        </w:tc>
      </w:tr>
      <w:tr>
        <w:trPr>
          <w:trHeight w:val="20"/>
        </w:trPr>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5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15,742</w:t>
            </w:r>
          </w:p>
        </w:tc>
      </w:tr>
      <w:tr>
        <w:trPr>
          <w:trHeight w:val="20"/>
        </w:trPr>
        <w:tc>
          <w:tcPr>
            <w:tcW w:w="98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i w:val="1"/>
                <w:iCs w:val="1"/>
                <w:color w:val="auto"/>
              </w:rPr>
              <w:t>%</w:t>
            </w:r>
          </w:p>
        </w:tc>
      </w:tr>
    </w:tbl>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Six-month period ended June 30, 2024:</w:t>
      </w:r>
    </w:p>
    <w:p>
      <w:pPr>
        <w:sectPr>
          <w:pgSz w:w="11900" w:h="16838" w:orient="portrait"/>
          <w:cols w:equalWidth="0" w:num="1">
            <w:col w:w="11080"/>
          </w:cols>
          <w:pgMar w:left="320" w:top="57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Six-month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44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71,672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51,804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19,868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13,238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84,910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49,169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13,162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12,277</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74,608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-1871345</wp:posOffset>
            </wp:positionV>
            <wp:extent cx="64122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-1588135</wp:posOffset>
            </wp:positionV>
            <wp:extent cx="641223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-593725</wp:posOffset>
            </wp:positionV>
            <wp:extent cx="64122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-311150</wp:posOffset>
            </wp:positionV>
            <wp:extent cx="641223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540"/>
          </w:cols>
          <w:pgMar w:left="320" w:top="576"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U.S. and Non-U.S. Revenue Information</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u w:val="single" w:color="auto"/>
          <w:color w:val="auto"/>
        </w:rPr>
        <w:t>:</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Three-month period ended June 30, 2024: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Three-month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Six-month period ended June 30,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Six-month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36,683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19,412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17,271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3,987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09"/>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42,983</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33,861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17,394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16,467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09"/>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42,692</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71,672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39,015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32,657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13,238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8,845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84,910</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91"/>
        </w:trPr>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31,162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31,169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6,822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09"/>
        </w:trPr>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74,608</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-4425950</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-4142740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-3148330</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-2865755</wp:posOffset>
            </wp:positionV>
            <wp:extent cx="641223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-1871345</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-1588135</wp:posOffset>
            </wp:positionV>
            <wp:extent cx="641223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-593725</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-311150</wp:posOffset>
            </wp:positionV>
            <wp:extent cx="641223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260" w:space="720"/>
            <w:col w:w="5080"/>
          </w:cols>
          <w:pgMar w:left="320" w:top="580" w:right="519" w:bottom="1440" w:gutter="0" w:footer="0" w:header="0"/>
        </w:sectPr>
      </w:pPr>
    </w:p>
    <w:p>
      <w:pPr>
        <w:ind w:left="5540" w:right="1960" w:hanging="5532"/>
        <w:spacing w:after="0" w:line="372" w:lineRule="auto"/>
        <w:tabs>
          <w:tab w:leader="none" w:pos="126"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our reliance on certain key customers; reductions or delays in U.S. and foreign military spending; our efforts to develop new products or new commercial applications for our products; potential disruptions in our supply of raw materials and components; breaches in information systems security and other disruptions in our information technology systems; our ability to recruit and retain top management and key personnel; our resources being overwhelmed by our growth; the continued impact of COVID-19, or other pandemics that may arise, causing delays in the manufacture and delivery of our mission critical products to end customers; the unique risks associated with our China operations; fluctuations in the price of oil and the resulting impact on the demand for downhole drilling; possible future declines in demand for the products that use our batteries or communications systems; variability in our quarterly and annual results and the price of our common stock; safety risks, including the risk of fire;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ability to utilize our net operating loss carryforwards; our exposure to foreign currency fluctuations; possible impairments of our goodwill and other intangible assets;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2023.</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HiRate®, Ultralife Thin Cell®, Ultralife Batteries Inc.®,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ACCUPRO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ENTELLION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Southwest Electronic Energy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SEASAFE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Excell Battery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Criterion Gauge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brands, among others. We have sales, operations and product development facilities in North America, Europe and Asia.</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in Item 1 of Part 1 of this Form 10-Q.)</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revenues of $42,983 for the three-month period ended June 30, 2024, increased by $291 or 0.7%, over $42,692 for the three-month period ended June 30, 2023. Sales for our Battery &amp; Energy Products segment increased 8.3% from $33,861 in the second quarter of 2023 to $36,683 for the second quarter of 2024, and sales for our Communications Systems segment decreased 28.6% from $8,831 to $6,300.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$11,563, or 26.9% of revenue, for the three-month period ended June 30, 2024, compared to $10,588, or 24.8% of revenue, for the same quarter a year ago. The 210-basis point improvement primarily resulted from higher factory volume and efficiencies resulting from our concerted effort to level-load production more evenly across the 2024 quarter, as well as improved price realization for our Battery &amp; Energy Products segment, partially offset by a less favorable product sales mix for our Communications Systems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to $7,646 for the three-month period ended June 30, 2024, compared to $6,923 for the three-month period ended June 30, 2023. The increase of $723 or 10.4% was primarily attributable to investments in new product development, the addition of experienced sales resources and higher executive variable compensation costs accrued in the second quarter of 2024. Operating expenses represented 17.8% of revenues compared to 16.2% of revenues for the year-earlier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for the three-month period ended June 30, 2024 was $3,917, or 9.1% of revenues, compared to $3,665, or 8.6% of revenues, for the year-earlier period. The increase in operating income primarily resulted from the 210-basis point improvement in gross margin.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income for the second quarter of 2024 includes a preliminary payment of $235 from our insurance carrier pertaining to the ransomware cyberattack experienced by the Company in the first quarter of 2023. Other income for the second quarter of 2023 includes $1,544 attributable to an Employee Retention Credit (“ERC”) of under Section 2301 of the Coronavirus Aid, Relief and Economic Security Act which was filed with the Internal Revenue Service during that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Ultralife Corporation was $2,969 or $0.18 per diluted share on a GAAP basis, compared to net income of $3,340 or 0.21 per diluted share for the second quarter of 2023. Adjusted EPS was $0.22 on a diluted basis for the second quarter of 2024, compared to $0.29 for the 2023 period. Adjusted EPS excludes the provision for deferred taxes of $744 which primarily represents non-cash charges for U.S. taxes which we expect will be fully offset by net operating loss carryforwards and other tax credits for the foreseeable future. Recognition of the ERC in the second quarter of 2023 increased GAAP and Adjusted EPS by $0.07 and $0.10, respectively for that period. See the section “Adjusted EPS” on Page 24 for a reconciliation of adjusted EPS to EPS.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Corporation before net interest expense, provision (benefit) for income taxes, depreciation and amortization, and stock-based compensation expense, plus/minus expenses/income that we do not consider reflective of our ongoing operations, amounted to $5,415, or 12.6% of revenues, for the second quarter of 2024, compared to $6,296 including $1,544 for the ERC, or 14.7% of revenues, for the second quarter of 2023. See the section “Adjusted EBITDA” beginning on page 22 for a reconciliation of adjusted EBITDA to net income (loss) attributable to Ultralife Corporation.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main priorities continue to be gross margin increases through focused initiatives on material deflation, lean productivity, and scrap reduction for both businesses, and growing our opportunity funnels and customer wins to continue fueling our growth. We remain optimistic that we are well positioned to sustain profitable growth, generate incremental cash flow to further reduce our debt, and invest in strategic capital expenditures and accretive acquisitions.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June 30, 2024 and June 30, 2023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June 30, 2024 were $42,983, an increase of $291, or 0.7%, over $42,692 for the three-month period ended June 30, 2023. Overall, commercial sales increased 2.6% and government/defense sales decreased 2.7%.</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Battery &amp; Energy Products revenues increased $2,822, or 8.3%, from $33,861 for the three-month period ended June 30, 2023 to $36,683 for the three-month period ended June 30, 2024, the highest revenue quarter for the segment in the Company’s history. The revenue growth was primarily attributable to an increase in government/defense sales of 30.5% reflecting strong demand from our U.S.-based global prime, and an increase in commercial sales of 2.6% reflecting medical market sales growth of 20.1%, partially offset by a 10.9% decline in oil &amp; gas market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Systems sales decreased $2,531, or 28.7%, from $8,831 for the three-month period ended June 30, 2023 to $6,300 for the three-month period ended June 30, 2024. The decrease was primarily attributable to shipments in the 2023 period of vehicle-amplifier adaptor orders to a global defense contractor for the U.S. Army and of integrated systems of amplifiers and radio vehicle mounts to a major international defense contractor for an ongoing allied country government/defense modernization program which had been delayed from earlier periods due to supply chain disruptions.</w:t>
      </w: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$31,420 for the quarter ended June 30, 2024, a decrease of $684, or 2.1%,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$32,104 reported for the three-month period ended June 30, 2023. Consolidated cost of products sold as a percentage of total revenue decreased from 75.2% for the three-month period ended June 30, 2023 to 73.1% for the three-month period ended June 30, 2024. Correspondingly, consolidated gross margin increased from 24.8% for the three-month period ended June 30, 2023, to 26.9% for the three-month period ended June 30, 2024, primarily reflecting higher factory volume and efficiencies resulting from our concerted effort to level-load production more evenly across the 2024 quarter, as well as improved price realization for our Battery &amp; Energy Products segment, partially offset by a less favorable product sales mix for our Communications Systems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second quarter of 2024 was $9,953, an increase of $2,410 or 32.0% from gross profit of $7,543 for the second quarter of 2024. Battery &amp; Energy Products’ gross margin of 27.1% increased by 480-basis points from the 22.3% gross margin for the year-earlier period, primarily due to higher cost absorption and more efficiencies resulting from a concerted effort to level-load production more evenly across the 2024 quarter, as well as improved price realization. The 2023 period was impacted by lingering inefficiencies resulting from the January 2023 cyberattack, disposition of certain non-conforming materials and higher material and logistics costs.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second quarter of 2024 was $1,610 or 25.6% of revenues, compared to gross profit of $3,045 or 34.5% of revenues for the second quarter of 2023. The decrease in gross margin was primarily due to a more favorable product sales mix in the year-earlier period.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June 30, 2024 were $7,646, an increase of $723, or 10.4%, from the $6,923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June 30, 2023. The increase was primarily attributable to investments in new product development, the addition of experienced sales resources and higher executive variable compensation costs accrued in the second quarter of 2024.</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were 17.8% of revenue for the quarter ended June 30, 2024 compared to 16.2% of revenue for the quarter ended June 30, 2023. Amortization expense associated with intangible assets related to our acquisitions was $227 for the second quarter of 2024 ($202 in selling, general and administrative expenses and $25 in research and development costs), identical to the $227 for the second quarter of 2023 ($203 in selling, general, and administrative expenses and $24 in research and development costs). Research and development costs were $1,997 for the three-month period ended June 30, 2024, an increase of $219 or 12.3%, from $1,778 for the three-month period ended June 30, 2023. The increase is largely attributable to the timing of new product development in both of our businesses as we aggressively pursue both government/defense major programs and commercial opportunities. Selling, general, and administrative expenses were $5,649 for the three-month period ended June 30, 2024, an increase of $504 or 9.8% from $5,145 for the second quarter of 2023. The period over period increase was primarily attributable to higher executive variable compensation costs accrued in the second quarter of 2024 as well as the addition of experienced sales resources.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(Expense) Income. </w:t>
      </w:r>
      <w:r>
        <w:rPr>
          <w:rFonts w:ascii="Times New Roman" w:cs="Times New Roman" w:eastAsia="Times New Roman" w:hAnsi="Times New Roman"/>
          <w:sz w:val="18"/>
          <w:szCs w:val="18"/>
          <w:color w:val="auto"/>
        </w:rPr>
        <w:t>Other (expense) income totaled $(71) for the three-month period ended June 30, 2024 compared to $1,058 for the three-month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ended June 30, 2023. Other income for the second quarter of 2024 includes a preliminary payment of $235 from our insurance carrier pertaining to the ransomware cyberattack experienced by the Company in the first quarter of 2023. Other income for the second quarter of 2023 includes $1,544 attributable to an Employee Retention Credit (“ERC”) claimed by the Company under Section 2301 of the Coronavirus Aid, Relief and Economic Security Act. Interest and financing expense decreased $22, or 5.1%, from ($440) for the second quarter of 2023 to ($418) for the comparable period in 2024. The decrease is due to the paydown of debt in the second quarter of 2024. Excluding the $235 gain on insurance proceeds, miscellaneous income was $112 for the second quarter of 2024 and excluding the $1,544 gain for the ERC, miscellaneous income (expense) amounted to ($46) for the second quarter of 2023, primarily attributable to foreign exchange gains and loss due to fluctuations in foreign currency exchange rates.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June 30, 2024, Ultralife recognized an income tax provision of $853, comprised of a current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$109 expected to be paid on income primarily in foreign jurisdictions and a deferred tax provision of $744 which primarily represents non-cash charges for U.S. taxes which we expect will be fully offset by net operating loss carryforwards and other tax credits for the foreseeable future. This compares to a tax provision of $1,375 comprised of a current provision of $97 and deferred expense of $1,278 for the three-month period ended June 30, 2023. Our effective tax rate was 22.2% for the second quarter of 2024 as compared to 29.1% for the second quarter of 2023, primarily attributable to the geographic mix of our operating results and the larger impact of discrete adjustments for employee stock option exercises in the current year. See Note 6 to the consolidated financial statements in Item 1 of Part I of this Form 10-Q for additional information regarding our income taxes.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$2,969 or $0.18 per share – basic and diluted on a GAAP basis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June 30, 2024 compared to $3,340, or $0.21 per share – basic and diluted for the three-month period ended June 30, 2023. Adjusted EPS was $0.22 on a diluted basis for the second quarter of 2024, compared to $0.29 for the second quarter of 2023. Adjusted EPS excludes the provision for deferred taxes of $744 and $1,278 for the 2024 and 2023 periods, respectively, which primarily represent non-cash charges for U.S. taxes which we expect will be fully offset by net operating loss carryforwards and other tax credits for the foreseeable future. Recognition of the ERC in the second quarter of 2023 increased GAAP and Adjusted EPS by $0.07 and $0.10, respectively for that period. See the section “Adjusted EPS” on Page 24 for a reconciliation of adjusted EPS to EPS.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Weighted average shares outstanding used to compute diluted earnings per share decreased from 16,143,686 for the second quarter of 2023 to 16,825,321 for the second quarter of 2024. The increase is attributable to stock option exercises since the second quarter of 2023 and an increase in the average stock price used to compute diluted shares from $4.52 for the second quarter of 2023 to $10.65 for the second quarter of 2024. Accordingly, dilutive shares of 2,334 were added to basic weighted average shares for the 2023 period compared to 257,068 for the 2024 period.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 Periods Ended June 30, 2024 and June 30,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six-month period ended June 30, 2024 were $84,910, an increase of $10,302, or 13.8%, over $74,608 for the six-month period ended June 30, 2023. Overall, government/defense sales increased $7,667 or 30.1% and commercial sales increased $2,635 or 5.4%. On January 25, 2023, the Company experienced a ransomware cyberattack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the quarter was devoted to data restoration, systems security augmentation, and regulatory reporting of the cyberattack, all of which were successfully accomplished with no ransom paid. Management continues to work on its cybersecurity insurance claim covering the cost of engaging external cybersecurity experts and the business interruption impact.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Battery &amp; Energy Products revenues increased $9,341, or 15.0%, from $62,331 for the six-month period ended June 30, 2023 to $71,672 for the six-month period ended June 30, 2024. The increase was attributable to a $6,706 or 50.9% increase in government/defense sales and a $2,635 or 5.4% increase in commercial sales. The increase in government/defense sales primarily reflects continued strong demand from our largest U.S.-based global prime. The growth in commercial sales was driven by a $5,266 or 33.3% increase in medical sales due to continuing surging demand for our core medical battery products from global medical device OEM’s and a $96 or 0.8% increase in industrial sales, partially offset by a decrease of $2,727 or 12.4% in oil &amp; gas sales due primarily to general economic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Systems revenues increased $961 or 7.8%, from $12,277 for the six-month period ended June 30, 2023 to $13,238 for the six-month period ended June 30, 2024. This increase was primarily attributable to shipments of EL8000 server cases to a large multinational information technology company, integrated systems of amplifiers and radio vehicle mounts to a major international defense contractor under an ongoing allied country government/defense modernization program, and power systems to a U.S.-based global prime.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six-month period ended June 30, 2024 were $15,053, an increase of $720 or 5.0% from the $14,333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six-month period ended June 30, 2023. The increase is primarily attributable to commissions on higher sales, greater participation in trade shows and higher executive variable compensation costs accrued in the first half of 2024. Both periods reflected continued tight control over discretionary spending.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17.7% for the six-month period ended June 30, 2024 compared to 19.2% for the six-month period ended June 30, 2023. Amortization expense associated with intangible assets related to our acquisitions was $455 for the first six months of 2023 ($405 in selling, general and administrative expenses and $50 in research and development costs), compared with $436 for the first six months of 2023 ($388 in selling, general, and administrative expenses and $48 in research and development costs). Research and development costs were $3,753 for the six-month period ended June 30, 2024, a decrease of $57 or 1.5%, from $3,810 for the six-months ended June 30, 2023. Selling, general, and administrative expenses increased $777, or 7.4%, from $10,523 for the first six months of 2023 to $11,300 for the first six months of 2024. The increase primarily resulted from commissions on higher sales, greater participation in trade shows and higher executive variable compensation costs accrued in the first half of 2024.</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(Expense) Income. </w:t>
      </w:r>
      <w:r>
        <w:rPr>
          <w:rFonts w:ascii="Times New Roman" w:cs="Times New Roman" w:eastAsia="Times New Roman" w:hAnsi="Times New Roman"/>
          <w:sz w:val="18"/>
          <w:szCs w:val="18"/>
          <w:color w:val="auto"/>
        </w:rPr>
        <w:t>Other (expense) income totaled ($527) for the six-month period ended June 30, 2024 compared to $564 for the six-month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2023. Other income (expense) for the 2024 period includes a preliminary payment of $235 from our insurance carrier pertaining to the cyberattack experienced by the Company in the first quarter of 2023, and other income for the 2023 period includes $1,544 attributable to an ERC claimed by the Company under Section 2301 of the Coronavirus Aid, Relief and Economic Security Act. Interest and financing expense increased $74, or 8.6%, from ($864) for the first six months of 2023 to ($938) for the comparable period in 2024. The increase is primarily due to rising interest rates which was partially offset by reductions of debt primarily during May and June of 2024. Excluding the $235 gain on insurance proceeds in 2024, miscellaneous income (expense) was $176, and excluding the $1,544 ERC gain in the 2023 period, miscellaneous income (expense) amounted to ($116), primarily attributable to foreign exchange gains and loss due to fluctuations in foreign currency exchange rates.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income tax provision for the 2024 six-month period was $1,556 compared to $1,242 for the 2023 six-month period. Our effective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decreased to 20.9% from 29.2% for the 2023 period, primarily due to the geographic mix of our operating results and the larger impact of discrete adjustments for employee stock option exercises in the current period. The income tax provision for the first six months of 2024 is comprised of a $162 current provision for taxes expected to be paid on income primarily in foreign jurisdictions, representing a cash-based effective tax rate of 2.0%, and a $1,394 deferred tax provision which primarily represents non-cash charges for U.S. taxes which we expect will be fully offset by net operating loss carryforwards and other tax credits for the foreseeable future. For the comparable 2023 period, the income tax provision was comprised of a $354 current provision for taxes expected to be paid on income primarily in foreign jurisdictions, representing a cash-based effective tax rate of 8.3%, and an $888 deferred tax provision which primarily represents non-cash charges for U.S. taxes that we expect will be fully offset by net operating loss carryforwards and other tax credits for the foreseeable future. The period over period change in the cash-based effective tax rate is primarily attributable to the geographic mix of our operating results. See Note 6 to the consolidated financial statements in Item 1 of Part I of this Form 10-Q for additional information regarding our income taxes.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$5,860, or $0.36 per share – basic $0.35 per share - diluted on a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for the six-month period ended June 30, 2024, compared to $2,994, or $0.19 per share – basic and diluted, for the six-month period ended June 30, 2023. Adjusted EPS was $0.44 on a diluted basis for the 2024 period, compared to $0.24, for the 2023 period. Adjusted EPS excludes the provision for deferred taxes of $1,394 and $888 for the 2024 and 2023 periods, respectively, which primarily represents non-cash charges for U.S. taxes which we expect will be fully offset by net operating loss carryforwards and other tax credits for the foreseeable future. See the section “Adjusted EPS” on Page 24 for a reconciliation of adjusted EPS to EPS.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 average shares outstanding used to compute diluted earnings per share increased from 16,140,528 for the first six-months of 2023 to 16,661,175 for the first six-months of 2024. The increase is attributable to stock option exercises since the second quarter of 2023 and an increase in the average stock price used to compute diluted shares from $4.25 for the six-month period ended June 30, 2023 to $9.41 for the six-month period ended June 30, 2024. Accordingly diluted shares of 179,112 were added to basic weighted average shares in 2024 compared to 2,157 in 2023.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Cybersecurity insurance policy deductible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7,451</w:t>
            </w:r>
          </w:p>
        </w:tc>
      </w:tr>
      <w:tr>
        <w:trPr>
          <w:trHeight w:val="413"/>
        </w:trPr>
        <w:tc>
          <w:tcPr>
            <w:tcW w:w="450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EPS, a non-GAAP financial measure, as a supplemental measure of our business performance. We define adjusted EPS as net income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Three-Month Period Ended</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197"/>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16,144</w:t>
            </w:r>
          </w:p>
        </w:tc>
      </w:tr>
      <w:tr>
        <w:trPr>
          <w:trHeight w:val="432"/>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5,860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16,141</w:t>
            </w: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cash totaled $6,690, as compared to $10,278 at December 31, 2023. The decrease reflects a $13,679 reduction in our outstanding debt, largely offset by strong income and cash generation during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six-month period ended June 30, 2024, cash generated from operations was $8,844, as compared to $386 generated for the six-month period ended June 30, 2023. For the 2024 period, cash generated from operations was comprised of net income of $5,897 plus non-cash items totaling $3,730 for depreciation, amortization, stock-based compensation, and deferred taxes, partially offset by $783 attributable to working capital.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2023 was $732 for capital expenditures, primarily reflecting investments in equipment for new products transitioning to higher-volume manufacturing.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$11,743, representing a $13,679 reduction in our outstanding debt, partially offset by $1,936 in cash generated from employee stock option exercise proceeds during the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6 to the consolidated financial statements of this Form 10-Q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During the grace period afforded by Rule 415(a)(5) under the Securities Act of 1933, as amended (the “Securities Act”), we may offer and sell the Unsold Securities under the Prior Registration Statement until the SEC declares the New Registration Statement effective. Pursuant to Rule 415(a)(6) under the Securities Act, the offering of the Unsold Securities under the Prior Registration Statement will be deemed terminated as of the date of effectiveness of the New Registration Statement. Upon the filing of an appropriate prospectus supplement or supplements under either the Prior Registration Statement, or upon its effectiveness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$6,902 outstanding borrowings on the Revolving Credit Facility and $5,167 on the Term Loan Facility. The Company was in full compliance with all covenants under the Credit Facilities as of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made commitments to purchase approximately $779 of production machinery and equipment.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2023 Annual Report on Form 10-K should be reviewed for a greater understanding of how our financial performance is recorded and reported.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there were no significant changes in the manner in which our significant accounting policies were applied or in which related assumptions and estimates were developed.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 w:type="dxa"/>
            <w:vAlign w:val="bottom"/>
          </w:tcPr>
          <w:p>
            <w:pPr>
              <w:spacing w:after="0"/>
              <w:rPr>
                <w:sz w:val="20"/>
                <w:szCs w:val="20"/>
                <w:color w:val="auto"/>
              </w:rPr>
            </w:pPr>
          </w:p>
        </w:tc>
        <w:tc>
          <w:tcPr>
            <w:tcW w:w="67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8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Index</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22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9"/>
        </w:trPr>
        <w:tc>
          <w:tcPr>
            <w:tcW w:w="340" w:type="dxa"/>
            <w:vAlign w:val="bottom"/>
          </w:tcPr>
          <w:p>
            <w:pPr>
              <w:spacing w:after="0"/>
              <w:rPr>
                <w:sz w:val="14"/>
                <w:szCs w:val="14"/>
                <w:color w:val="auto"/>
              </w:rPr>
            </w:pPr>
          </w:p>
        </w:tc>
        <w:tc>
          <w:tcPr>
            <w:tcW w:w="6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60" w:type="dxa"/>
            <w:vAlign w:val="bottom"/>
            <w:tcBorders>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w w:val="99"/>
              </w:rPr>
              <w:t>Fourth Amendment Agreement, dated June 30, 2024, by and among Ultralife</w:t>
            </w:r>
          </w:p>
        </w:tc>
        <w:tc>
          <w:tcPr>
            <w:tcW w:w="7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32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Corporation, Southwest Electronic Energy Corporation, CLB, Inc., Ultralife Excell</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 Corp., Ultralife Canada Holding Corp., Excell Battery Corporation USA,</w:t>
            </w:r>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Excell Battery Canada ULC and KeyBank National Association</w:t>
            </w:r>
          </w:p>
        </w:tc>
        <w:tc>
          <w:tcPr>
            <w:tcW w:w="17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196"/>
        </w:trPr>
        <w:tc>
          <w:tcPr>
            <w:tcW w:w="96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29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6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CFO Certifications</w:t>
            </w:r>
          </w:p>
        </w:tc>
        <w:tc>
          <w:tcPr>
            <w:tcW w:w="29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6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22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2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r>
    </w:tbl>
    <w:p>
      <w:pPr>
        <w:spacing w:after="0" w:line="19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June 30, 2024 and December 31, 2023, (ii) Consolidated Statements of Income and Comprehensive Income for the three and six months ended June 30, 2024 and 2023, (iii) Consolidated Statements of Cash Flows for the six months ended June 30, 2024 and 2023, (iv) Consolidated Statements of Changes in Stockholders’ Equity for the three and six months ended June 30, 2024 and 2023, and (v)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r>
      <w:tr>
        <w:trPr>
          <w:trHeight w:val="237"/>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640" w:type="dxa"/>
            <w:vAlign w:val="bottom"/>
          </w:tcPr>
          <w:p>
            <w:pPr>
              <w:spacing w:after="0"/>
              <w:rPr>
                <w:sz w:val="20"/>
                <w:szCs w:val="20"/>
                <w:color w:val="auto"/>
              </w:rPr>
            </w:pPr>
          </w:p>
        </w:tc>
      </w:tr>
      <w:tr>
        <w:trPr>
          <w:trHeight w:val="39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920" w:type="dxa"/>
            <w:vAlign w:val="bottom"/>
            <w:gridSpan w:val="4"/>
          </w:tcPr>
          <w:p>
            <w:pPr>
              <w:ind w:left="166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4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1"/>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920" w:type="dxa"/>
            <w:vAlign w:val="bottom"/>
            <w:gridSpan w:val="4"/>
          </w:tcPr>
          <w:p>
            <w:pPr>
              <w:ind w:left="166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4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28</w:t>
            </w: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FOURTH AMENDMENT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Fourth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this [___] day of June, 2024, by and among ULTRALIFE CORPORATION, a Delaware corporation (“</w:t>
      </w:r>
      <w:r>
        <w:rPr>
          <w:rFonts w:ascii="Times New Roman" w:cs="Times New Roman" w:eastAsia="Times New Roman" w:hAnsi="Times New Roman"/>
          <w:sz w:val="18"/>
          <w:szCs w:val="18"/>
          <w:u w:val="single" w:color="auto"/>
          <w:color w:val="auto"/>
        </w:rPr>
        <w:t>Ultralife</w:t>
      </w:r>
      <w:r>
        <w:rPr>
          <w:rFonts w:ascii="Times New Roman" w:cs="Times New Roman" w:eastAsia="Times New Roman" w:hAnsi="Times New Roman"/>
          <w:sz w:val="18"/>
          <w:szCs w:val="18"/>
          <w:color w:val="auto"/>
        </w:rPr>
        <w:t>”), SOUTHWEST ELECTRONIC ENERGY CORPORATION, a Texas corporation (“</w:t>
      </w:r>
      <w:r>
        <w:rPr>
          <w:rFonts w:ascii="Times New Roman" w:cs="Times New Roman" w:eastAsia="Times New Roman" w:hAnsi="Times New Roman"/>
          <w:sz w:val="18"/>
          <w:szCs w:val="18"/>
          <w:u w:val="single" w:color="auto"/>
          <w:color w:val="auto"/>
        </w:rPr>
        <w:t>Southwest</w:t>
      </w:r>
      <w:r>
        <w:rPr>
          <w:rFonts w:ascii="Times New Roman" w:cs="Times New Roman" w:eastAsia="Times New Roman" w:hAnsi="Times New Roman"/>
          <w:sz w:val="18"/>
          <w:szCs w:val="18"/>
          <w:color w:val="auto"/>
        </w:rPr>
        <w:t>”), CLB, INC., a Texas corporation (“</w:t>
      </w:r>
      <w:r>
        <w:rPr>
          <w:rFonts w:ascii="Times New Roman" w:cs="Times New Roman" w:eastAsia="Times New Roman" w:hAnsi="Times New Roman"/>
          <w:sz w:val="18"/>
          <w:szCs w:val="18"/>
          <w:u w:val="single" w:color="auto"/>
          <w:color w:val="auto"/>
        </w:rPr>
        <w:t>CLB</w:t>
      </w:r>
      <w:r>
        <w:rPr>
          <w:rFonts w:ascii="Times New Roman" w:cs="Times New Roman" w:eastAsia="Times New Roman" w:hAnsi="Times New Roman"/>
          <w:sz w:val="18"/>
          <w:szCs w:val="18"/>
          <w:color w:val="auto"/>
        </w:rPr>
        <w:t>”), ULTRALIFE EXCELL HOLDING CORP., a Delaware corporation (“</w:t>
      </w:r>
      <w:r>
        <w:rPr>
          <w:rFonts w:ascii="Times New Roman" w:cs="Times New Roman" w:eastAsia="Times New Roman" w:hAnsi="Times New Roman"/>
          <w:sz w:val="18"/>
          <w:szCs w:val="18"/>
          <w:u w:val="single" w:color="auto"/>
          <w:color w:val="auto"/>
        </w:rPr>
        <w:t>UEHC</w:t>
      </w:r>
      <w:r>
        <w:rPr>
          <w:rFonts w:ascii="Times New Roman" w:cs="Times New Roman" w:eastAsia="Times New Roman" w:hAnsi="Times New Roman"/>
          <w:sz w:val="18"/>
          <w:szCs w:val="18"/>
          <w:color w:val="auto"/>
        </w:rPr>
        <w:t>”), ULTRALIFE CANADA HOLDING CORP., a Delaware corporation (“</w:t>
      </w:r>
      <w:r>
        <w:rPr>
          <w:rFonts w:ascii="Times New Roman" w:cs="Times New Roman" w:eastAsia="Times New Roman" w:hAnsi="Times New Roman"/>
          <w:sz w:val="18"/>
          <w:szCs w:val="18"/>
          <w:u w:val="single" w:color="auto"/>
          <w:color w:val="auto"/>
        </w:rPr>
        <w:t>UCHC</w:t>
      </w:r>
      <w:r>
        <w:rPr>
          <w:rFonts w:ascii="Times New Roman" w:cs="Times New Roman" w:eastAsia="Times New Roman" w:hAnsi="Times New Roman"/>
          <w:sz w:val="18"/>
          <w:szCs w:val="18"/>
          <w:color w:val="auto"/>
        </w:rPr>
        <w:t>”), EXCELL BATTERY CORPORATION USA, a Texas corporation (“</w:t>
      </w:r>
      <w:r>
        <w:rPr>
          <w:rFonts w:ascii="Times New Roman" w:cs="Times New Roman" w:eastAsia="Times New Roman" w:hAnsi="Times New Roman"/>
          <w:sz w:val="18"/>
          <w:szCs w:val="18"/>
          <w:u w:val="single" w:color="auto"/>
          <w:color w:val="auto"/>
        </w:rPr>
        <w:t>Excell USA</w:t>
      </w:r>
      <w:r>
        <w:rPr>
          <w:rFonts w:ascii="Times New Roman" w:cs="Times New Roman" w:eastAsia="Times New Roman" w:hAnsi="Times New Roman"/>
          <w:sz w:val="18"/>
          <w:szCs w:val="18"/>
          <w:color w:val="auto"/>
        </w:rPr>
        <w:t>”, and together with Ultralife, Southwest, CLB, UEHC and UCHC,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EXCELL BATTERY CANADA ULC, a British Columbia unlimited liability company (“</w:t>
      </w:r>
      <w:r>
        <w:rPr>
          <w:rFonts w:ascii="Times New Roman" w:cs="Times New Roman" w:eastAsia="Times New Roman" w:hAnsi="Times New Roman"/>
          <w:sz w:val="18"/>
          <w:szCs w:val="18"/>
          <w:u w:val="single" w:color="auto"/>
          <w:color w:val="auto"/>
        </w:rPr>
        <w:t>Excell Canada</w:t>
      </w:r>
      <w:r>
        <w:rPr>
          <w:rFonts w:ascii="Times New Roman" w:cs="Times New Roman" w:eastAsia="Times New Roman" w:hAnsi="Times New Roman"/>
          <w:sz w:val="18"/>
          <w:szCs w:val="18"/>
          <w:color w:val="auto"/>
        </w:rPr>
        <w:t>”), the lending institutions currently a party to the Credit Agreement (as hereinafter defined)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KEYBANK NATIONAL ASSOCIATION (“</w:t>
      </w:r>
      <w:r>
        <w:rPr>
          <w:rFonts w:ascii="Times New Roman" w:cs="Times New Roman" w:eastAsia="Times New Roman" w:hAnsi="Times New Roman"/>
          <w:sz w:val="18"/>
          <w:szCs w:val="18"/>
          <w:u w:val="single" w:color="auto"/>
          <w:color w:val="auto"/>
        </w:rPr>
        <w:t>KeyBank</w:t>
      </w:r>
      <w:r>
        <w:rPr>
          <w:rFonts w:ascii="Times New Roman" w:cs="Times New Roman" w:eastAsia="Times New Roman" w:hAnsi="Times New Roman"/>
          <w:sz w:val="18"/>
          <w:szCs w:val="18"/>
          <w:color w:val="auto"/>
        </w:rPr>
        <w:t>”, and in its capacity as agent for the Lenders under the Credit Agreement,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Lenders, Agent and Borrowers are parties to a certain Credit and Security Agreement dated as of May 31, 2017 (as amended by that certain First Amendment Agreement dated as of May 1, 2019, that certain Second Amendment Agreement dated as of December 13, 2021, and that certain Third Amendment Agreement dated as of November 28, 2022, and as it may from time to time be further amended, restated or otherwise modified or supplemented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Lenders, Agent and Borrowers desire to amend the Credit Agreement by modifying certain provisions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unless defined herein, each term used herein shall be defined in accordance with the Credit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and for other valuable consideration Lenders, Agent, and Credit Parties agree as follows:</w:t>
      </w:r>
    </w:p>
    <w:p>
      <w:pPr>
        <w:spacing w:after="0" w:line="162" w:lineRule="exact"/>
        <w:rPr>
          <w:sz w:val="20"/>
          <w:szCs w:val="20"/>
          <w:color w:val="auto"/>
        </w:rPr>
      </w:pPr>
    </w:p>
    <w:p>
      <w:pPr>
        <w:ind w:firstLine="656"/>
        <w:spacing w:after="0" w:line="282"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Credit Agreement is hereby amended to delete the definitions of “Applicable Margin”, “Commitment Period” and “Derived Adjusted Daily Simple SOFR Rate” therefrom in their entirety and to insert in place thereof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“Applicable Margin” shall mean:</w:t>
      </w:r>
    </w:p>
    <w:p>
      <w:pPr>
        <w:spacing w:after="0" w:line="225" w:lineRule="exact"/>
        <w:rPr>
          <w:sz w:val="20"/>
          <w:szCs w:val="20"/>
          <w:color w:val="auto"/>
        </w:rPr>
      </w:pPr>
    </w:p>
    <w:p>
      <w:pPr>
        <w:jc w:val="both"/>
        <w:ind w:left="1300" w:firstLine="490"/>
        <w:spacing w:after="0" w:line="266" w:lineRule="auto"/>
        <w:tabs>
          <w:tab w:leader="none" w:pos="24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the Fourth Amendment Closing Date until the Pricing Change Date (as hereinafter defined) related to the fiscal quarter ending June 30, 2024, (i) 210 basis points for Revolving Loans which are SOFR Loans, (ii) 185 basis points for Term Loans B which are SOFR Loans, and (iii) 20 basis points for the Unused Fee;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left="720" w:firstLine="490"/>
        <w:spacing w:after="0" w:line="258" w:lineRule="auto"/>
        <w:tabs>
          <w:tab w:leader="none" w:pos="19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Pricing Change Date related to the fiscal quarter ending June 30, 2024, the number of basis points (depending upon whether Loans are Revolving Loans which are SOFR Loans, Term Loans B which are SOFR Loans, or the Unused Fee) set forth in the following matrix, based upon the result of the computation of the Consolidated Senior Leverage Ratio as set forth in the Compliance Certificate for such fiscal period, shall be used to establish the number of basis points that will go into effect on such Pricing Change Date and thereafter, as set forth in each successive Compliance Certificate, as provided below: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980" w:type="dxa"/>
            <w:vAlign w:val="bottom"/>
            <w:tcBorders>
              <w:top w:val="single" w:sz="8" w:color="auto"/>
              <w:left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Applicable Basis</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Applicable Basis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Applicable Basis</w:t>
            </w:r>
          </w:p>
        </w:tc>
      </w:tr>
      <w:tr>
        <w:trPr>
          <w:trHeight w:val="216"/>
        </w:trPr>
        <w:tc>
          <w:tcPr>
            <w:tcW w:w="4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Senior</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Points for Revolving</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Points for Term</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Points for</w:t>
            </w:r>
          </w:p>
        </w:tc>
      </w:tr>
      <w:tr>
        <w:trPr>
          <w:trHeight w:val="216"/>
        </w:trPr>
        <w:tc>
          <w:tcPr>
            <w:tcW w:w="4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Leverage Ratio</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 which are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Loans B which are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Unused Fee</w:t>
            </w:r>
          </w:p>
        </w:tc>
      </w:tr>
      <w:tr>
        <w:trPr>
          <w:trHeight w:val="251"/>
        </w:trPr>
        <w:tc>
          <w:tcPr>
            <w:tcW w:w="498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SOFR Loans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SOFR Loans</w:t>
            </w: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Less than 1.50 to 1.00</w:t>
            </w:r>
          </w:p>
        </w:tc>
        <w:tc>
          <w:tcPr>
            <w:tcW w:w="17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210</w:t>
            </w:r>
          </w:p>
        </w:tc>
        <w:tc>
          <w:tcPr>
            <w:tcW w:w="17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185</w:t>
            </w:r>
          </w:p>
        </w:tc>
        <w:tc>
          <w:tcPr>
            <w:tcW w:w="16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Greater than or equal to 1.50 to 1.00 but less than 2.50 to 1.00</w:t>
            </w:r>
          </w:p>
        </w:tc>
        <w:tc>
          <w:tcPr>
            <w:tcW w:w="17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225</w:t>
            </w:r>
          </w:p>
        </w:tc>
        <w:tc>
          <w:tcPr>
            <w:tcW w:w="17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Greater than or equal to 2.50 to 1.00</w:t>
            </w:r>
          </w:p>
        </w:tc>
        <w:tc>
          <w:tcPr>
            <w:tcW w:w="17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240</w:t>
            </w:r>
          </w:p>
        </w:tc>
        <w:tc>
          <w:tcPr>
            <w:tcW w:w="17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215</w:t>
            </w:r>
          </w:p>
        </w:tc>
        <w:tc>
          <w:tcPr>
            <w:tcW w:w="16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8"/>
          <w:szCs w:val="18"/>
          <w:color w:val="auto"/>
        </w:rPr>
        <w:t>Changes to the Applicable Margin (including the first change) shall be effective on the first Business Day of each month following the date upon which the Agent should have received, pursuant to Section 5.3(d) hereof, the Compliance Certificate for the most recently ended fiscal quarter (each a “Pricing Change Date”). The above matrix does not modify or waive, in any respect, the requirements of Section 5.7 hereof, the rights of the Agent and the Lenders to charge the Default Rate, or the rights and remedies of the Agent and the Lenders pursuant to Articles VIII and IX hereof. Notwithstanding anything herein to the contrary, (i) during any period when Borrowers shall have failed to timely deliver the Consolidated financial statements pursuant to Section 5.3(b) hereof or the Compliance Certificate related thereto pursuant to Section 5.3(d) hereof, until such time as the appropriate Consolidated financial statements and Compliance Certificate are delivered, the Applicable Margin shall be the highest rate per annum indicated in the above pricing grid, regardless of the Consolidated Senior Leverage Ratio at such time, and (ii) in the event that any financial information or certification provided to the Agent in the Compliance Certificate is shown to be inaccurate (regardless of whether this Agreement or the Commitment is in effect when such inaccuracy is discovered), and such inaccuracy, if corrected, would have led to the application of a higher Applicable Margin for any period (an “Applicable Margin Period”) than the Applicable Margin applied for such Applicable Margin Period, then (A) the Borrowers shall immediately deliver to the Agent a corrected Compliance Certificate for such Applicable Margin Period, (B) the Applicable Margin shall be determined based on such corrected Compliance Certificate to the extent such change would have resulted in a higher rate during such period, and (C) the Borrowers shall immediately pay to the Agent the accrued additional interest owing as a result of such increased Applicable Margin for such Applicable Margin Period.</w:t>
      </w:r>
    </w:p>
    <w:p>
      <w:pPr>
        <w:spacing w:after="0" w:line="196" w:lineRule="exact"/>
        <w:rPr>
          <w:sz w:val="20"/>
          <w:szCs w:val="20"/>
          <w:color w:val="auto"/>
        </w:rPr>
      </w:pPr>
    </w:p>
    <w:p>
      <w:pPr>
        <w:jc w:val="both"/>
        <w:ind w:left="80" w:firstLine="648"/>
        <w:spacing w:after="0" w:line="282" w:lineRule="auto"/>
        <w:rPr>
          <w:sz w:val="20"/>
          <w:szCs w:val="20"/>
          <w:color w:val="auto"/>
        </w:rPr>
      </w:pPr>
      <w:r>
        <w:rPr>
          <w:rFonts w:ascii="Times New Roman" w:cs="Times New Roman" w:eastAsia="Times New Roman" w:hAnsi="Times New Roman"/>
          <w:sz w:val="18"/>
          <w:szCs w:val="18"/>
          <w:color w:val="auto"/>
        </w:rPr>
        <w:t>“Commitment Period” shall mean the period from the Closing Date until May 30, 2028, or such earlier date on which the Commitment shall have been terminated pursuant to Article IX hereof.</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79375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580" w:right="339" w:bottom="1440" w:gutter="0" w:footer="0" w:header="0"/>
        </w:sectPr>
      </w:pPr>
    </w:p>
    <w:bookmarkStart w:id="32" w:name="page33"/>
    <w:bookmarkEnd w:id="3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“Derived Adjusted Daily Simple SOFR Rate” shall mean a rate per annum equal to the sum of the Applicable Margin (from time to time in effect) for Revolving Loans which are SOFR Loans or Term Loans B which are SOFR loans (as the case may be)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Adjusted Daily Simple SOFR rate.</w:t>
      </w:r>
    </w:p>
    <w:p>
      <w:pPr>
        <w:spacing w:after="0" w:line="176" w:lineRule="exact"/>
        <w:rPr>
          <w:sz w:val="20"/>
          <w:szCs w:val="20"/>
          <w:color w:val="auto"/>
        </w:rPr>
      </w:pPr>
    </w:p>
    <w:p>
      <w:pPr>
        <w:ind w:left="1300" w:right="200" w:hanging="644"/>
        <w:spacing w:after="0" w:line="500" w:lineRule="auto"/>
        <w:tabs>
          <w:tab w:leader="none" w:pos="1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Credit Agreement is hereby amended to insert the following new definition thereto in the appropriate alphabetical order: “Fourth Amendment Closing Date” shall mean June [___], 2024.</w:t>
      </w:r>
    </w:p>
    <w:p>
      <w:pPr>
        <w:spacing w:after="0" w:line="1" w:lineRule="exact"/>
        <w:rPr>
          <w:rFonts w:ascii="Times New Roman" w:cs="Times New Roman" w:eastAsia="Times New Roman" w:hAnsi="Times New Roman"/>
          <w:sz w:val="18"/>
          <w:szCs w:val="18"/>
          <w:color w:val="auto"/>
        </w:rPr>
      </w:pPr>
    </w:p>
    <w:p>
      <w:pPr>
        <w:ind w:firstLine="656"/>
        <w:spacing w:after="0" w:line="282"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2.1A2(iii) of the Credit Agreement is hereby amended to delete each reference to “Applicable Margin for SOFR Loans” contained therein and insert in place thereof “Applicable Margin for Revolving Loans which are SOFR Loans”.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this Agreement: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8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have delivered to Agent a disbursement direction letter (the “</w:t>
      </w:r>
      <w:r>
        <w:rPr>
          <w:rFonts w:ascii="Times New Roman" w:cs="Times New Roman" w:eastAsia="Times New Roman" w:hAnsi="Times New Roman"/>
          <w:sz w:val="18"/>
          <w:szCs w:val="18"/>
          <w:u w:val="single" w:color="auto"/>
          <w:color w:val="auto"/>
        </w:rPr>
        <w:t>Disbursement Direction Letter</w:t>
      </w:r>
      <w:r>
        <w:rPr>
          <w:rFonts w:ascii="Times New Roman" w:cs="Times New Roman" w:eastAsia="Times New Roman" w:hAnsi="Times New Roman"/>
          <w:sz w:val="18"/>
          <w:szCs w:val="18"/>
          <w:color w:val="auto"/>
        </w:rPr>
        <w:t>”), in form and substance satisfactory to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good standing certificate (or equivalent) available in the jurisdiction of incorporation, formation or organization for each Credit Party from the appropriate governmental officer in such jurisdiction dated not more than 15 days prior to the date 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for each Credit Party (i) the results of lien searches in such jurisdictions reasonably satisfactory to Agent; and (ii) termination statements and payoff letters reflecting termination of all financing statements and Liens (other than Permitted Liens) previously filed by any party having a security interest in any part of the Collateral or any other property securing the Secured Debt;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in form and substance satisfactory to Agent, one or more insurance certificates and copies of Credit Parties’ casualty insurance policies, together with loss payable endorsements reasonably satisfactory to Agent naming Agent as Lender loss payee, and copies of Credit Parties’ liability insurance policies, together with endorsements naming Agent as a co-insured;</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have paid to Agent for the pro rata benefit of the Lenders a revolver renewal fee in the amount of $45,000;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have paid all reasonable and documented out of pocket legal fees and expenses of Agent incurred in connection with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56"/>
        <w:spacing w:after="0" w:line="257" w:lineRule="auto"/>
        <w:tabs>
          <w:tab w:leader="none" w:pos="12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hereby represents and warrants to Agent and the Lenders that as of the date hereof: (a) such Credit Party has the legal power and authority to execute and deliver this Agreement, the Disbursement Direction Letter, and each other document, agreement, writing or instrument executed in connection with this Agreement (collectively, the “</w:t>
      </w:r>
      <w:r>
        <w:rPr>
          <w:rFonts w:ascii="Times New Roman" w:cs="Times New Roman" w:eastAsia="Times New Roman" w:hAnsi="Times New Roman"/>
          <w:sz w:val="18"/>
          <w:szCs w:val="18"/>
          <w:u w:val="single" w:color="auto"/>
          <w:color w:val="auto"/>
        </w:rPr>
        <w:t>Amendment Documents</w:t>
      </w:r>
      <w:r>
        <w:rPr>
          <w:rFonts w:ascii="Times New Roman" w:cs="Times New Roman" w:eastAsia="Times New Roman" w:hAnsi="Times New Roman"/>
          <w:sz w:val="18"/>
          <w:szCs w:val="18"/>
          <w:color w:val="auto"/>
        </w:rPr>
        <w:t>”) executed by such Credit Party in connection with this Agreement;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(or other authorized Persons) of such Credit Party executing the Amendment Documents have been duly authorized to execute and deliver the same and bind such Credit Party with respect to the provisions thereof; (c) the execution and delivery by such Credit Party of the Amendment Documents to which it is a party and the performance and observance by such Loan Party of the provisions thereof do not violate or conflict with the Organizational Documents of such Credit Party or any law applicable to such Credit Party or result in a breach of any provision of or constitute a default under any other material agreement, instrument or document binding upon or enforceable against such Loan Party; (d) after giving effect to this Agreement, no Default or Event of Default exists under the Loan Documents, nor will any occur upon giving effect to the execution and delivery of the Amendment Documents or by the performance or observance of any provision thereof; (e) such Credit Party does not have any claim or offset against, or defense or counterclaim to, any of such Credit Party’s obligations or liabilities under the Credit Agreement or the other Loan Documents; (f) the representations and warranties set forth in Article VII of the Credit Agreement are true and correct in all material respects (without duplication of materiality qualifiers) on and as of the date hereof, except to the extent such representation or warranty relates to an earlier specified date, in which case such representation and warranty is reaffirmed true and correct in all material respects as of such date; and (g) the Amendment Documents to which such Credit Party is a party constitute a valid and binding obligation of such Credit Party in every respect, enforceable in accordance with their respective terms, except as such enforceability may be limited by any Debtor Relief Laws.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this Agreement, each Credit Party hereby waives and releases Agent and the Lenders and their respective affiliates, officers, directors, equity holders, agents, attorneys, employees and representatives from any and all such claims, offsets, defenses and counterclaims of which such Credit Party is aware or unaware in connection with the Credit Agreement to the extent arising on or prior to the date hereof, such waiver and release being with full knowledge and understanding of the circumstances and effect thereof and after having consulted legal counsel with respect thereto.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that is made in the Credit Agreement or any other writing shall hereafter be construed as a reference to the Credit Agreement as amended hereby. Except as herein otherwise specifically provided, all provisions of the Credit Agreement shall remain in full force and effect and be unaffected hereby. Each Amendment Document is a Loan Document as defined in the Credit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hereby reaffirms its obligations, as applicable, under the Credit Agreement and all other Loan Documents to which such Credit Party is a party, as any of them may from time to time be amended, restated or otherwise modified (the “</w:t>
      </w:r>
      <w:r>
        <w:rPr>
          <w:rFonts w:ascii="Times New Roman" w:cs="Times New Roman" w:eastAsia="Times New Roman" w:hAnsi="Times New Roman"/>
          <w:sz w:val="18"/>
          <w:szCs w:val="18"/>
          <w:u w:val="single" w:color="auto"/>
          <w:color w:val="auto"/>
        </w:rPr>
        <w:t>Reaffirmed Documents</w:t>
      </w:r>
      <w:r>
        <w:rPr>
          <w:rFonts w:ascii="Times New Roman" w:cs="Times New Roman" w:eastAsia="Times New Roman" w:hAnsi="Times New Roman"/>
          <w:sz w:val="18"/>
          <w:szCs w:val="18"/>
          <w:color w:val="auto"/>
        </w:rPr>
        <w:t>”). Each Credit Party agrees (i) that each Reaffirmed Document shall remain in full force and effect following the execution and delivery of this Agreement and any other Amendment Document, and (ii) that all references in any of the Reaffirmed Documents to the “Credit Agreement” or “Loan Agreement” shall be deemed to refer to the Credit Agreement, as amended by this Agreement or as it may be further amended, restated or otherwise modified from time to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hereto in separate counterparts and may be delivered by facsimile or pdf electronic transmission, each of which when so executed and delivered shall be deemed to be an original and effective as a manually signed counterpart and all of which when taken together shall constitute but one and the same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left="-20" w:right="20" w:firstLine="656"/>
        <w:spacing w:after="0" w:line="282" w:lineRule="auto"/>
        <w:tabs>
          <w:tab w:leader="none" w:pos="13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all parties hereto shall be governed by the laws of the State of New York, without regard to principles of conflicts of laws (other than Sections 5-1401 and 5-1402 of the New York General Obligations Law).</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3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EXPRESSLY WAIVES ANY RIGHT TO TRIAL BY JURY OF ANY CLAIM, DEMAND, ACTION OR CAUSE OF ACTION (A) ARISING UNDER THIS AGREEMENT OR ANY OTHER INSTRUMENT, DOCUMENT OR AGREEMENT EXECUTED OR DELIVERED IN CONNECTION HEREWITH, OR (B) IN ANY WAY CONNECTED WITH OR RELATED OR INCIDENTAL TO THE DEALINGS OF THE PARTIES HERETO OR ANY OF THEM WITH RESPECT TO THIS AGREEMENT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IN WITNESS WHEREOF, the duly authorized officers of the parties to this Agreement have executed this Agreement as of the date first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SOUTHWEST ELECTRONIC ENERGY</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23"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CLB, INC.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ULTRALIFE EXCELL HOLDING CORP.</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ULTRALIFE CANADA HOLDING CORP.</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EXCELL BATTERY CORPORATION USA</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Fourth Amendment Agreement – Key/Ultralife]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OTHER CREDIT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EXCELL BATTERY CANADA ULC</w:t>
      </w:r>
    </w:p>
    <w:p>
      <w:pPr>
        <w:spacing w:after="0" w:line="200" w:lineRule="exact"/>
        <w:rPr>
          <w:sz w:val="20"/>
          <w:szCs w:val="20"/>
          <w:color w:val="auto"/>
        </w:rPr>
      </w:pP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Name:Michael E. Manna</w:t>
      </w:r>
    </w:p>
    <w:p>
      <w:pPr>
        <w:spacing w:after="0" w:line="2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[Continuation of Signature Page to Fourth Amendment Agreement – Key/Ultralife]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7" w:name="page38"/>
    <w:bookmarkEnd w:id="37"/>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AGENT AND THE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KEYBANK NATIONAL ASSOCIATION,</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Agent and as a Lender</w:t>
      </w:r>
    </w:p>
    <w:p>
      <w:pPr>
        <w:spacing w:after="0" w:line="200" w:lineRule="exact"/>
        <w:rPr>
          <w:sz w:val="20"/>
          <w:szCs w:val="20"/>
          <w:color w:val="auto"/>
        </w:rPr>
      </w:pPr>
    </w:p>
    <w:p>
      <w:pPr>
        <w:spacing w:after="0" w:line="223"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Peter F.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Name:Peter F. Leonard</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[Continuation of Signature Page to Fourth Amendment Agreement – Key/Ultralife]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FOURTH AMENDMENT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KEY/ ULTRALIFE</w:t>
      </w:r>
    </w:p>
    <w:p>
      <w:pPr>
        <w:sectPr>
          <w:pgSz w:w="11900" w:h="16838" w:orient="portrait"/>
          <w:cols w:equalWidth="0" w:num="1">
            <w:col w:w="10139"/>
          </w:cols>
          <w:pgMar w:left="320" w:top="576"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8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0"/>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20" w:type="dxa"/>
            <w:vAlign w:val="bottom"/>
          </w:tcPr>
          <w:p>
            <w:pPr>
              <w:jc w:val="right"/>
              <w:ind w:right="2270"/>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86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20" w:type="dxa"/>
            <w:vAlign w:val="bottom"/>
          </w:tcPr>
          <w:p>
            <w:pPr>
              <w:jc w:val="right"/>
              <w:ind w:right="259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9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June 30, 2024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56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25, 2024</w:t>
      </w:r>
      <w:r>
        <w:rPr>
          <w:sz w:val="20"/>
          <w:szCs w:val="20"/>
          <w:color w:val="auto"/>
        </w:rPr>
        <w:tab/>
      </w:r>
      <w:r>
        <w:rPr>
          <w:rFonts w:ascii="Times New Roman" w:cs="Times New Roman" w:eastAsia="Times New Roman" w:hAnsi="Times New Roman"/>
          <w:sz w:val="18"/>
          <w:szCs w:val="18"/>
          <w:color w:val="auto"/>
        </w:rPr>
        <w:t>Michael E. Manna</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92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40" w:type="dxa"/>
            <w:vAlign w:val="bottom"/>
          </w:tcPr>
          <w:p>
            <w:pPr>
              <w:jc w:val="right"/>
              <w:ind w:right="2590"/>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decimal"/>
      <w:start w:val="2"/>
    </w:lvl>
    <w:lvl w:ilvl="1">
      <w:lvlJc w:val="left"/>
      <w:lvlText w:val="(%2)"/>
      <w:numFmt w:val="lowerLetter"/>
      <w:start w:val="1"/>
    </w:lvl>
  </w:abstractNum>
  <w:abstractNum w:abstractNumId="16">
    <w:nsid w:val="7C83E458"/>
    <w:multiLevelType w:val="hybridMultilevel"/>
    <w:lvl w:ilvl="0">
      <w:lvlJc w:val="left"/>
      <w:lvlText w:val="%1"/>
      <w:numFmt w:val="lowerLetter"/>
      <w:start w:val="1"/>
    </w:lvl>
    <w:lvl w:ilvl="1">
      <w:lvlJc w:val="left"/>
      <w:lvlText w:val="%2."/>
      <w:numFmt w:val="decimal"/>
      <w:start w:val="5"/>
    </w:lvl>
  </w:abstractNum>
  <w:abstractNum w:abstractNumId="17">
    <w:nsid w:val="257130A3"/>
    <w:multiLevelType w:val="hybridMultilevel"/>
    <w:lvl w:ilvl="0">
      <w:lvlJc w:val="left"/>
      <w:lvlText w:val="(%1)"/>
      <w:numFmt w:val="lowerLetter"/>
      <w:start w:val="2"/>
    </w:lvl>
    <w:lvl w:ilvl="1">
      <w:lvlJc w:val="left"/>
      <w:lvlText w:val="%2."/>
      <w:numFmt w:val="decimal"/>
      <w:start w:val="6"/>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2024-07-25T06:38:13Z</dcterms:created>
  <dcterms:modified xsi:type="dcterms:W3CDTF">2024-07-25T06:38:13Z</dcterms:modified>
</cp:coreProperties>
</file>