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right="4500" w:firstLine="8"/>
        <w:spacing w:after="0" w:line="250" w:lineRule="auto"/>
        <w:tabs>
          <w:tab w:leader="none" w:pos="9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 to ____________</w:t>
      </w:r>
    </w:p>
    <w:p>
      <w:pPr>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0-20852</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800" w:type="dxa"/>
            <w:vAlign w:val="bottom"/>
            <w:gridSpan w:val="2"/>
          </w:tcPr>
          <w:p>
            <w:pPr>
              <w:jc w:val="right"/>
              <w:ind w:right="4600"/>
              <w:spacing w:after="0"/>
              <w:rPr>
                <w:sz w:val="20"/>
                <w:szCs w:val="20"/>
                <w:color w:val="auto"/>
              </w:rPr>
            </w:pPr>
            <w:r>
              <w:rPr>
                <w:rFonts w:ascii="Arial" w:cs="Arial" w:eastAsia="Arial" w:hAnsi="Arial"/>
                <w:sz w:val="18"/>
                <w:szCs w:val="18"/>
                <w:color w:val="auto"/>
              </w:rPr>
              <w:t>ULTRALIFE CORPORATION</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3640" w:type="dxa"/>
            <w:vAlign w:val="bottom"/>
          </w:tcPr>
          <w:p>
            <w:pPr>
              <w:spacing w:after="0"/>
              <w:rPr>
                <w:sz w:val="22"/>
                <w:szCs w:val="22"/>
                <w:color w:val="auto"/>
              </w:rPr>
            </w:pPr>
          </w:p>
        </w:tc>
        <w:tc>
          <w:tcPr>
            <w:tcW w:w="7800" w:type="dxa"/>
            <w:vAlign w:val="bottom"/>
            <w:gridSpan w:val="2"/>
          </w:tcPr>
          <w:p>
            <w:pPr>
              <w:jc w:val="right"/>
              <w:ind w:right="3860"/>
              <w:spacing w:after="0"/>
              <w:rPr>
                <w:sz w:val="20"/>
                <w:szCs w:val="20"/>
                <w:color w:val="auto"/>
              </w:rPr>
            </w:pPr>
            <w:r>
              <w:rPr>
                <w:rFonts w:ascii="Arial" w:cs="Arial" w:eastAsia="Arial" w:hAnsi="Arial"/>
                <w:sz w:val="18"/>
                <w:szCs w:val="18"/>
                <w:color w:val="auto"/>
                <w:w w:val="95"/>
              </w:rPr>
              <w:t>(Exact name of registrant as specified in its charter)</w:t>
            </w:r>
          </w:p>
        </w:tc>
      </w:tr>
      <w:tr>
        <w:trPr>
          <w:trHeight w:val="67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7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16-1387013</w:t>
            </w:r>
          </w:p>
        </w:tc>
        <w:tc>
          <w:tcPr>
            <w:tcW w:w="20" w:type="dxa"/>
            <w:vAlign w:val="bottom"/>
          </w:tcPr>
          <w:p>
            <w:pPr>
              <w:spacing w:after="0"/>
              <w:rPr>
                <w:sz w:val="24"/>
                <w:szCs w:val="24"/>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(State or other jurisdiction of</w:t>
            </w:r>
          </w:p>
        </w:tc>
        <w:tc>
          <w:tcPr>
            <w:tcW w:w="7780" w:type="dxa"/>
            <w:vAlign w:val="bottom"/>
          </w:tcPr>
          <w:p>
            <w:pPr>
              <w:jc w:val="right"/>
              <w:spacing w:after="0" w:line="195" w:lineRule="exact"/>
              <w:rPr>
                <w:sz w:val="20"/>
                <w:szCs w:val="20"/>
                <w:color w:val="auto"/>
              </w:rPr>
            </w:pPr>
            <w:r>
              <w:rPr>
                <w:rFonts w:ascii="Arial" w:cs="Arial" w:eastAsia="Arial" w:hAnsi="Arial"/>
                <w:sz w:val="18"/>
                <w:szCs w:val="18"/>
                <w:color w:val="auto"/>
              </w:rPr>
              <w:t>(I.R.S. Employer</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800" w:type="dxa"/>
            <w:vAlign w:val="bottom"/>
            <w:gridSpan w:val="2"/>
          </w:tcPr>
          <w:p>
            <w:pPr>
              <w:jc w:val="right"/>
              <w:ind w:right="20"/>
              <w:spacing w:after="0"/>
              <w:rPr>
                <w:sz w:val="20"/>
                <w:szCs w:val="20"/>
                <w:color w:val="auto"/>
              </w:rPr>
            </w:pPr>
            <w:r>
              <w:rPr>
                <w:rFonts w:ascii="Arial" w:cs="Arial" w:eastAsia="Arial" w:hAnsi="Arial"/>
                <w:sz w:val="18"/>
                <w:szCs w:val="18"/>
                <w:color w:val="auto"/>
              </w:rPr>
              <w:t>Identification No.)</w:t>
            </w:r>
          </w:p>
        </w:tc>
      </w:tr>
      <w:tr>
        <w:trPr>
          <w:trHeight w:val="43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2000 Technology Parkway, Newark, New York</w:t>
            </w:r>
          </w:p>
        </w:tc>
        <w:tc>
          <w:tcPr>
            <w:tcW w:w="7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14513</w:t>
            </w:r>
          </w:p>
        </w:tc>
        <w:tc>
          <w:tcPr>
            <w:tcW w:w="20" w:type="dxa"/>
            <w:vAlign w:val="bottom"/>
          </w:tcPr>
          <w:p>
            <w:pPr>
              <w:spacing w:after="0"/>
              <w:rPr>
                <w:sz w:val="24"/>
                <w:szCs w:val="24"/>
                <w:color w:val="auto"/>
              </w:rPr>
            </w:pP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780" w:type="dxa"/>
            <w:vAlign w:val="bottom"/>
          </w:tcPr>
          <w:p>
            <w:pPr>
              <w:jc w:val="right"/>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8"/>
                <w:szCs w:val="18"/>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 (315) 332-7100</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472" w:right="239" w:bottom="1440" w:gutter="0" w:footer="0" w:header="0"/>
        </w:sectPr>
      </w:pPr>
    </w:p>
    <w:p>
      <w:pPr>
        <w:spacing w:after="0" w:line="225"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1300"/>
        <w:spacing w:after="0"/>
        <w:rPr>
          <w:sz w:val="20"/>
          <w:szCs w:val="20"/>
          <w:color w:val="auto"/>
        </w:rPr>
      </w:pPr>
      <w:r>
        <w:rPr>
          <w:rFonts w:ascii="Arial" w:cs="Arial" w:eastAsia="Arial" w:hAnsi="Arial"/>
          <w:sz w:val="18"/>
          <w:szCs w:val="18"/>
          <w:color w:val="auto"/>
        </w:rPr>
        <w:t>NASDAQ Global Market</w:t>
      </w:r>
    </w:p>
    <w:p>
      <w:pPr>
        <w:spacing w:after="0" w:line="200" w:lineRule="exact"/>
        <w:rPr>
          <w:sz w:val="24"/>
          <w:szCs w:val="24"/>
          <w:color w:val="auto"/>
        </w:rPr>
      </w:pPr>
    </w:p>
    <w:p>
      <w:pPr>
        <w:sectPr>
          <w:pgSz w:w="11900" w:h="16838" w:orient="portrait"/>
          <w:cols w:equalWidth="0" w:num="2">
            <w:col w:w="6200" w:space="720"/>
            <w:col w:w="4500"/>
          </w:cols>
          <w:pgMar w:left="240" w:top="472" w:right="2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well-known seasoned issuer, as defined in Rule 405 of the Securities Act. Yes…. No..X...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No..X...</w:t>
      </w:r>
    </w:p>
    <w:p>
      <w:pPr>
        <w:spacing w:after="0" w:line="9"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Yes..X… No….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Yes..X… No….</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X ]</w:t>
      </w:r>
    </w:p>
    <w:p>
      <w:pPr>
        <w:spacing w:after="0" w:line="1"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7"/>
          <w:szCs w:val="17"/>
          <w:color w:val="auto"/>
        </w:rPr>
        <w:t>Large accelerated filer …. Accelerated filer ...X… Non-accelerated filer …. Smaller reporting company ..X... Emerging growth company ....</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No..X...</w:t>
      </w:r>
    </w:p>
    <w:p>
      <w:pPr>
        <w:spacing w:after="0" w:line="9"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On June 30, 2018, the aggregate market value of the common stock held by non-affiliates as defined in Rule 405 under the Securities Act of 1933) of the registrant was approximately $96,303,216 (in whole dollars) based upon the closing price for such common stock as reported on the NASDAQ Global Market on June 29, 2018.</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6, 2019, the registrant had 20,059,168 shares of common stock outstanding, net of 4,399,850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Certain portions of the registrant’s definitive proxy statement relating to the Annual Meeting of Shareholders are specifically incorporated by reference in Part III, Items 10, 11, 12, 13 and 14 of this Annual Report on Form 10-K, except for the equity plan information required by Item 12 as set forth herein.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8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00" w:type="dxa"/>
            <w:vAlign w:val="bottom"/>
            <w:gridSpan w:val="2"/>
          </w:tcPr>
          <w:p>
            <w:pPr>
              <w:ind w:left="240"/>
              <w:spacing w:after="0"/>
              <w:rPr>
                <w:sz w:val="20"/>
                <w:szCs w:val="20"/>
                <w:color w:val="auto"/>
              </w:rPr>
            </w:pPr>
            <w:r>
              <w:rPr>
                <w:rFonts w:ascii="Arial" w:cs="Arial" w:eastAsia="Arial" w:hAnsi="Arial"/>
                <w:sz w:val="18"/>
                <w:szCs w:val="18"/>
                <w:color w:val="auto"/>
              </w:rPr>
              <w:t>ITEM</w:t>
            </w:r>
          </w:p>
        </w:tc>
        <w:tc>
          <w:tcPr>
            <w:tcW w:w="1200" w:type="dxa"/>
            <w:vAlign w:val="bottom"/>
          </w:tcPr>
          <w:p>
            <w:pPr>
              <w:ind w:left="6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1A</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1B</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Unresolved Staff Comments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Properties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Mine Safety Disclosures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Selected Financial Data</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7A</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9A</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9B</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 Compensation</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13</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14</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Accountant Fees and Services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w:t>
            </w: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 Financial Statement Schedules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Signatures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30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Index to Exhibits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inability to comply with changes to the regulations for the shipment of our products; our resources being overwhelmed by our growth prospects; our ability to retain top management and key personnel; possible impairments of our goodwill and other intangible assets; our customers’ demand falling short of volume expectations in our supply agreements;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“likely”or “expect” or words of similar import are intended to identify some, but not all of, such forward-looking statements. For further discussion of certain of the matters described above and other risks and uncertainties, see “Risk Factors” in Item 1A of this Annual Report on Form 10-K.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Form 10-K Annual Report, unless otherwise indicated, the terms “the Company”,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jc w:val="both"/>
        <w:spacing w:after="0" w:line="226" w:lineRule="auto"/>
        <w:rPr>
          <w:sz w:val="20"/>
          <w:szCs w:val="20"/>
          <w:color w:val="auto"/>
        </w:rPr>
      </w:pPr>
      <w:r>
        <w:rPr>
          <w:rFonts w:ascii="Arial" w:cs="Arial" w:eastAsia="Arial" w:hAnsi="Arial"/>
          <w:sz w:val="17"/>
          <w:szCs w:val="17"/>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Batteries,</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Lithium Power</w:t>
      </w:r>
      <w:r>
        <w:rPr>
          <w:rFonts w:ascii="Arial" w:cs="Arial" w:eastAsia="Arial" w:hAnsi="Arial"/>
          <w:sz w:val="30"/>
          <w:szCs w:val="30"/>
          <w:color w:val="auto"/>
          <w:vertAlign w:val="superscript"/>
        </w:rPr>
        <w:t>®</w:t>
      </w:r>
      <w:r>
        <w:rPr>
          <w:rFonts w:ascii="Arial" w:cs="Arial" w:eastAsia="Arial" w:hAnsi="Arial"/>
          <w:sz w:val="18"/>
          <w:szCs w:val="18"/>
          <w:color w:val="auto"/>
        </w:rPr>
        <w:t>, McDowell Research</w:t>
      </w:r>
      <w:r>
        <w:rPr>
          <w:rFonts w:ascii="Arial" w:cs="Arial" w:eastAsia="Arial" w:hAnsi="Arial"/>
          <w:sz w:val="30"/>
          <w:szCs w:val="30"/>
          <w:color w:val="auto"/>
          <w:vertAlign w:val="superscript"/>
        </w:rPr>
        <w:t>®</w:t>
      </w:r>
      <w:r>
        <w:rPr>
          <w:rFonts w:ascii="Arial" w:cs="Arial" w:eastAsia="Arial" w:hAnsi="Arial"/>
          <w:sz w:val="18"/>
          <w:szCs w:val="18"/>
          <w:color w:val="auto"/>
        </w:rPr>
        <w:t>, AMTI</w:t>
      </w:r>
      <w:r>
        <w:rPr>
          <w:rFonts w:ascii="Arial" w:cs="Arial" w:eastAsia="Arial" w:hAnsi="Arial"/>
          <w:sz w:val="30"/>
          <w:szCs w:val="30"/>
          <w:color w:val="auto"/>
          <w:vertAlign w:val="superscript"/>
        </w:rPr>
        <w:t>TM</w:t>
      </w:r>
      <w:r>
        <w:rPr>
          <w:rFonts w:ascii="Arial" w:cs="Arial" w:eastAsia="Arial" w:hAnsi="Arial"/>
          <w:sz w:val="18"/>
          <w:szCs w:val="18"/>
          <w:color w:val="auto"/>
        </w:rPr>
        <w:t>, ABLE</w:t>
      </w:r>
      <w:r>
        <w:rPr>
          <w:rFonts w:ascii="Arial" w:cs="Arial" w:eastAsia="Arial" w:hAnsi="Arial"/>
          <w:sz w:val="30"/>
          <w:szCs w:val="30"/>
          <w:color w:val="auto"/>
          <w:vertAlign w:val="superscript"/>
        </w:rPr>
        <w:t>TM</w:t>
      </w:r>
      <w:r>
        <w:rPr>
          <w:rFonts w:ascii="Arial" w:cs="Arial" w:eastAsia="Arial" w:hAnsi="Arial"/>
          <w:sz w:val="18"/>
          <w:szCs w:val="18"/>
          <w:color w:val="auto"/>
        </w:rPr>
        <w:t>, ACCUTRONICS™, ACCUPRO™, and ENTELLION™ brands. We have sales, operations and product development facilities in North America, Europe and Asia.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9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manufacture and/or market a family of Lithium Manganese Dioxide (Li-MnO2),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ability to design and produce lightweight, high-energy Lithium ion and Nickel Metal Hydride (NiMH) rechargeable batteries and charging systems in a variety of custom sizes, shapes, and thicknesses offers substantial benefits to our customers. We market Lithium ion and NiMH rechargeable batteries comprising cells manufactured by qualified cell manufacturers. Our rechargeable products can be used in a wide variety of applications including communications, medical and other portable electronic devices.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be awarded development contracts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Revenues for this segment for the year ended December 31, 2018 were $70,497 and segment contribution (gross profit) was $19,574.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requirements, including RF amplifiers, power supplies, power cables, connector assemblies, amplified speakers, equipment mounts, case equipment, man-portable systems and integrated communication systems for fixed or vehicle applications such as vehicle amplifier-adapters (“VAA”) for multiple programs, including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foreign defense organizations that we are permitted to sell our products to, as well as, U.S. and international prime defense contractors.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2018 were $16,693 and segment contribution (gross profit) was $6,009.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revenues for this category for the year ended December 31, 2018 and our corporate operating expenses were $19,028.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2018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9 in the notes to consolidated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2006, we finalized the acquisition of substantially all the assets of McDowell Research, Ltd. (“McDowell”), a manufacturer of military communications accessories located originally in Waco, Texas. This acquisition expanded our channels into the military communications area and strengthened our presence in global defense markets. During the second half of 2007, the operations of the Waco, Texas facility were relocated to our Newark, New York facility. In January 2012, we relocated these operations to our Virginia Beach, Virginia facility in order to gain operational efficiencies.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 pulmonary care, oxygen concentration and aspiration. We acquired Accutronics to advance our strategy of commercial revenue diversification, to expand our geographical penetration, and to achieve revenue growth from new product development. We are experiencing sales synergies between Accutronics and our existing commercial battery business as we cross-sell our existing products and the acquired Accutronics’ products to our respective customer bases.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Non-Rechargeable Batteries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labels for a variety of companies. Additionally, we sell our 9-volt battery to the broader consumer market through national and regional retail chains and Internet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current 9-volt battery manufacturing capacity is adequate to meet forecasted customer demand over the next three years.</w:t>
      </w:r>
    </w:p>
    <w:p>
      <w:pPr>
        <w:spacing w:after="0" w:line="2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 Lithium</w:t>
      </w:r>
      <w:r>
        <w:rPr>
          <w:rFonts w:ascii="Arial" w:cs="Arial" w:eastAsia="Arial" w:hAnsi="Arial"/>
          <w:sz w:val="16"/>
          <w:szCs w:val="16"/>
          <w:i w:val="1"/>
          <w:iCs w:val="1"/>
          <w:color w:val="auto"/>
        </w:rPr>
        <w:t xml:space="preserve"> </w:t>
      </w:r>
      <w:r>
        <w:rPr>
          <w:rFonts w:ascii="Arial" w:cs="Arial" w:eastAsia="Arial" w:hAnsi="Arial"/>
          <w:sz w:val="16"/>
          <w:szCs w:val="16"/>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both the Ultralife HiRate and ABLE brands. These include: D, C, 5/4 C, 1/2 AA, 2/3 A, CR123A and other sizes, which are sold individually as well as packaged into multi-cell battery packs, including our leading BA-5390 military battery, an alternative to the competing Li-SO2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Thin Cell Batteries. </w:t>
      </w:r>
      <w:r>
        <w:rPr>
          <w:rFonts w:ascii="Arial" w:cs="Arial" w:eastAsia="Arial" w:hAnsi="Arial"/>
          <w:sz w:val="16"/>
          <w:szCs w:val="16"/>
          <w:color w:val="auto"/>
        </w:rPr>
        <w:t>We manufacture a range of thin Lithium Manganese Dioxide batteries under the Thin Cell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 Thin Cell batteries are flat, lightweight</w:t>
      </w:r>
      <w:r>
        <w:rPr>
          <w:rFonts w:ascii="Arial" w:cs="Arial" w:eastAsia="Arial" w:hAnsi="Arial"/>
          <w:sz w:val="16"/>
          <w:szCs w:val="16"/>
          <w:i w:val="1"/>
          <w:iCs w:val="1"/>
          <w:color w:val="auto"/>
        </w:rPr>
        <w:t xml:space="preserve"> </w:t>
      </w:r>
      <w:r>
        <w:rPr>
          <w:rFonts w:ascii="Arial" w:cs="Arial" w:eastAsia="Arial" w:hAnsi="Arial"/>
          <w:sz w:val="16"/>
          <w:szCs w:val="16"/>
          <w:color w:val="auto"/>
        </w:rPr>
        <w:t>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Rechargeable Batteries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contrast to non-rechargeable batteries, after a rechargeable battery is discharged, it can be recharged and reused many times. Generally, discharge and recharge cycles can be repeated hundreds or thousands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Lithium Ion Cells and Batteries. </w:t>
      </w:r>
      <w:r>
        <w:rPr>
          <w:rFonts w:ascii="Arial" w:cs="Arial" w:eastAsia="Arial" w:hAnsi="Arial"/>
          <w:sz w:val="17"/>
          <w:szCs w:val="17"/>
          <w:color w:val="auto"/>
        </w:rPr>
        <w:t>We market a variety of Lithium ion cells and rechargeable batteries comprising cells manufactured by qualified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battery charging systems and accessories including smart chargers, multi-bay charging systems and a variety of cables.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Multi-Kilowatt Module. </w:t>
      </w:r>
      <w:r>
        <w:rPr>
          <w:rFonts w:ascii="Arial" w:cs="Arial" w:eastAsia="Arial" w:hAnsi="Arial"/>
          <w:sz w:val="18"/>
          <w:szCs w:val="18"/>
          <w:color w:val="auto"/>
        </w:rPr>
        <w:t>Our Multi-Kilowatt Module lithium ion battery system is a large format battery utilizable for energy storage, battery back-up, and</w:t>
      </w:r>
      <w:r>
        <w:rPr>
          <w:rFonts w:ascii="Arial" w:cs="Arial" w:eastAsia="Arial" w:hAnsi="Arial"/>
          <w:sz w:val="18"/>
          <w:szCs w:val="18"/>
          <w:i w:val="1"/>
          <w:iCs w:val="1"/>
          <w:color w:val="auto"/>
        </w:rPr>
        <w:t xml:space="preserve"> </w:t>
      </w:r>
      <w:r>
        <w:rPr>
          <w:rFonts w:ascii="Arial" w:cs="Arial" w:eastAsia="Arial" w:hAnsi="Arial"/>
          <w:sz w:val="18"/>
          <w:szCs w:val="18"/>
          <w:color w:val="auto"/>
        </w:rPr>
        <w:t>remote 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enhancement of existing products through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both government agencies and other private sector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amplifier-adapters and SATCOM systems. We package all systems to meet specific customer needs in rugged enclosures to allow their use in extreme environments.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manpack and handheld tactical transceivers and can be used on mobile or fixed site applications.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Integrated Systems. </w:t>
      </w:r>
      <w:r>
        <w:rPr>
          <w:rFonts w:ascii="Arial" w:cs="Arial" w:eastAsia="Arial" w:hAnsi="Arial"/>
          <w:sz w:val="17"/>
          <w:szCs w:val="17"/>
          <w:color w:val="auto"/>
        </w:rPr>
        <w:t>Our integrated systems include: vehicle mounted systems; SATCOM systems; rugged, deployable case systems; multiband transceiver</w:t>
      </w:r>
      <w:r>
        <w:rPr>
          <w:rFonts w:ascii="Arial" w:cs="Arial" w:eastAsia="Arial" w:hAnsi="Arial"/>
          <w:sz w:val="17"/>
          <w:szCs w:val="17"/>
          <w:i w:val="1"/>
          <w:iCs w:val="1"/>
          <w:color w:val="auto"/>
        </w:rPr>
        <w:t xml:space="preserve"> </w:t>
      </w:r>
      <w:r>
        <w:rPr>
          <w:rFonts w:ascii="Arial" w:cs="Arial" w:eastAsia="Arial" w:hAnsi="Arial"/>
          <w:sz w:val="17"/>
          <w:szCs w:val="17"/>
          <w:color w:val="auto"/>
        </w:rPr>
        <w:t>kits;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 ROVER™</w:t>
      </w:r>
      <w:r>
        <w:rPr>
          <w:rFonts w:ascii="Arial" w:cs="Arial" w:eastAsia="Arial" w:hAnsi="Arial"/>
          <w:sz w:val="18"/>
          <w:szCs w:val="18"/>
          <w:i w:val="1"/>
          <w:iCs w:val="1"/>
          <w:color w:val="auto"/>
        </w:rPr>
        <w:t xml:space="preserve"> </w:t>
      </w:r>
      <w:r>
        <w:rPr>
          <w:rFonts w:ascii="Arial" w:cs="Arial" w:eastAsia="Arial" w:hAnsi="Arial"/>
          <w:sz w:val="18"/>
          <w:szCs w:val="18"/>
          <w:color w:val="auto"/>
        </w:rPr>
        <w:t>power supplies; interoperable power adapters and chargers; portable power systems and AC to DC power supplies, among many others. We can provide power supplies for virtually all tactical communications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 fixed-site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systems.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These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significant portion of our business comes from sales of products and services to the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there is no guarantee that the government will order product under the contract.</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major customer, a large defense primary contractor, which comprised 16% and 18% of our revenues in 2018 and 2017, respectively. There were no other customers that comprised greater than 10% of our total revenues during these years.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sales to U.S. and non-U.S. customers were approximately $53,054 and $34,136, respectively. In 2017, sales to U.S. and non-U.S. customers were approximately $47,614 and $37,917,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An inability by us to pass these tests for our new products in a timely fashion could have a material adverse effect on future growth prospects. When a government contract is awarded, there is a government procedure that permits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market our products to defense organizations in the U.S. and other countries, which has resulted in awards of significant contracts. In March 2017, we were awarded a production contract by the U. S. Government’s Defense Logistics Agency for up to five years, with a maximum total potential of $21,400, to provide an updated BA-5390 non-rechargeable Lithium Manganese Dioxide batteries to the U.S. military. While production deliveries are expected to begin in the first half of 2019, we continue to receive orders for our legacy BA-5390 batteries from the Defense Logistics Agency. In January 2018, we received a $3,348 contract from the Defense Logistics Agency to ship our legacy BA-5390 batteries within one hundred ninety days of the contract date. In October 2017, we were awarded a production contract by the Defense Logistics Agency for five years, with a maximum potential of $49,800, to provide our hybrid lithium manganese dioxide/carbon monofluoride (CFx) non-rechargeable BA-5790 and BA-5795 batteries. Production deliveries under this award are expected to begin in the first half of 2019.</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target sales of our Lithium ion rechargeable batteries and charging systems to OEM customers, as well as distributors and resellers focused on our target markets. We respond to RFPs to design products for OEMs, and believe that our design capabilities, product characteristics and solution integration will drive OEMs to incorporate our batteries into their product offerings, resulting in revenue growth opportunities for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and 2017, our backlog related to Battery &amp; Energy Products was approximately $29,300 and $31,000, respectively. The 5% year-over-year decrease in our Battery &amp; Energy Products backlog at December 31, 2018 was essentially eliminated with firm orders received in the first week of January 2019. The 2018 year-end backlog is related to orders that are expected to ship throughout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contractors and U.S. and foreign militaries in the U.S. and internationally. We market our products to defense organizations and OEMs in the U.S. and internationally.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At December 31, 2018 and 2017, our backlog related to Communications Systems orders was approximately $21,700 and $8,100, respectively. The 168% increase in our Communications Systems backlog at December 31, 2018 is mostly a result of two October 2018 contract awards totaling $19,200 to supply our Vehicle Amplifier-Adaptors (“VAA”) and Mounted Vehicle Adaptors to a large global defense contractor to support the U.S. Army’s Network Modernization initiatives, Leader Radio Program and other opportunities, as well as a purchase order received on an October 2018 indefinite-delivery/indefinite quantity contract for vehicle communication kits for use by the U.S. Department of Defense. The 2018 year-end backlog is related to orders that are expected to ship throughout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hold ten patents issued in the U.S., two patents issued in the European Union member states, one patent issued in the United Kingdom, one patent issued in China, one patent issued in India, one patent issued in Japan, one patent issued in Taiwan and have five patents pending in the U.S, European Union member states, Australia and India. We believe our patents protect technology that makes automated production more cost-effective and protects important competitive features of our products. However, we do not consider our business to be dependent on patent protection.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Trademarks are an important aspect of our business. We sell our products under a number of trademarks, which we own. The following are registered trademarks of ours: Ultralife®, Ultralife Thin Cell®, Ultralife HiRate®, Ultralife &amp; design®, Ultra®, LithiumPower®, LithiumPower &amp; Design®, SmartCircuit®, Smart Circuit®, Smart Circuit &amp; design®, We Are Power®, AMTI®, ABLE™, ACCUTRONICS®, ACCUPRO®, ENTELLION®, Intelligent Power Vault®, McDowell Research® and RPS®.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manufacture our products from raw materials and component parts that we purchase. Our manufacturing facilities in Newark, New York are ISO 9001 and ISO 13485 certified. Our manufacturing facilities in Shenzhen, China are ISO 9001, ISO 1401 and ISO 13485 certified. Our manufacturing facilities in Virginia Beach, Virginia are ISO 9001 certified. Our manufacturing facilities in the United Kingdom are ISO 9001 and ISO 13485 certified.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future raw material purchases to fluctuate based on global demand of our products, our knowledge regarding the timing of customer orders, the related need to build inventory in anticipation of orders and actual shipment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affected by demand for particular products,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planned increases will be adequate to meet foreseeable customer demand.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material,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have an adverse effect on us in the future. All other raw materials we utilize are readily available from many sources.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primary and rechargeable batteries beyond current volumes and are not constrained by manufacturing equipment capacity.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$14,007 and $16,650 as of December 31, 2018 and 2017, respectively. The year-over-year 16% decrease primarily reflects Management’s efforts to reduce inventory from historically maintained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$8,836 and $9,676 as of December 31, 2018 and 2017, respectively. The year-over-year 9% decrease primarily reflects Management’s efforts to reduce inventory from historically maintained levels.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concentrate significant resources on research and development activities to improve our technological capabilities and to design new products for customers’ applications. We conduct our research and development in Newark, New York; Virginia Beach, Virginia; Tallahassee, Florida; Newcastle-under-Lyme, United Kingdom and Shenzhen, China. During 2018 and 2017, we expended $4,905 and $5,142, respectively, on research and development, including $397 and $405, respectively, on customer sponsored research and development activities, which are included in cost of goods sold. The year-over-year decrease primarily reflects the timing of development and testing costs associated with our new products, including Vehicle Amplifier-Adaptor products for our Communications Systems business and new products for our Battery &amp; Energy Products business. We expect that research and development expenditures in the future could increase by 20% or more over 2018 levels, based on current initiatives underway, including completing the development and testing of our CR123A batteries in Newark, N.Y., our Thionyl Chloride battery project in China and our VAA systems under the October 2018 contract awards for our Communications Systems business, and as we anticipate that new product development will drive our growth. As in the past, we will continue to make funding decisions for our research and development efforts based upon strategic demand for customer applications.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materials utilized in our batteries may pose safety problems if improperly used, stored, or handled. We have designed our batteries to minimize safety hazards both in manufacturing and use. Our batteries are subject to the regulations noted below, among others.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2018 and 2017, we spent approximately $266 and $175, respectively, on environmental compliance, including costs to properly dispose of potentially hazardous waste.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9-volt battery, among other sizes, is designed to conform to the dimensional and electrical standards of the American National Standards Institute.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Authorized certification bodies such as Underwriters Laboratories, Intertek and SGS recognize several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June 1, 2018 for the 2017 calendar year and we continue to utilize appropriate measures with our suppliers in order to better ascertain the origin of the conflict minerals in our products.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expertise in the non-rechargeable battery market, which we believe would be difficult for new entrants to reproduce without substantial time and expense.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employed a total of 580 permanent and temporary employees: 30 in research and development, 484 in production and 66 in sales and administration. None of our employees are represented by a labor union.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certain key customers.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one major customer, a large defense primary contractor, which comprised 16% and 18% of our revenues in 2018 and 2017, respectively. There were no other customers that comprised greater than 10% of our total revenues during these years. While we consider our relationship with our major customer to be good, the reduction, delay or cancellation of orders from this customer or this customer’s insolvency / inability to pay, for any reason, would reduce our revenue and operating income and could materially and adversely affect our business, operating results and financial condition in other ways.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4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 to compete on price in the battery industry.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 including tariffs and trade restrictions.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which we completed in 2015. Under the plan we found a replacement facility, entered into a five-year lease, negotiated compensation from the local government for our forfeited leasehold improvements and moving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such risks to the business will be successfully remediated to the same extent.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supply of raw materials and components could be disrupted, delayed, or the cost of those raw materials and components may materially increase.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Of particular note is the increased demand for Lithium-based cells from the electric vehicle manufacturers. While this has resulted in increased supply of such cells, we continue to monitor our supply chain closely to ensure that any potential supply interruptions are minimized.</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products or new commercial applications for our products could be prolonged or could fail.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develop certain products for new commercial applications, we cannot assure that these new products will be accepted due to the highly competitive nature of the industry. There are many new product and technology entrants into the markets into which we sell our products, and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Reductions or delays in U.S. and foreign military spending could have a material adverse effect on our business, financial condition and results of operations.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our revenues is derived from contracts with the U.S. and foreign militaries or OEMs that supply the U.S. and foreign militaries. In the years ended December 31, 2018 and 2017, approximately $46,100 or 53% and $44,700 or 52%, respectively, of our revenues were comprised of sales made directly or indirectly to the U.S. and foreign militaries.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significant gains have been made in commercial markets with our Battery &amp; Energy Products business, we are still highly dependent on sales to U.S. Government customers. The amounts and percentages of our net revenue that were derived from sales to U.S. Government customers, including the Department of Defense, whether directly or through prime contractors, was approximately $39,900 or 46% in 2018 and $35,100 or 41% in 2017. Therefore, any significant disruption or deterioration of our relationship with the U.S. Government or any prime defense contractor could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continued decline in U.S. military expenditures could result in a reduction in the military’s demand for our products, which could have a material adverse effect on our business, financial condition and results of operations.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Breaches in security, whether cyber or physical, and other disruptions and/or our inability to prevent or respond to such breeches, could diminish our ability to generate revenues or contain costs, compromise our assets, and negatively impact our business in other ways.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 In 2017, we formed a cyber security executive management committee with oversight responsibility to minimize the risk of breaches. In 2018 the Committee with the assistance of outside security consultants completed a comprehensive Systems Security Plan and a Plan of Action Memorandum in compliance with the requirements of NIST Special Publication 800-171, Protecting Controlled Unclassified Information in Nonfederal Information Systems and Organizations. The Committee continues to review all key aspects of cyber security utilizing our outside security consultants to ensure a robust plan is in place and provides quarterly updates to our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operating results may vary significantly from quarter-to-quarter and from year-to-year depending on factors such as the timing and shipment of significant orders, new product introductions,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changes in revenue. Due to such variances in operating results, we have sometimes failed to meet, and in the future may not meet, market expectations regarding our future operating results.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business, financial condition and results of operation.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loss of top management and key personnel could significantly harm our business, and our ability to put in place a succession plan and recruit experienced, competent management is critical to the success of our business. The continuity of our officers and executive team is vital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There is no guarantee that we will be successful in our efforts to effectively implement our succession plan.</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goodwill and indefinite-lived intangible assets are subject to an impairment test on an annual basis and are also tested whenever events and circumstances indicate that goodwill and other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results of the business or value of the intangible assets and trigger an evaluation of the recoverability of the recorded goodwill and intangible assets for such business. There is a possibility that our goodwill and other intangible assets could be impaired should there be a significant change in our internal forecasts and other assumptions we use in our impairment analysis. Future determinations of significant write-offs of goodwill or intangible assets as a result of an impairment test or accelerated amortization of other intangible assets could have a negative impact, although not affecting cash, on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 ion batteries may negatively impact the industries or markets we operate 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unable to predict the impact, severity or duration of negative publicity related to fire / mishandling of Lithium ion batteries or the environmental impact of their disposal, and how it may impact the industries or markets we serve. Ongoing negative attention being given to Lithium ion batteries that are used in certain cellular phones or are integrated into the power systems of new commercial aircraft and electric motor vehicles may have an impact on the Lithium ion battery industry as a whole, regardless of the design or usage of those batteries. The residual effects of such events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maintain manufacturing operations in North America, Europe and China, and we export products to various countries. We purchase materials and sell our products in foreign currencies, and therefore currency fluctuations may impact our pricing of products sold and materials purchased. While the percentage of our business with customers outside of the U.S. declined in 2018, sales to such customers still make up a significant percentage of our total revenues. For example, in 2018, 39% our sales were to customers outside of the U.S. as compared to 44% in 2017. A future strengthening of the U.S. Dollar relative to our customers’ currencies could make our products relatively more expensive to them,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With the present uncertainties surrounding Brexit, it is difficult at this time to assess any impact to the Company.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use our net operating loss carryforwards in the future may be limited, which could increase our tax liabilities and reduce our cash flow and net income.</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2018, we had approximately $63,388 of U.S. and $10,220 of U.K. net operating loss carryforwards and $1,817 of U.S. tax credit carryforwards available to offset future taxable income. We continually assess the carrying value of these assets based on the relevant accounting standards. As of December 31, 2018, the Company recognized the release of the valuation allowance on our net operating loss carryforwards and other U.S. deferred tax assets on the basis of assessment by management. Based on the results of our assessment, management concluded that, due to projected profitability, it is more likely than not that our U.S. deferred tax assets will be fully realized. Failure to achieve our business targets could result in future charges to our income tax provision if any of the net operating loss or tax credit carryforwards are not utilized. See discussion in Management’s Discussion &amp; Analysis on Page 28.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with government regulations regarding the use of </w:t>
      </w:r>
      <w:r>
        <w:rPr>
          <w:rFonts w:ascii="Arial" w:cs="Arial" w:eastAsia="Arial" w:hAnsi="Arial"/>
          <w:sz w:val="18"/>
          <w:szCs w:val="18"/>
          <w:color w:val="auto"/>
        </w:rPr>
        <w:t>"</w:t>
      </w:r>
      <w:r>
        <w:rPr>
          <w:rFonts w:ascii="Arial" w:cs="Arial" w:eastAsia="Arial" w:hAnsi="Arial"/>
          <w:sz w:val="18"/>
          <w:szCs w:val="18"/>
          <w:i w:val="1"/>
          <w:iCs w:val="1"/>
          <w:color w:val="auto"/>
        </w:rPr>
        <w:t>conflict minerals</w:t>
      </w:r>
      <w:r>
        <w:rPr>
          <w:rFonts w:ascii="Arial" w:cs="Arial" w:eastAsia="Arial" w:hAnsi="Arial"/>
          <w:sz w:val="18"/>
          <w:szCs w:val="18"/>
          <w:color w:val="auto"/>
        </w:rPr>
        <w:t>"</w:t>
      </w:r>
      <w:r>
        <w:rPr>
          <w:rFonts w:ascii="Arial" w:cs="Arial" w:eastAsia="Arial" w:hAnsi="Arial"/>
          <w:sz w:val="18"/>
          <w:szCs w:val="18"/>
          <w:i w:val="1"/>
          <w:iCs w:val="1"/>
          <w:color w:val="auto"/>
        </w:rPr>
        <w:t xml:space="preserve"> may result in increased costs and risks to the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the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our customers or us. Such changes in regulations could reduce our operating income and margins and have other material adverse effects on our business, financial condition and results of operations. We could incur substantial costs as a result of violations of environmental laws, including clean 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China RoHS 2 directive provides a regulatory framework, including similar hazardous substance restrictions as are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97"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we own two buildings in Newark, New York comprising approximately 250,000 square feet, which serve operations primarily in the Battery &amp; Energy Products operating segment. Our corporate headquarters are located in our Newark, New York facility. We also lease approximately 97,000 square feet in two buildings on one campus in Shenzhen, China and approximately 25,000 square feet in six buildings in a contiguous area in Newcastle-under-Lyme, United Kingdom, which serve operations in the Battery &amp; Energy Products operating segment. The Shenzhen, China campus location includes a dormitory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Newcastle-under-Lyme, United Kingdom and Shenzhen, China facilities, while our research and development efforts for our Communications Systems products are conducted in our leased facilities in Tallahassee, Florida and in Virginia Beach, Virginia. We believe that our facilities are adequate and suitable for our current needs. However, we may require additional manufacturing and administrative space if demand for our products and services grows.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6, 2019, there were approximately 3,600 registered holders of record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we repurchased a total of 105,674 shares of our common stock for an aggregate consideration of $739, excluding fees and commissions, under the Share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2018 purchases of our common stock under this program:</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As Part of</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Publicly</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Per Share</w:t>
            </w: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Program</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29,691</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2,470,309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December 2018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75,983</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for 2018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105,674</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23</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10-K.</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product offerings.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We acquired Accutronics to advance our strategy of commercial revenue diversification, to expand our geographic penetration, and to achieve revenue growth from new product development.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revenues increased by $1,659 or 1.9% to $87,190 for the year ended December 31, 2018 compared to $85,531 for the year ended December 31, 2017. During 2018, we experienced revenue growth of 1.0% for our Battery &amp; Energy products business and 6.0% for our Communications Systems business. This 2018 performance reflected a $1,405 or 3.1% increase in sales to government and defense customers and a $254 or 0.6% increase in sales to our commercial customers. The increase in government and defense sales reflects higher U.S. and international demand for our military batteries and chargers which increased $454 or 1.6% in 2018 and higher demand for our core Communications Systems products such as 20-watt amplifiers and universal vehicle adaptors and higher shipments of our Vehicle Amplifier-Adaptors under a contract awarded by a global defense contractor which increased $951 or 6.0% in 2018. The increase in our commercial business was due primarily to an 8.4% increase in our medical sales partially offset by lower demand for 9 Volt batteries.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decreased from 30.7% for the year ended December 31, 2018 to 29.3% for the year ended December 31, 2017. The 140 basis point decrease was due primarily to product mix in both our Battery &amp; Energy Products and Communications Systems business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Operating expenses decreased by $728 or 3.7% to $19,028 during the year ended December 31, 2018, compared to $19,756 during the year ended December 31, 2017. This decrease was due primarily to strict control over discretionary spending, while focusing on the development of new products and revenue growth. Operating expenses as a percentage of revenues decreased 130 basis points from 23.1% in 2017 to 21.8% in 2018 due to the combination of higher revenues and lower expenses in 2018.</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 benefit was $18,386 for the year ended December 31, 2018, compared to $1,369 for the year ended December 31, 2017. 2018 includes a non-cash tax benefit of $18,652 reflecting our release of the valuation allowance on our U.S. deferred tax assets as of December 31, 2018 based on management’s assessment of a number of factors including the expectation of future sustained profitability of our business sufficient to utilize our net operating losses and tax credits. As a result of the Tax Cuts and Jobs Act, a one-time, non-cash tax benefit of $1,939 was included in our 2017 results upon the revaluation, at the newly enacted 21% Federal tax rate, of deferred tax liabilities relating to book-to-tax differences on goodwill and indefinite-lived intangible assets.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attributable to Ultralife for 2018 was $24,930, which includes the non-cash tax benefit of $18,652, compared to $7,648, which includes the one-time, non-cash tax benefit of $1,939, for the year ended December 31, 2017. Reported earnings per share for 2018 of $1.57 per basic share ($1.53 per diluted share) include $0.40 from our operating performance plus $1.17 related to the tax benefit, compared to $0.49 per basic share ($0.48 per diluted share) for 2017, including $0.37 from our operating performance plus $0.12 related to the tax benefit.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(benefit) for income taxes, depreciation and amortization, plus/minus expenses/income that we do not consider reflective of our continuing operations, amounted to $9,902 for the year ended December 31, 2018 compared to $9,594 for the prior period. See the section “Adjusted EBITDA” beginning on page 29 for a reconciliation of Adjusted EBITDA to net income attributable to Ultralife.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total cash of $25,934, an increase of $7,604 or 41.5% from the cash position of $18,330 as of December 31, 2017. The increase primarily reflects our favorable operating performance and a 13.2% decrease in inventory. We had no debt as of December 31, 2018 or December 31, 2017.</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opportunities for growth in 2019 from our commercial diversification strategy and government/defense customers remain strong, and we have started the new fiscal year with over $50 million in backlog, a 30% increase over the beginning of 2018. As a result of this starting point, other new revenue opportunities, and continued operating expense discipline, we expect to deliver profitable growth in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the 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70,497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69,789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87,190</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85,531</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50,923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50,130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61,607</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59,299</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19,574</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19,659</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25,583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26,232</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6,555</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6,476</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6,613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6,295</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24,999</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7,664</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Ultralife</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24,930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Ultralife Common Shares – Basic</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Net Income Attributable to Ultralife Common Shares – Diluted</w:t>
            </w:r>
          </w:p>
        </w:tc>
        <w:tc>
          <w:tcPr>
            <w:tcW w:w="9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15,881,976</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15,527,759</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354,217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16,346,980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15,858,435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0" w:type="dxa"/>
            <w:vAlign w:val="bottom"/>
          </w:tcPr>
          <w:p>
            <w:pPr>
              <w:spacing w:after="0"/>
              <w:rPr>
                <w:sz w:val="24"/>
                <w:szCs w:val="24"/>
                <w:color w:val="auto"/>
              </w:rPr>
            </w:pPr>
          </w:p>
        </w:tc>
        <w:tc>
          <w:tcPr>
            <w:tcW w:w="48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ind w:right="350"/>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2018 amounted to $87,190, an increase of $1,659, or 1.9% from the $85,531 reported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Battery &amp; Energy Products revenues increased $708, or 1.0%, for the year ended December 31, 2018. Government and defense sales of this business increased 1.6% from 2017 and now comprise 41.8% of total segment sales versus 41.6% last year. The increase primarily reflects the higher overall demand for batteries and chargers across our U.S. customer base. Commercial revenues of this business increased 0.6% from 2017 and now comprise 58.2% of total segment sales versus 58.4% last year. The year-over-year increase primarily resulted from an 8.5% increase in medical sales due to increased demand for our medical batteries and chargers, partially offset by 15.1% decline in 9 Volt battery sales.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Systems revenues increased $951 or 6.0% for the year ended December 31, 2018. Revenues attributable to fulfillment of a contract for Vehicle Amplifier-Adaptors to a global prime defense contractor for the U. S. Army’s Security Force Assistance Brigades and other opportunities, as well as higher demand for our core amplifiers and integrated solutions products were responsible for the increase.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order backlog at December 31, 2018 was $50,944, an increase of $11,858 or 30.3% from the backlog at December 31, 2017, which was $39,086. For our Battery &amp; Energy Products business, the backlog decreased by $1,758 or 5.7% from $31,013 to $29,255 primarily due to the timing of orders from a certain medical customer which were subsequently received in the first week of January 2019. For our Communications Systems business, the backlog increased by $13,616 or 168.7% to $21,689 from $8,073 resulting primarily from a $10,900 contract and an $8,300 contract, both awarded in October 2018 from a global prime defense contractor for our Vehicle Amplifier-Adaptors for the U.S. Army’s Leader Radio Program and other opportunities, as well as a $1,600 initial firm order on a $9,500 indefinite-delivery/indefinite-quantity contract also awarded in October 2018 for our vehicle communication kits for use by the U.S. Department of Defense.</w:t>
      </w:r>
    </w:p>
    <w:p>
      <w:pPr>
        <w:spacing w:after="0" w:line="189"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i w:val="1"/>
          <w:iCs w:val="1"/>
          <w:color w:val="auto"/>
        </w:rPr>
        <w:t>Cost of Products Sold and Gross Profit.</w:t>
      </w:r>
      <w:r>
        <w:rPr>
          <w:sz w:val="20"/>
          <w:szCs w:val="20"/>
          <w:color w:val="auto"/>
        </w:rPr>
        <w:tab/>
      </w:r>
      <w:r>
        <w:rPr>
          <w:rFonts w:ascii="Arial" w:cs="Arial" w:eastAsia="Arial" w:hAnsi="Arial"/>
          <w:sz w:val="16"/>
          <w:szCs w:val="16"/>
          <w:color w:val="auto"/>
        </w:rPr>
        <w:t>Cost of products sold for the year ended December 31, 2018 increased $2,308, or 3.9%, from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Consolidated cost of products sold as a percentage of total revenue increased from 69.3% for the year ended December 31, 2017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70.7% for the year ended December 31, 2018. Correspondingly, consolidated gross margin was 29.3% for the year ended December 31, 2018,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30.7% for the year ended December 31, 2017. The 140 basis point decline in gross margin is due primarily to product mix in both of our business segments.</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$793 or 1.6%, from the year ended December 31, 2017. Battery &amp; Energy Products’ gross profit for 2018 was $19,574 or 27.8% of revenues, a decrease of $85 or 0.4% from gross profit of $19,659, or 28.2% of revenues, for 2017. As a result, Battery &amp; Energy Products’ gross margin as a percentage of revenues decreased for the year ended December 31, 2018 by 40 basis points from the prior year to 27.8%, reflecting product mix, including a larger concentration of government and defense sales primarily consisting of legacy products compared to the prior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Communications Systems segment, the cost of products sold increased by $1,515 or 16.5% from the year ended December 31, 2017. Communications Systems’ gross profit for the year ended December 31, 2018 was $6,009 or 36.0% of revenues, a decrease of $564 or 8.6% from gross profit of $6,573 or 41.8% of revenues, for the year ended December 31, 2017. The 580 basis points decrease in gross margin as a percentage of revenue during 2018 to 36.0% is primarily due to sales product mix between competitively bid large program shipments and core/flow sales.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31, 2018 decreased $728 or 3.7% from the year ended December 31, 2017.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attributable to strict control over non-revenue related discretionary spending, while continuing to focus on the development of new products and revenue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Overall, operating expenses as a percentage of revenues were 21.8% for the year ended December 31, 2018 compared to 23.1% for the comparable 2017 period. Amortization expense associated with intangible assets related to our acquisitions decreased to $397 for the year ended December 31, 2018 ($250 in selling, general and administrative expenses and $147 in research and development costs) from $422 for the year ended December 31, 2017 ($257 in selling, general and administrative expenses and $165 in research and development costs). Research and development costs were $4,508 in 2018, a decrease of $229 or 4.8%, from $4,737 reported in 2017. The decrease primarily reflects the timing of development and testing costs associated with new products. Selling, general, and administrative expenses decreased $499 or 3.3%, from $15,019 for the year ended December 31, 2017 to $14,520 for the year ended December 31, 2018. The decrease is primarily attributable to lower variable compensation expenses between periods and continued tight control over discretionary spending.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totaled $58 for the year ended December 31, 2018 compared to ($181)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Interest and financing expense, net of interest income, decreased $120 from $183 for 2017 to $63 for 2018 due to the interest income earned on the higher cash balances throughout 2018. Miscellaneous income (expense) amounted to $121 for 2018 compared with $2 for 2017, primarily due to transactions impacted by foreign currency fluctuation between the U. S. Dollar, Pound Sterling and Euro.</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recorded a tax benefit of $18,386 for the year ended December 2018 compared to $1,369 for the year ended December 31, 2017. A non-cash tax benefit of $18,652 was included in our 2018 results reflecting our release of the valuation allowance on our U.S. deferred tax assets as of December 31, 2018 based on management’s assessment of a number of factors including the expectation of future sustained profitability of our business sufficient to utilize our net operating losses and tax credits. A one-time, non-cash tax benefit of $1,939 was included in our 2017 results as a result of the Tax Cut and Jobs Act requiring the revaluation, at the newly enacted 21% Federal tax rate, of deferred tax liabilities relating to book-to-tax differences on goodwill and certain other indefinite-lived intangible assets. Excluding these one-time tax benefits, and applying the reversal of the U.S. valuation allowance at December 31, 2018, the tax provisions for 2018 and 2017 would have been $266, and $570, respectively, primarily reflecting the income generated by our foreign operations and the recognition of deferred tax liabilities generated from the amortization of goodwill and certain other indefinite-lived intangible assets for tax purposes that cannot be predicted to reverse for book purposes.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of $63,388, which expire 2019 thru 2035, and our general business tax credits of $1,817, which expire 2028 thru 2037. Based on the results of our assessment, management concluded that it is more likely than not that our U.S. deferred tax assets will be fully realized. Reversal of the valuation allowance on our U.S. deferred tax assets is an indicator of our positive sentiment about Ultralife’s future profitability.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and 2017, for certain past operations in the U.K., we continue to report a valuation allowance for net operating loss carryforwards of $10,220,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These net operating losses in the U.K. cannot currently be used to reduce taxable income at our other U.K. subsidiary, Accutronics Ltd. There are no other deferred tax assets related to the past U.K. operations. As of December 31,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Net Income Attributable to Ultralife</w:t>
      </w:r>
      <w:r>
        <w:rPr>
          <w:rFonts w:ascii="Arial" w:cs="Arial" w:eastAsia="Arial" w:hAnsi="Arial"/>
          <w:sz w:val="17"/>
          <w:szCs w:val="17"/>
          <w:color w:val="auto"/>
        </w:rPr>
        <w:t>. Net income attributable to Ultralife was $24,930, which includes the $18,652 tax benefit, compared to $7,648,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$1,939 tax benefit, for the year ended December 31, 2017. Reported earnings per share for 2018 of $1.57 per basic share ($1.53 per diluted share) includes $0.40 from our operating performance plus $1.17 related to the tax benefit, compared to 2017 of $0.49 per basic share ($0.48 per diluted share) including $0.37 from our operating performance, plus $0.12 related to the tax benefit. Average common shares outstanding used to compute diluted earnings per share increased from 15,858,435 in the 2017 period to 16,346,980 in the 2018 period, mainly due to the increase in the weighted average stock from $6.42 for 2017 to $8.61 for 2018 and the resulting impact on the treasury method used to calculate dilutive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attributable to Ultralife before net interest expense, provision (benefit) for income taxes, depreciation and amortization, and stock-based compensation expense.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U.S. generally accepted accounting principles (“U.S. GAAP”).</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operating income.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4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(18,386)</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Adjusted EBIDTA</w:t>
            </w:r>
          </w:p>
        </w:tc>
        <w:tc>
          <w:tcPr>
            <w:tcW w:w="980" w:type="dxa"/>
            <w:vAlign w:val="bottom"/>
          </w:tcPr>
          <w:p>
            <w:pPr>
              <w:jc w:val="right"/>
              <w:ind w:right="81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9,902</w:t>
            </w:r>
          </w:p>
        </w:tc>
        <w:tc>
          <w:tcPr>
            <w:tcW w:w="120" w:type="dxa"/>
            <w:vAlign w:val="bottom"/>
          </w:tcPr>
          <w:p>
            <w:pPr>
              <w:spacing w:after="0"/>
              <w:rPr>
                <w:sz w:val="18"/>
                <w:szCs w:val="18"/>
                <w:color w:val="auto"/>
              </w:rPr>
            </w:pP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9,594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cash totaled $25,934 (including restricted cash of $351), an increase of $7,604, or 41.5%, from the beginning of the year primarily attributable to the Company’s operating performance and reduction in inventory in 2018. During the year ended December 31, 2018, we generated $10,886 of cash from operating activities as compared to $7,270 of cash for the year ended December 31, 2017, an increase of $3,616 or 49.7%. In 2018, cash generated from operating activities was primarily a result of our net income of $24,999 plus non-cash expenses of depreciation, amortization, and stock-based compensation totaling $3,295, offset by a $18,643 net deferred tax benefit primarily attributable to a non-cash benefit of $18,652 relating to our release of the valuation allowance on our U.S. deferred tax assets as of December 31, 2018. Working capital changes of $1,235 for 2018 increased the operating cash generated, due mainly to a $3,186 reduction in inventory.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totaled $4,185 and $1,392 in 2018 and 2017, respectively, consisting solely of capital expenditures. The year-over-year increase in capital expenditures was due primarily to the 2018 payment for automation equipment pertaining to our Battery &amp; Energy Products business, including 3-Volt cell production.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generated $1,168 in cash from financing activities during 2018, compared to $1,403 from financing activities during 2017. In 2018 and 2017, we received $1,568 and $1,429, respectively, in funds from the issuance of common stock in connection with the exercise of stock options by our employees. In 2018 and 2017, we used $55 and $26, respectively, for tax withholdings related to stock-based awards. In 2018, we spent $742 (including fees and commissions) to repurchase our common stock under the Company’s Share Repurchase Program, which commenced on November 1, 2018. We also received $397 in 2018 for a government grant awarded in the People’s Republic of China to fund specified future technological research and development initiatives.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have significant U.S. net operating loss carryforwards available to utilize as an offset to taxable income. As of December 31, 2018, none of our U.S. net operating loss carryforwards have expired. See Note 7 in our notes to the consolidated financial statements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made commitments to purchase approximately $2,848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Positive operating cash flow is expected to continue to be adequate to meet obligations for both financing and investing.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Debt and Lease Commitments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had available borrowings of approximately $30,000 under the Credit Facility at December 31, 2018.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will accrue on outstanding indebtedness under the Credit Agreement at the Overnight LIBOR Rate plus the applicable margin, or at the Base Rate plus the applicable margin, as selected by the Company. Beginning April 2, 2018 and thereafter, the applicable margins will be determined based on the chart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600" w:type="dxa"/>
            <w:vAlign w:val="bottom"/>
            <w:tcBorders>
              <w:top w:val="single" w:sz="8" w:color="auto"/>
              <w:left w:val="single" w:sz="8" w:color="auto"/>
              <w:right w:val="single" w:sz="8" w:color="auto"/>
            </w:tcBorders>
          </w:tcPr>
          <w:p>
            <w:pPr>
              <w:spacing w:after="0"/>
              <w:rPr>
                <w:sz w:val="19"/>
                <w:szCs w:val="19"/>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460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Consolidated Senior Leverage Ratio</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47"/>
        </w:trPr>
        <w:tc>
          <w:tcPr>
            <w:tcW w:w="460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LIBOR Loans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193"/>
        </w:trPr>
        <w:tc>
          <w:tcPr>
            <w:tcW w:w="460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rPr>
              <w:t>Less than 1.50 to 1.00</w:t>
            </w:r>
          </w:p>
        </w:tc>
        <w:tc>
          <w:tcPr>
            <w:tcW w:w="2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6"/>
              </w:rPr>
              <w:t>185</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(50)</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20</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Greater than or equal to 1.50 to 1.00 but less than 2.50 to 1.00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200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Greater than or equal to 2.50 to 1.00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215</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December 31,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we had no outstanding balance under the Credit Facility and no outstanding letters of credit related to the Credit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 4 in the notes to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discussion and analysis of our financial condition and results of operations are based upon our consolidated financial statements, which have been prepared in accordance with U.S.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January 1, 2018, the Company adopted Accounting Standards Update 2014-09 (Topic 606) “Revenue from Contracts with Customers”. Adoption of Topic 606 did not impact the timing of revenue recognition in our consolidated financial statements for the current or prior periods. Upon adoption, we have updated our policies to conform to the new standard.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contracts with customers generally have an original expected duration of less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Valuation of Inventory: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Inventories are stated at the lower of cost or net realizable value, with cost determined using the first-in, first-out (“FIFO”) method. Our inventory includes raw materials, work in process and finished goods. We recognize provisions for excess, obsolete or slow 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and related reserves are based on actual past experience and are generally estimated as a percentage of sales over the warranty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Environmental Issues: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recognized over their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conducted our annual impairment test for goodwill and other indefinite-lived intangible assets as of October 1, 2018. We identified four goodwill reporting units. We performed a quantitative impairment test of goodwill using a discounted cash flow model and concluded that the fair value of each reporting unit exceeded its respective carrying value. To estimate the fair value of the reporting units, we used significant estimates and judgments, including an assessment of our future revenue prospects, revenue growth rates and profit margins based on past results, internal forecasts, industry and market based terminal growth rates, inputs to the weighted-average cost of capital used to discount future cash flows, and earnings multiples. We performed a quantitative impairment test of each of our four trademarks as of October 1, 2018 using the relief from royalty method and concluded that the fair value of each trademark exceeded its carrying value. Significant estimates and judgments included an assessment of our future revenue prospects, industry and market based terminal growth rates, inputs to the weighted-average cost of capital used to discount future cash flows, and royalty rates based on external market data. Based on the results of our quantitative impairment tests, and consideration of qualitative factors, no impairments were identified. Fair value exceeded carrying value for all reporting units and trademarks by more than 10%. There is a possibility that our goodwill and other intangible assets could be impaired in the future should there be a significant change in our internal forecasts and other assumptions we use in our impairment analysis.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 based awards are valued using a Monte Carlo simulation.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the realizability of our deferred tax assets is evaluated based on all available evidence, both positive and negative, weighted based on objective verifiability. Our assessment of the realizability of our deferred tax assets is based on a number of factors including but not limited to the sustainability of earnings from our core business, the accuracy of our internal earnings forecasts for future periods, our history of operating losses, our historical operating volatility, and the general business climate. As a significant portion of our deferred tax assets is comprised of net operating loss carryforwards, our ability to utilize our net operating loss carryforwards (before expiration) is also an important factor considered in our assessment. A valuation allowance is recognized when, based on the results of our assessment, the realizability of deferred tax assets is not more likely than not.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of $63,388, which expire 2019 thru 2035, and our general business tax credits of $1,817, which expire 2028 thru 2037. Based on the results of our assessment, management concluded that it is more likely than not that our U.S. deferred tax assets will be fully realized.</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December 31, 2018 and 2017, for certain past operations in the U.K., we continue to report a valuation allowance for net operating loss carryforwards of $10,220,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There are no other deferred tax assets related to the past U.K. operations. As of December 31,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businesses acquired using the acquisition method of accounting. Under this method, all acquisition-related costs are expensed as incurred. The underlying net assets are recorded at their respective acquisition-date fair values.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tcPr>
          <w:p>
            <w:pPr>
              <w:ind w:left="34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The financial statements and schedules listed in Item 15(a)(1) are included in this Report beginning on page 43.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8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Page</w:t>
            </w:r>
          </w:p>
        </w:tc>
        <w:tc>
          <w:tcPr>
            <w:tcW w:w="340" w:type="dxa"/>
            <w:vAlign w:val="bottom"/>
          </w:tcPr>
          <w:p>
            <w:pPr>
              <w:spacing w:after="0"/>
              <w:rPr>
                <w:sz w:val="24"/>
                <w:szCs w:val="24"/>
                <w:color w:val="auto"/>
              </w:rPr>
            </w:pPr>
          </w:p>
        </w:tc>
      </w:tr>
      <w:tr>
        <w:trPr>
          <w:trHeight w:val="21"/>
        </w:trPr>
        <w:tc>
          <w:tcPr>
            <w:tcW w:w="8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Balance Sheets as of December 31, 2018 and 2017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Income and Comprehensive Income for the years ended December 31, 2018 and 2017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Changes in Shareholders' Equity for the years ended December 31, 2018 and 2017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Consolidated Statements of Cash Flows for the years ended December 31, 2018 and 2017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9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459"/>
        </w:trPr>
        <w:tc>
          <w:tcPr>
            <w:tcW w:w="820" w:type="dxa"/>
            <w:vAlign w:val="bottom"/>
          </w:tcPr>
          <w:p>
            <w:pPr>
              <w:spacing w:after="0"/>
              <w:rPr>
                <w:sz w:val="24"/>
                <w:szCs w:val="24"/>
                <w:color w:val="auto"/>
              </w:rPr>
            </w:pPr>
          </w:p>
        </w:tc>
        <w:tc>
          <w:tcPr>
            <w:tcW w:w="9780" w:type="dxa"/>
            <w:vAlign w:val="bottom"/>
          </w:tcPr>
          <w:p>
            <w:pPr>
              <w:ind w:left="480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9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Ultralife Corporation (the Company) and its subsidiaries as of December 31, 2018 and 2017, and the related consolidated statements of income and comprehensive income, changes in stockholders' equity and cash flows for the years then ended, and the related notes to the consolidated financial statements (collectively, the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 w:name="page37"/>
    <w:bookmarkEnd w:id="36"/>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Cash</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25,583</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w w:val="97"/>
              </w:rPr>
              <w:t>Trade Accounts Receivable, Net of Allowance for Doubtful Accounts of $296 and $292, Respectively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16,015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Security Deposits and Other Non-Current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120,104</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9,919</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15,570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89"/>
              </w:rPr>
              <w:t>Common Stock – Par Value $.10 Per Share; Authorized 40,000,000 Shares; Issued – 20,053,335 Shares and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w w:val="90"/>
              </w:rPr>
              <w:t>19,670,928 Shares, Respectively; Outstanding – 15,920,585 Shares and 15,651,217 Shares, Respectively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(57,964)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Treasury Stock - at Cost; 4,132,750 Shares and 4,019,711 Shares, respectively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(19,266)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Ultralife Corporation Equity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120,104</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740" w:type="dxa"/>
            <w:vAlign w:val="bottom"/>
            <w:gridSpan w:val="5"/>
          </w:tcPr>
          <w:p>
            <w:pPr>
              <w:jc w:val="center"/>
              <w:ind w:left="15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jc w:val="right"/>
              <w:ind w:right="21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8" w:name="page39"/>
    <w:bookmarkEnd w:id="38"/>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87,190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26,232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14,520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19,756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24,999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24,930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(1,175)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23,755</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Net Income Per Share Attributable to Ultralife Corporation Common Shareholders – Basic:</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Income Per Share Attributable to Ultralife Corporation Common Shareholders – Diluted:</w:t>
            </w:r>
          </w:p>
        </w:tc>
        <w:tc>
          <w:tcPr>
            <w:tcW w:w="4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15,882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16,347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4"/>
              </w:rPr>
              <w:t>15,858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9" w:name="page40"/>
    <w:bookmarkEnd w:id="39"/>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CHANGES IN SHAREHOLDERS’ EQUITY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gridSpan w:val="6"/>
            <w:vMerge w:val="restart"/>
          </w:tcPr>
          <w:p>
            <w:pPr>
              <w:jc w:val="right"/>
              <w:ind w:right="6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6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 Excess</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160"/>
              <w:spacing w:after="0" w:line="195" w:lineRule="exact"/>
              <w:rPr>
                <w:sz w:val="20"/>
                <w:szCs w:val="20"/>
                <w:color w:val="auto"/>
              </w:rPr>
            </w:pPr>
            <w:r>
              <w:rPr>
                <w:rFonts w:ascii="Arial" w:cs="Arial" w:eastAsia="Arial" w:hAnsi="Arial"/>
                <w:sz w:val="18"/>
                <w:szCs w:val="18"/>
                <w:color w:val="auto"/>
                <w:w w:val="99"/>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of Par</w:t>
            </w:r>
          </w:p>
        </w:tc>
        <w:tc>
          <w:tcPr>
            <w:tcW w:w="134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88"/>
              </w:rPr>
              <w:t>Comprehensive</w:t>
            </w:r>
          </w:p>
        </w:tc>
        <w:tc>
          <w:tcPr>
            <w:tcW w:w="1180" w:type="dxa"/>
            <w:vAlign w:val="bottom"/>
            <w:gridSpan w:val="3"/>
          </w:tcPr>
          <w:p>
            <w:pPr>
              <w:spacing w:after="0" w:line="195"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w w:val="90"/>
              </w:rPr>
              <w:t>Treasury</w:t>
            </w:r>
          </w:p>
        </w:tc>
        <w:tc>
          <w:tcPr>
            <w:tcW w:w="104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7"/>
              </w:rPr>
              <w:t>Controlling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Income (Loss)</w:t>
            </w:r>
          </w:p>
        </w:tc>
        <w:tc>
          <w:tcPr>
            <w:tcW w:w="16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19,324,723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178,163</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Tax Withholdings on Option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Exercises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7"/>
              </w:rPr>
              <w:t>Vesting of Restricted Shares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19,670,928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180,211</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Exercises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Tax Withholdings on Option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Restricted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0" w:lineRule="exact"/>
        <w:rPr>
          <w:sz w:val="20"/>
          <w:szCs w:val="20"/>
          <w:color w:val="auto"/>
        </w:rPr>
      </w:pPr>
    </w:p>
    <w:p>
      <w:pPr>
        <w:ind w:left="180" w:right="300" w:hanging="161"/>
        <w:spacing w:after="0" w:line="282" w:lineRule="auto"/>
        <w:rPr>
          <w:sz w:val="20"/>
          <w:szCs w:val="20"/>
          <w:color w:val="auto"/>
        </w:rPr>
      </w:pPr>
      <w:r>
        <w:rPr>
          <w:rFonts w:ascii="Arial" w:cs="Arial" w:eastAsia="Arial" w:hAnsi="Arial"/>
          <w:sz w:val="18"/>
          <w:szCs w:val="18"/>
          <w:b w:val="1"/>
          <w:bCs w:val="1"/>
          <w:color w:val="auto"/>
        </w:rPr>
        <w:t>Balance – December 31,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4"/>
          </w:tcPr>
          <w:p>
            <w:pPr>
              <w:jc w:val="right"/>
              <w:ind w:right="140"/>
              <w:spacing w:after="0"/>
              <w:rPr>
                <w:sz w:val="20"/>
                <w:szCs w:val="20"/>
                <w:color w:val="auto"/>
              </w:rPr>
            </w:pPr>
            <w:r>
              <w:rPr>
                <w:rFonts w:ascii="Arial" w:cs="Arial" w:eastAsia="Arial" w:hAnsi="Arial"/>
                <w:sz w:val="18"/>
                <w:szCs w:val="18"/>
                <w:color w:val="auto"/>
              </w:rPr>
              <w:t>(742)</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382,407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1,568</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jc w:val="right"/>
              <w:ind w:right="14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817</w:t>
            </w: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(1,175)</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24,930</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24,999</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8"/>
                <w:szCs w:val="18"/>
                <w:color w:val="auto"/>
                <w:w w:val="99"/>
              </w:rPr>
              <w:t>20,053,335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182,630</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(2,786)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2420" w:type="dxa"/>
            <w:vAlign w:val="bottom"/>
            <w:gridSpan w:val="5"/>
          </w:tcPr>
          <w:p>
            <w:pPr>
              <w:jc w:val="right"/>
              <w:ind w:right="280"/>
              <w:spacing w:after="0"/>
              <w:rPr>
                <w:sz w:val="20"/>
                <w:szCs w:val="20"/>
                <w:color w:val="auto"/>
              </w:rPr>
            </w:pPr>
            <w:r>
              <w:rPr>
                <w:rFonts w:ascii="Arial" w:cs="Arial" w:eastAsia="Arial" w:hAnsi="Arial"/>
                <w:sz w:val="18"/>
                <w:szCs w:val="18"/>
                <w:color w:val="auto"/>
              </w:rPr>
              <w:t>(57,964)  $   (19,266)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104,534</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-1929130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-1654810</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-1105535</wp:posOffset>
            </wp:positionV>
            <wp:extent cx="72466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-556895</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-273685</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140" w:space="120"/>
            <w:col w:w="9160"/>
          </w:cols>
          <w:pgMar w:left="240" w:top="823"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24,999</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(18,643)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 and payable</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10,886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(4,185)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Withholdings on Stock-Based Awards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Proceeds from Government Grant</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7,604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Beginning of Year</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18,330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9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25,934</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in Process in Accounts Payable</w:t>
            </w:r>
          </w:p>
        </w:tc>
        <w:tc>
          <w:tcPr>
            <w:tcW w:w="9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1,616</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80" w:type="dxa"/>
            <w:vAlign w:val="bottom"/>
          </w:tcPr>
          <w:p>
            <w:pPr>
              <w:ind w:left="160"/>
              <w:spacing w:after="0" w:line="196" w:lineRule="exact"/>
              <w:rPr>
                <w:sz w:val="20"/>
                <w:szCs w:val="20"/>
                <w:color w:val="auto"/>
              </w:rPr>
            </w:pPr>
            <w:r>
              <w:rPr>
                <w:rFonts w:ascii="Arial" w:cs="Arial" w:eastAsia="Arial" w:hAnsi="Arial"/>
                <w:sz w:val="18"/>
                <w:szCs w:val="18"/>
                <w:color w:val="auto"/>
              </w:rPr>
              <w:t>Income Taxes Paid</w:t>
            </w:r>
          </w:p>
        </w:tc>
        <w:tc>
          <w:tcPr>
            <w:tcW w:w="920" w:type="dxa"/>
            <w:vAlign w:val="bottom"/>
          </w:tcPr>
          <w:p>
            <w:pPr>
              <w:spacing w:after="0"/>
              <w:rPr>
                <w:sz w:val="17"/>
                <w:szCs w:val="17"/>
                <w:color w:val="auto"/>
              </w:rPr>
            </w:pP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220</w:t>
            </w:r>
          </w:p>
        </w:tc>
        <w:tc>
          <w:tcPr>
            <w:tcW w:w="1020" w:type="dxa"/>
            <w:vAlign w:val="bottom"/>
            <w:gridSpan w:val="2"/>
          </w:tcPr>
          <w:p>
            <w:pPr>
              <w:jc w:val="right"/>
              <w:ind w:right="86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Interest Paid</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132</w:t>
            </w:r>
          </w:p>
        </w:tc>
        <w:tc>
          <w:tcPr>
            <w:tcW w:w="1020" w:type="dxa"/>
            <w:vAlign w:val="bottom"/>
            <w:gridSpan w:val="2"/>
            <w:shd w:val="clear" w:color="auto" w:fill="CCEEFF"/>
          </w:tcPr>
          <w:p>
            <w:pPr>
              <w:jc w:val="right"/>
              <w:ind w:right="86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in this annual report, unless otherwise indicated, the terms “we”, “our” and “us” refer to Ultralife Corporation (“Ultralife”) and includes our wholly-owned subsidiaries, ABLE New Energy Co., Limited and its wholly-owned subsidiary ABLE New Energy Co.; Ltd; Ultralife UK LTD and its wholly-owned subsidiary, Accutronics Ltd; Ultralife Batteries (UK) Ltd.; and our majority-owned joint venture Ultralife Batteries India Private Limited.</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LTD, and its wholly-owned subsidiary Accutronics Ltd,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5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valuation of assets acquired and liabilities assumed in business combinations; (d) various expense accruals; and (e) stock-based compensation. Our actual results could differ from these estimates.</w:t>
      </w:r>
    </w:p>
    <w:p>
      <w:pPr>
        <w:spacing w:after="0" w:line="17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items previously reported in specific financial statement captions are reclassified to conform to the current presentation. There were no material reclassifications for the years ended December 31, 2018 and 2017.</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w:t>
      </w:r>
    </w:p>
    <w:p>
      <w:pPr>
        <w:spacing w:after="0" w:line="17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Inventories are stated at the lower of cost or net realizable value with cost determined under the first-in, first-out (FIFO) method. We record provisions for excess, obsolete or slow-moving inventory based on changes in customer demand, technology developments or other economic factors.</w:t>
      </w:r>
    </w:p>
    <w:p>
      <w:pPr>
        <w:spacing w:after="0" w:line="14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are stated at cost. Depreciation and amortization are computed using the straight-line method over the estimated useful lives.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 (in years):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8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80" w:type="dxa"/>
            <w:vAlign w:val="bottom"/>
          </w:tcPr>
          <w:p>
            <w:pPr>
              <w:ind w:left="2740"/>
              <w:spacing w:after="0"/>
              <w:rPr>
                <w:sz w:val="20"/>
                <w:szCs w:val="20"/>
                <w:color w:val="auto"/>
              </w:rPr>
            </w:pPr>
            <w:r>
              <w:rPr>
                <w:rFonts w:ascii="Arial" w:cs="Arial" w:eastAsia="Arial" w:hAnsi="Arial"/>
                <w:sz w:val="18"/>
                <w:szCs w:val="18"/>
                <w:color w:val="auto"/>
              </w:rPr>
              <w:t>5</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60"/>
              <w:spacing w:after="0"/>
              <w:rPr>
                <w:sz w:val="20"/>
                <w:szCs w:val="20"/>
                <w:color w:val="auto"/>
              </w:rPr>
            </w:pPr>
            <w:r>
              <w:rPr>
                <w:rFonts w:ascii="Arial" w:cs="Arial" w:eastAsia="Arial" w:hAnsi="Arial"/>
                <w:sz w:val="18"/>
                <w:szCs w:val="18"/>
                <w:color w:val="auto"/>
              </w:rPr>
              <w:t>10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8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980" w:type="dxa"/>
            <w:vAlign w:val="bottom"/>
          </w:tcPr>
          <w:p>
            <w:pPr>
              <w:ind w:left="2740"/>
              <w:spacing w:after="0"/>
              <w:rPr>
                <w:sz w:val="20"/>
                <w:szCs w:val="20"/>
                <w:color w:val="auto"/>
              </w:rPr>
            </w:pPr>
            <w:r>
              <w:rPr>
                <w:rFonts w:ascii="Arial" w:cs="Arial" w:eastAsia="Arial" w:hAnsi="Arial"/>
                <w:sz w:val="18"/>
                <w:szCs w:val="18"/>
                <w:color w:val="auto"/>
              </w:rPr>
              <w:t>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02"/>
        </w:trPr>
        <w:tc>
          <w:tcPr>
            <w:tcW w:w="5220" w:type="dxa"/>
            <w:vAlign w:val="bottom"/>
            <w:shd w:val="clear" w:color="auto" w:fill="CCEEFF"/>
          </w:tcPr>
          <w:p>
            <w:pPr>
              <w:spacing w:after="0"/>
              <w:rPr>
                <w:sz w:val="17"/>
                <w:szCs w:val="17"/>
                <w:color w:val="auto"/>
              </w:rPr>
            </w:pPr>
          </w:p>
        </w:tc>
        <w:tc>
          <w:tcPr>
            <w:tcW w:w="4480" w:type="dxa"/>
            <w:vAlign w:val="bottom"/>
            <w:gridSpan w:val="3"/>
            <w:shd w:val="clear" w:color="auto" w:fill="CCEEFF"/>
          </w:tcPr>
          <w:p>
            <w:pPr>
              <w:ind w:left="2740"/>
              <w:spacing w:after="0" w:line="201" w:lineRule="exact"/>
              <w:rPr>
                <w:sz w:val="20"/>
                <w:szCs w:val="20"/>
                <w:color w:val="auto"/>
              </w:rPr>
            </w:pPr>
            <w:r>
              <w:rPr>
                <w:rFonts w:ascii="Arial" w:cs="Arial" w:eastAsia="Arial" w:hAnsi="Arial"/>
                <w:sz w:val="18"/>
                <w:szCs w:val="18"/>
                <w:color w:val="auto"/>
                <w:w w:val="97"/>
              </w:rPr>
              <w:t>Lesser of useful life or</w:t>
            </w: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8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rPr>
              <w:t>lease term</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8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 If the expected undiscounted future cash flows exceed the respective carrying amount as of the date of assessment, no impairment is recognized.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recognized over their weighted-average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of our foreign subsidiaries are translated from the functional currency into U.S. dollar equivalents, with translation adjustments recorded as the sole component of accumulated other comprehensive loss. Exchange gains and losses related to foreign currency transactions and balances denominated in currencies other than the functional currency are recognized in net income.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k</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2018, the Company adopted Accounting Standards Update 2014-09 (Topic 606) “Revenue from Contracts with Customers”. Adoption of Topic 606 did not impact the timing of revenue recognition in our consolidated financial statements for the current or prior periods. Accordingly, no adjustments have been made to opening retained earnings or prior period amounts. See Note 9 for disaggregated revenue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recognized from prior period performance obligations for the year ended December 31, 2018 were not material.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December 31, 2018 and 2017 were not material.</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Warranty costs are recorded as costs of products sold. Provision for warranty costs is recorded in other current liabilities and other long-term liabilities on our consolidated balance sheets based on the duration of the warranty.</w:t>
      </w:r>
    </w:p>
    <w:p>
      <w:pPr>
        <w:spacing w:after="0" w:line="18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December 31, 2018.</w:t>
      </w:r>
    </w:p>
    <w:p>
      <w:pPr>
        <w:spacing w:after="0" w:line="17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2018 and 2017, we expended $4,905 and $5,142, respectively, on research and development, including $397 and $405, respectively, on customer sponsored research and development activities, which are included in cost of goods sold. We recognized $397 and $405 of revenue relating to these activities for the years ended December 31, 2018 and 2017, respectively.</w:t>
      </w:r>
    </w:p>
    <w:p>
      <w:pPr>
        <w:spacing w:after="0" w:line="18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Environmental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on the basis of all available evidence, both positive and negative, weighted based on objective verifiability.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Concentration Related to Customers and Suppliers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major customer, a large defense primary contractor, which comprised 16% and 18% of our revenues in 2018 and 2017, respectively. There were no other customers that comprised greater than 10% of our total revenues during these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2018 and 2017, we do not consider this customer to be a significant credit risk.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52" w:lineRule="exact"/>
        <w:rPr>
          <w:sz w:val="20"/>
          <w:szCs w:val="20"/>
          <w:color w:val="auto"/>
        </w:rPr>
      </w:pPr>
    </w:p>
    <w:p>
      <w:pPr>
        <w:jc w:val="both"/>
        <w:ind w:left="1300" w:hanging="971"/>
        <w:spacing w:after="0" w:line="264" w:lineRule="auto"/>
        <w:tabs>
          <w:tab w:leader="none" w:pos="12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financial instruments approximated their carrying values at December 31, 2018 and 2017. The fair value of cash, trade accounts receivable, trade accounts payable, and accrued liabilities approximates carrying value due to the short-term nature of these instruments.</w:t>
      </w:r>
    </w:p>
    <w:p>
      <w:pPr>
        <w:spacing w:after="0" w:line="14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(“EPS”) is computed by dividing net income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jc w:val="both"/>
        <w:spacing w:after="0" w:line="255" w:lineRule="auto"/>
        <w:rPr>
          <w:sz w:val="20"/>
          <w:szCs w:val="20"/>
          <w:color w:val="auto"/>
        </w:rPr>
      </w:pPr>
      <w:r>
        <w:rPr>
          <w:rFonts w:ascii="Arial" w:cs="Arial" w:eastAsia="Arial" w:hAnsi="Arial"/>
          <w:sz w:val="18"/>
          <w:szCs w:val="18"/>
          <w:color w:val="auto"/>
        </w:rPr>
        <w:t>For the year ended December 31, 2018, the calculation of diluted EPS included 1,127,837 stock options and 17,500 restricted stock awards. Inclusion of these shares resulted in 465,004 additional shares in the calculation of diluted EPS. There were 448,250 outstanding stock options as of December 31, 2018 excluded from the calculation of diluted EPS, as inclusion of these shares would have been anti-dilutive.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2017, the calculation of diluted EPS included 1,035,711 stock options. Inclusion of these shares resulted in 330,676 additional shares in the calculation of diluted EPS. There were no unvested restricted stock units as of December 31, 2017. 824,500 outstanding stock options as of December 31, 2017 were excluded from the calculation of diluted EPS, as inclusion of these shares would have been anti-dilutive.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that are described more fully in Note 6.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FASB issued ASU 2014-09 (Topic 606) “Revenue from Contracts with Customer”. Under this standard, revenue is recognized when promised goods or services are transferred to customers in an amount that reflects the consideration that is expected to be received for those goods or services. The new standard will replace most existing revenue recognition guidance under GAAP and permits the use of either the retrospective or cumulative effect transition method. Topic 606 is effective for annual reporting periods beginning after December 15, 2017, including interim periods within that reporting period. The Company adopted Topic 606 effective January 1, 2018. Adoption of Topic 606 did not impact the timing of revenue recognition in our consolidated financial statements for the current or prior periods. Accordingly, no adjustments have been made to opening retained earnings or prior period amounts. Adoption of this standard required additional disclosure which can be found in Notes 1 and 9.</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2016, the FASB issued ASU 2016-18, “Statement of Cash Flows (Topic 230): Restricted Cash”. The standard is effective for fiscal years beginning after December 31, 2017, and interim periods within those fiscal years, and should be applied using a retrospective transition method for each period presented. The standard requires that amounts generally described as restricted cash and restricted cash equivalents be included with cash and cash equivalents when reconciling the beginning-of-period and end-of-period total cash amounts shown on the statements of cash flows. The Company has adopted this standard effective January 1, 2018. As a result, restricted cash has been included in the total cash amounts on the consolidated statement of cash flows for all periods presented and the required disclosures have been included in the notes to consolidated financial statements. There was no impact to the Company’s consolidated statements of income as a result of adopting this new accounting standard.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2016, the FASB issued Accounting Standards Update 2016-15, “Statement of Cash Flows (Topic 230), Classification of Certain Cash Receipts and Cash Payments”. The standard makes eight targeted changes to how cash receipts and cash payments are presented and classified in the statement of cash flows. The standard is effective for fiscal years beginning after December 15, 2017, and interim periods within those fiscal years. The standard requires adoption on a retrospective basis unless it is impracticable to apply, in which case the Company would be required to apply the amendments prospectively as of the earliest date practicable. The Company has adopted this standard effective January 1, 2018. Adoption of this standard did not impact our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2017-09, “Compensation – Stock Compensation (Topic 718) – Scope of Modification Accounting”, which provides guidance about which changes to the terms or conditions of a share-based payment award require an entity to apply modification accounting in Topic 718. The standard is effective for fiscal years beginning after December 15, 2017 and interim periods within those fiscal years. The standard is to be applied on a prospective basis to an award modified on or after the adoption date. The Company has adopted this standard effective January 1, 2018. Adoption of this standard did not impact our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The new guidance requires that entities recognize the income tax consequences of an intra-entity transfer of an asset other than inventory when the transfer occurs, rather than when the asset is sold to an outside party. The standard is effective for annual reporting periods beginning after December 15, 2017, including interim periods within those annual reporting periods. Early adoption is permitted. The new guidance requires adoption on a modified retrospective basis through a cumulative-effect adjustment directly to retained earnings as of the beginning of the period of adoption. The Company has adopted this standard effective January 1, 2018. Adoption of this standard did not impact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7"/>
          <w:szCs w:val="17"/>
          <w:color w:val="auto"/>
        </w:rPr>
        <w:t>In March 2018, the FASB issued ASU 2018-05, “Income Taxes (Topic 740): Amendments to SEC Paragraphs Pursuant to SEC Staff Accounting Bulletin No. 118”. The standard adds various Securities and Exchange Commission (“SEC”) paragraphs pursuant to the issuance of the December 2017 SEC Staff Accounting Bulletin No. 118, “Income Tax Accounting Implications of the Tax Cuts and Jobs Act” (“SAB 118”), which was effective immediately. The SEC issued SAB 118 to address concerns about reporting entities’ ability to timely comply with the accounting requirements to recognize all of the effects of the Tax Cuts and Jobs Act (the “Tax Act”) in the period of enactment. SAB 118 allows disclosure that timely determination of some or all of the income tax effects from the Tax Act are incomplete by the due date of the financial statements and if possible to provide a reasonable estimate. Refer to Note 7 for discussion of our final determination of the effects of the Tax Act on our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ASU 2016-02, “Leases”, which requires that lessees recognize a right-to-use asset and related lease liability for all significant financing and operating leases not considered short-term leases, and specifies where in the statement of cash flows the related lease payments are to be presented. The guidance is effective for years beginning after December 15, 2018 and early adoption is permitted. The Company has adopted the new lease standard effective January 1, 2019. The impact of adoption will be the recognition of a right-to-use asset and corresponding lease liability on the Company’s consolidated balance sheet. Adoption of the new lease standard will not have a significant impact on the Company’s consolidated statement of income.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 Simplifying the Test for Goodwill Impairment”, which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standard is effective for annual and interim impairment tests performed in periods beginning after December 15, 2019 and is to be applied on a prospective basis. The Company is currently assessing the impact that adopting this new accounting standard will have on our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2 – Share Repurchase Program</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2018, we repurchased a total of 105,674 shares of our common stock under the Share Repurchase Program for an aggregate consideration (including fees and commissions) of $742.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December 31, 2018 and through February 6, 2019, we repurchased a total of 267,100 shares of our common stock, bringing the total purchases under the Share Repurchase Program to 372,774 shares for an aggregate consideration of $2,697.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Supplemental Balance Sheet Information</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Cash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$25,934 and $18,330 as of December 31, 2018 and 2017, respectively.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18,330</w:t>
            </w: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restricted cash includes a government grant awarded in the People’s Republic of China to fund specified technological research and development initiatives. The grant proceeds will be realized to income as a direct offset to expense as the related expenditures are incurred. For the year ended December 31, 2018, grant proceeds of $97 were realized as an offset to expense as expenditures were incurred. Restricted cash as of December 31, 2018 and 2017 includes deposits withheld by the Dutch tax authorities and third party VAT representatives in connection with a previously utilized logistics arrangement in the Netherlands. Restricted cash is included as a component of the cash balance for purposes of the consolidated statements of cash flows.</w:t>
      </w:r>
    </w:p>
    <w:p>
      <w:pPr>
        <w:spacing w:after="0" w:line="15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360" w:type="dxa"/>
            <w:vAlign w:val="bottom"/>
            <w:vMerge w:val="restart"/>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7"/>
              </w:rPr>
              <w:t>December 31,</w:t>
            </w:r>
          </w:p>
        </w:tc>
        <w:tc>
          <w:tcPr>
            <w:tcW w:w="10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3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13,274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Total</w:t>
            </w:r>
          </w:p>
        </w:tc>
        <w:tc>
          <w:tcPr>
            <w:tcW w:w="43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22,843</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26,326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360" w:type="dxa"/>
            <w:vAlign w:val="bottom"/>
            <w:vMerge w:val="restart"/>
          </w:tcPr>
          <w:p>
            <w:pPr>
              <w:jc w:val="right"/>
              <w:ind w:right="1410"/>
              <w:spacing w:after="0"/>
              <w:rPr>
                <w:sz w:val="20"/>
                <w:szCs w:val="20"/>
                <w:color w:val="auto"/>
              </w:rPr>
            </w:pPr>
            <w:r>
              <w:rPr>
                <w:rFonts w:ascii="Arial" w:cs="Arial" w:eastAsia="Arial" w:hAnsi="Arial"/>
                <w:sz w:val="18"/>
                <w:szCs w:val="18"/>
                <w:color w:val="auto"/>
              </w:rPr>
              <w:t>48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i w:val="1"/>
                <w:iCs w:val="1"/>
                <w:color w:val="auto"/>
              </w:rPr>
              <w:t>c.</w:t>
            </w:r>
          </w:p>
        </w:tc>
        <w:tc>
          <w:tcPr>
            <w:tcW w:w="5940" w:type="dxa"/>
            <w:vAlign w:val="bottom"/>
            <w:gridSpan w:val="2"/>
          </w:tcPr>
          <w:p>
            <w:pPr>
              <w:ind w:left="260"/>
              <w:spacing w:after="0"/>
              <w:rPr>
                <w:sz w:val="20"/>
                <w:szCs w:val="20"/>
                <w:color w:val="auto"/>
              </w:rPr>
            </w:pPr>
            <w:r>
              <w:rPr>
                <w:rFonts w:ascii="Arial" w:cs="Arial" w:eastAsia="Arial" w:hAnsi="Arial"/>
                <w:sz w:val="18"/>
                <w:szCs w:val="18"/>
                <w:i w:val="1"/>
                <w:iCs w:val="1"/>
                <w:color w:val="auto"/>
              </w:rPr>
              <w:t>Property, Plant and Equipment</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40" w:type="dxa"/>
            <w:vAlign w:val="bottom"/>
            <w:gridSpan w:val="3"/>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8,267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50,852</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(60,857)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(59,141)</w:t>
            </w:r>
          </w:p>
        </w:tc>
      </w:tr>
      <w:tr>
        <w:trPr>
          <w:trHeight w:val="250"/>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costs to complete construction-in-progress as of December 31, 2018 and 2017 were approximately $2,870 and $5,136,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$1,972 and $2,005 for the years ended December 31, 2018 and 2017, respectively.</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its annual impairment tests of goodwill and other indefinite-lived intangible assets as of the first day of the fiscal fourth quarter of 2018 and 2017.</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performed a quantitative impairment test of its four identified goodwill reporting units. The fair value for the reporting units could not be determined using readily available quoted Level 1 inputs or Level 2 inputs that were observable in active markets. Therefore, we used a discounted cash flow model to estimate the fair value of the reporting units, using Level 3 inputs. To estimate the fair value of the reporting units, we used significant estimates and judgments, including an assessment of our future revenue prospects, revenue growth rates and profit margins based on internal forecasts, industry and market based terminal growth rates, inputs to the weighted-average cost of capital used to discount future cash flows, and earnings multiples.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performed a quantitative impairment test of its four other indefinite-lived intangible assets (trademarks). The fair value of our trademarks could not be determined using readily available quoted Level 1 inputs or Level 2 inputs that were observable in active markets. Therefore, we used a relief from royalty approach to estimate the fair value of our trademarks, using Level 3 inputs. Significant estimates and judgments included an assessment of our future revenue prospects, industry and market based terminal growth rates, inputs to the weighted-average cost of capital used to discount future cash flows, and royalty rates based on external market data.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impairment tests performed for 2018 and 2017, we determined that no impairments existed. Fair value exceeded carrying value for all reporting units and trademarks by more than 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possibility that our goodwill and other intangible assets could be impaired in the future should there be a significant change in our internal forecasts and other assumptions used in our impairment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Battery &amp;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Communi-</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19,965</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260" w:type="dxa"/>
            <w:vAlign w:val="bottom"/>
          </w:tcPr>
          <w:p>
            <w:pPr>
              <w:spacing w:after="0"/>
              <w:rPr>
                <w:sz w:val="21"/>
                <w:szCs w:val="21"/>
                <w:color w:val="auto"/>
              </w:rPr>
            </w:pPr>
          </w:p>
        </w:tc>
      </w:tr>
      <w:tr>
        <w:trPr>
          <w:trHeight w:val="413"/>
        </w:trPr>
        <w:tc>
          <w:tcPr>
            <w:tcW w:w="34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 2018</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9,605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 2017</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4,208</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cost value of other intangible assets is a result of the effect of foreign currency translations.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other intangible assets was included in the following financial statement captions: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6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0"/>
        </w:trPr>
        <w:tc>
          <w:tcPr>
            <w:tcW w:w="4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$362, $349, $330, $315 and $312 for the fiscal years ending December 31, 2019 through 2023,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will accrue on outstanding indebtedness under the Credit Agreement at the Overnight LIBOR Rate plus the applicable margin, or at the Base Rate plus the applicable margin, as selected by the Company. Beginning April 2, 2018 and thereafter, the applicable margins will be determined based on the chart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15"/>
        </w:trPr>
        <w:tc>
          <w:tcPr>
            <w:tcW w:w="4600" w:type="dxa"/>
            <w:vAlign w:val="bottom"/>
            <w:tcBorders>
              <w:top w:val="single" w:sz="8" w:color="auto"/>
              <w:left w:val="single" w:sz="8" w:color="auto"/>
              <w:right w:val="single" w:sz="8" w:color="auto"/>
            </w:tcBorders>
          </w:tcPr>
          <w:p>
            <w:pPr>
              <w:spacing w:after="0"/>
              <w:rPr>
                <w:sz w:val="18"/>
                <w:szCs w:val="18"/>
                <w:color w:val="auto"/>
              </w:rPr>
            </w:pP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 Basis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6"/>
        </w:trPr>
        <w:tc>
          <w:tcPr>
            <w:tcW w:w="460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Consolidated Senior Leverage Ratio</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Points for Overnight</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Points for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30"/>
        </w:trPr>
        <w:tc>
          <w:tcPr>
            <w:tcW w:w="4600" w:type="dxa"/>
            <w:vAlign w:val="bottom"/>
            <w:tcBorders>
              <w:left w:val="single" w:sz="8" w:color="auto"/>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LIBOR Loans</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Base Rate Loans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Less than 1.50 to 1.00</w:t>
            </w:r>
          </w:p>
        </w:tc>
        <w:tc>
          <w:tcPr>
            <w:tcW w:w="232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185</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(50)</w:t>
            </w:r>
          </w:p>
        </w:tc>
        <w:tc>
          <w:tcPr>
            <w:tcW w:w="22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20</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Greater than or equal to 1.50 to 1.00 but less than 2.50 to 1.00</w:t>
            </w:r>
          </w:p>
        </w:tc>
        <w:tc>
          <w:tcPr>
            <w:tcW w:w="232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200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(25)</w:t>
            </w:r>
          </w:p>
        </w:tc>
        <w:tc>
          <w:tcPr>
            <w:tcW w:w="22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15</w:t>
            </w:r>
          </w:p>
        </w:tc>
      </w:tr>
      <w:tr>
        <w:trPr>
          <w:trHeight w:val="210"/>
        </w:trPr>
        <w:tc>
          <w:tcPr>
            <w:tcW w:w="4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Greater than or equal to 2.50 to 1.00</w:t>
            </w:r>
          </w:p>
        </w:tc>
        <w:tc>
          <w:tcPr>
            <w:tcW w:w="232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215</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4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December 31,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we had no outstanding balance under the Credit Facility and no outstanding letters of credit related to the Credit Facility.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have made commitments to purchase approximately $2,848 of production machinery and equipment.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lease various buildings, machinery, land, automobiles and office equipment. Rental expenses for all operating leases were approximately $716 and $660 for the years ended December 31, 2018 and 2017, respectively. Future minimum lease payments under non-cancelable operating leases as of December 31, 2018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jc w:val="right"/>
              <w:ind w:right="105"/>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940" w:type="dxa"/>
            <w:vAlign w:val="bottom"/>
          </w:tcPr>
          <w:p>
            <w:pPr>
              <w:spacing w:after="0"/>
              <w:rPr>
                <w:sz w:val="20"/>
                <w:szCs w:val="20"/>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1160" w:type="dxa"/>
            <w:vAlign w:val="bottom"/>
            <w:tcBorders>
              <w:top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4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40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51</w:t>
            </w: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9" w:right="239" w:bottom="1440" w:gutter="0" w:footer="0" w:header="0"/>
        </w:sectPr>
      </w:pPr>
    </w:p>
    <w:bookmarkStart w:id="51" w:name="page52"/>
    <w:bookmarkEnd w:id="51"/>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7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18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years ended December 31, 2018 and 2017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31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Provision for warranties issued</w:t>
            </w: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Balance, December 31</w:t>
            </w:r>
          </w:p>
        </w:tc>
        <w:tc>
          <w:tcPr>
            <w:tcW w:w="204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color w:val="auto"/>
              </w:rPr>
              <w:t>g</w:t>
            </w:r>
            <w:r>
              <w:rPr>
                <w:rFonts w:ascii="Arial" w:cs="Arial" w:eastAsia="Arial" w:hAnsi="Arial"/>
                <w:sz w:val="18"/>
                <w:szCs w:val="18"/>
                <w:i w:val="1"/>
                <w:iCs w:val="1"/>
                <w:color w:val="auto"/>
              </w:rPr>
              <w:t>.</w:t>
            </w:r>
          </w:p>
        </w:tc>
        <w:tc>
          <w:tcPr>
            <w:tcW w:w="486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Legal Matters</w:t>
            </w:r>
          </w:p>
        </w:tc>
        <w:tc>
          <w:tcPr>
            <w:tcW w:w="2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an unoccupied Boeing 787 Dreamliner aircraft operated by Ethiopian Airlines was damaged by fire while parked at London Heathrow Airport. Following an investigation of this incident conducted by U.K. and U.S. regulatory authorities as well as by the manufacturer of the aircraft,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 A component of the ELT is a battery pack which incorporates Ultralife’s industry-standard lithium manganese dioxide non-rechargeable D-cell, which Ultralife has produced since 2001, with wide-use in global defense and commercial applications.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On May 4, 2015, we were notified of a lawsuit in which we were named, along with other suppliers to the aircraft manufacturer, concerning that 2013 fire, which was filed by Ethiopian Airlines Enterprise in the Commercial Court, Queen’s Bench Division of the High Court of Justice, London. We immediately referred this matter to our insurers.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lawsuit has now been resolved (February 2018), the claimant has terminated the action against the Company, and the Court has acknowledged and consented to this termination. The matter was terminated without financial consequences to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642</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6340" w:type="dxa"/>
            <w:vAlign w:val="bottom"/>
            <w:gridSpan w:val="2"/>
          </w:tcPr>
          <w:p>
            <w:pPr>
              <w:ind w:left="260"/>
              <w:spacing w:after="0"/>
              <w:rPr>
                <w:sz w:val="20"/>
                <w:szCs w:val="20"/>
                <w:color w:val="auto"/>
              </w:rPr>
            </w:pPr>
            <w:r>
              <w:rPr>
                <w:rFonts w:ascii="Arial" w:cs="Arial" w:eastAsia="Arial" w:hAnsi="Arial"/>
                <w:sz w:val="18"/>
                <w:szCs w:val="18"/>
                <w:color w:val="auto"/>
              </w:rPr>
              <w:t>These are more fully discussed as follows: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6340" w:type="dxa"/>
            <w:vAlign w:val="bottom"/>
            <w:gridSpan w:val="2"/>
          </w:tcPr>
          <w:p>
            <w:pPr>
              <w:ind w:left="260"/>
              <w:spacing w:after="0"/>
              <w:rPr>
                <w:sz w:val="20"/>
                <w:szCs w:val="20"/>
                <w:color w:val="auto"/>
              </w:rPr>
            </w:pPr>
            <w:r>
              <w:rPr>
                <w:rFonts w:ascii="Arial" w:cs="Arial" w:eastAsia="Arial" w:hAnsi="Arial"/>
                <w:sz w:val="18"/>
                <w:szCs w:val="18"/>
                <w:i w:val="1"/>
                <w:iCs w:val="1"/>
                <w:color w:val="auto"/>
              </w:rPr>
              <w:t>Stock Options</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2004 LTIP was increased to 2,900,000.</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our shareholders approved the 2014 Long-Term Incentive Plan (“2014 LTIP”) as the successor plan to the 2004 LTIP that expired on June 10, 2014. Under the 2014 LTIP, a total of 1,750,000 shares of common stock will be available for grant of awards. However,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 year period and expire on the seventh anniversary of the grant date. As of December 31, 2018, there were 727,649 stock options outstanding under the 2004 LTIP and 848,438 stock options outstanding under the 2014 LTIP.</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The options set forth in items (ii), (iii) and (iv) were subject to shareholder approval of an amendment to the 2004 LTIP, which approval was obtained on June 7, 2011.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97" w:lineRule="auto"/>
        <w:rPr>
          <w:sz w:val="20"/>
          <w:szCs w:val="20"/>
          <w:color w:val="auto"/>
        </w:rPr>
      </w:pPr>
      <w:r>
        <w:rPr>
          <w:rFonts w:ascii="Arial" w:cs="Arial" w:eastAsia="Arial" w:hAnsi="Arial"/>
          <w:sz w:val="16"/>
          <w:szCs w:val="16"/>
          <w:color w:val="auto"/>
        </w:rPr>
        <w:t>All such options in items (i) and (ii) were due to expire on December 30, 2017. On April 19, 2017, the Company’s Board of Directors extended the expiration date to December 30, 2020. Pursuant to Accounting Standards Codification Topic 718, Compensation – Stock Compensation, the transaction was accounted for as an equity award modification. During the second quarter of 2017, the Company recognized compensation cost of $193 representing the incremental fair value of the modified award computed as of the modification date as the difference between the fair value of the modified award and the fair value of the original award immediately before it was modified. The incremental fair value was determined using the Black-Scholes model.</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such options in items (iii) and (iv) were due to expire as of the later of December 30, 2017 and five years after the initial vesting commences, but in no event later than December 30, 2020. On July 25, 2018, the Company’s Board of Directors modified the option in item (iii) such that the option will vest immediately upon the Company’s common stock first reaching a closing price $10.00 for 15 trading days in a 30 trading-day period. The option became fully vested during the third quarter of 2018 and expires December 30, 2020. The transaction has been accounted for as an equity award modification pursuant to Accounting Standards Codification Topic 718, Compensation – Stock Compensation. During the third quarter 2018, the Company recognized compensation cost of $182 representing the incremental fair value of the modified award computed as of the modification date as the difference between the fair value of the modified award and the fair value of the original award immediately before it was modified. The incremental fair value was determined using a Monte Carlo simulation option-pricing model consistent with the valuation methodology used to value and recognize the original award. The market-based conditions for the option in item (iv) had not been met as of December 31, 2018.</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2004 LTIP. The option vested in annual increments of 12,500 shares over a four-year period commencing December 30, 2011. The option expired on December 30,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there was $521 of total unrecognized compensation costs related to outstanding stock options, which we expect to recognize over a weighted average period of 0.9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2018 and 2017:</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8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Volatility factor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Forfeiture rate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for the years ended December 31, 2018 and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Year Ended December 31, 2018</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36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20"/>
                <w:szCs w:val="20"/>
                <w:color w:val="auto"/>
              </w:rPr>
            </w:pPr>
          </w:p>
        </w:tc>
        <w:tc>
          <w:tcPr>
            <w:tcW w:w="108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1,860,211</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Options 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217,500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(422,793)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lef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6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(78,831)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140" w:type="dxa"/>
            <w:vAlign w:val="bottom"/>
            <w:tcBorders>
              <w:left w:val="single" w:sz="8" w:color="CCEEFF"/>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20" w:type="dxa"/>
            <w:vAlign w:val="bottom"/>
            <w:tcBorders>
              <w:lef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60" w:type="dxa"/>
            <w:vAlign w:val="bottom"/>
          </w:tcPr>
          <w:p>
            <w:pPr>
              <w:spacing w:after="0" w:line="196" w:lineRule="exact"/>
              <w:rPr>
                <w:sz w:val="20"/>
                <w:szCs w:val="20"/>
                <w:color w:val="auto"/>
              </w:rPr>
            </w:pPr>
            <w:r>
              <w:rPr>
                <w:rFonts w:ascii="Arial" w:cs="Arial" w:eastAsia="Arial" w:hAnsi="Arial"/>
                <w:sz w:val="18"/>
                <w:szCs w:val="18"/>
                <w:color w:val="auto"/>
              </w:rPr>
              <w:t>Vested and Expected to Vest - December 31</w:t>
            </w:r>
          </w:p>
        </w:tc>
        <w:tc>
          <w:tcPr>
            <w:tcW w:w="16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1,475,570</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6.56</w:t>
            </w:r>
          </w:p>
        </w:tc>
        <w:tc>
          <w:tcPr>
            <w:tcW w:w="1620" w:type="dxa"/>
            <w:vAlign w:val="bottom"/>
            <w:gridSpan w:val="5"/>
          </w:tcPr>
          <w:p>
            <w:pPr>
              <w:jc w:val="right"/>
              <w:ind w:right="200"/>
              <w:spacing w:after="0" w:line="196" w:lineRule="exact"/>
              <w:rPr>
                <w:sz w:val="20"/>
                <w:szCs w:val="20"/>
                <w:color w:val="auto"/>
              </w:rPr>
            </w:pPr>
            <w:r>
              <w:rPr>
                <w:rFonts w:ascii="Arial" w:cs="Arial" w:eastAsia="Arial" w:hAnsi="Arial"/>
                <w:sz w:val="18"/>
                <w:szCs w:val="18"/>
                <w:color w:val="auto"/>
              </w:rPr>
              <w:t>3.37</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1,851</w:t>
            </w:r>
          </w:p>
        </w:tc>
      </w:tr>
      <w:tr>
        <w:trPr>
          <w:trHeight w:val="20"/>
        </w:trPr>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Options Exercisable – December 31</w:t>
            </w:r>
          </w:p>
        </w:tc>
        <w:tc>
          <w:tcPr>
            <w:tcW w:w="1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1,064,127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620" w:type="dxa"/>
            <w:vAlign w:val="bottom"/>
            <w:gridSpan w:val="5"/>
          </w:tcPr>
          <w:p>
            <w:pPr>
              <w:jc w:val="right"/>
              <w:ind w:right="200"/>
              <w:spacing w:after="0"/>
              <w:rPr>
                <w:sz w:val="20"/>
                <w:szCs w:val="20"/>
                <w:color w:val="auto"/>
              </w:rPr>
            </w:pPr>
            <w:r>
              <w:rPr>
                <w:rFonts w:ascii="Arial" w:cs="Arial" w:eastAsia="Arial" w:hAnsi="Arial"/>
                <w:sz w:val="18"/>
                <w:szCs w:val="18"/>
                <w:color w:val="auto"/>
              </w:rPr>
              <w:t>2.69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1,565</w:t>
            </w:r>
          </w:p>
        </w:tc>
      </w:tr>
      <w:tr>
        <w:trPr>
          <w:trHeight w:val="20"/>
        </w:trPr>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Year Ended December 31, 2017</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3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Exercise</w:t>
            </w:r>
          </w:p>
        </w:tc>
      </w:tr>
      <w:tr>
        <w:trPr>
          <w:trHeight w:val="216"/>
        </w:trPr>
        <w:tc>
          <w:tcPr>
            <w:tcW w:w="3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r>
      <w:tr>
        <w:trPr>
          <w:trHeight w:val="234"/>
        </w:trPr>
        <w:tc>
          <w:tcPr>
            <w:tcW w:w="3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2,323,581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244,750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(374,815)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0"/>
        </w:trPr>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6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1,860,211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197"/>
        </w:trPr>
        <w:tc>
          <w:tcPr>
            <w:tcW w:w="366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 December 31</w:t>
            </w:r>
          </w:p>
        </w:tc>
        <w:tc>
          <w:tcPr>
            <w:tcW w:w="1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1,649,594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2018:</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Option Outstanding</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ind w:left="780"/>
              <w:spacing w:after="0"/>
              <w:rPr>
                <w:sz w:val="20"/>
                <w:szCs w:val="20"/>
                <w:color w:val="auto"/>
              </w:rPr>
            </w:pPr>
            <w:r>
              <w:rPr>
                <w:rFonts w:ascii="Arial" w:cs="Arial" w:eastAsia="Arial" w:hAnsi="Arial"/>
                <w:sz w:val="18"/>
                <w:szCs w:val="18"/>
                <w:color w:val="auto"/>
              </w:rPr>
              <w:t>Options Exercisable</w:t>
            </w:r>
          </w:p>
        </w:tc>
      </w:tr>
      <w:tr>
        <w:trPr>
          <w:trHeight w:val="195"/>
        </w:trPr>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240"/>
              <w:spacing w:after="0" w:line="195" w:lineRule="exact"/>
              <w:rPr>
                <w:sz w:val="20"/>
                <w:szCs w:val="20"/>
                <w:color w:val="auto"/>
              </w:rPr>
            </w:pPr>
            <w:r>
              <w:rPr>
                <w:rFonts w:ascii="Arial" w:cs="Arial" w:eastAsia="Arial" w:hAnsi="Arial"/>
                <w:sz w:val="18"/>
                <w:szCs w:val="18"/>
                <w:color w:val="auto"/>
                <w:w w:val="90"/>
              </w:rPr>
              <w:t>Weighted-</w:t>
            </w:r>
          </w:p>
        </w:tc>
        <w:tc>
          <w:tcPr>
            <w:tcW w:w="1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Options –</w:t>
            </w: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16"/>
        </w:trPr>
        <w:tc>
          <w:tcPr>
            <w:tcW w:w="284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Range of</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at December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r>
      <w:tr>
        <w:trPr>
          <w:trHeight w:val="230"/>
        </w:trPr>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Exercise Prices</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31, 2018</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31, 2018</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20"/>
                <w:szCs w:val="20"/>
                <w:color w:val="auto"/>
              </w:rPr>
            </w:pPr>
          </w:p>
        </w:tc>
      </w:tr>
      <w:tr>
        <w:trPr>
          <w:trHeight w:val="210"/>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346,148</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346,148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451,023</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4.72</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400" w:type="dxa"/>
            <w:vAlign w:val="bottom"/>
          </w:tcPr>
          <w:p>
            <w:pPr>
              <w:jc w:val="right"/>
              <w:spacing w:after="0"/>
              <w:rPr>
                <w:sz w:val="20"/>
                <w:szCs w:val="20"/>
                <w:color w:val="auto"/>
              </w:rPr>
            </w:pPr>
            <w:r>
              <w:rPr>
                <w:rFonts w:ascii="Arial" w:cs="Arial" w:eastAsia="Arial" w:hAnsi="Arial"/>
                <w:sz w:val="18"/>
                <w:szCs w:val="18"/>
                <w:color w:val="auto"/>
              </w:rPr>
              <w:t>217,979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528,916</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0"/>
        </w:trPr>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8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1,576,087</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3.50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400" w:type="dxa"/>
            <w:vAlign w:val="bottom"/>
          </w:tcPr>
          <w:p>
            <w:pPr>
              <w:jc w:val="right"/>
              <w:spacing w:after="0"/>
              <w:rPr>
                <w:sz w:val="20"/>
                <w:szCs w:val="20"/>
                <w:color w:val="auto"/>
              </w:rPr>
            </w:pPr>
            <w:r>
              <w:rPr>
                <w:rFonts w:ascii="Arial" w:cs="Arial" w:eastAsia="Arial" w:hAnsi="Arial"/>
                <w:sz w:val="18"/>
                <w:szCs w:val="18"/>
                <w:color w:val="auto"/>
              </w:rPr>
              <w:t>1,064,127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weighted average fair value of options granted during the years ended December 31, 2018 and 2017 was $4.22 and $2.47, respectively. The total intrinsic value of options (which is the amount by which the stock price exceeded the exercise price of the options on the date of exercise) exercised during the years ended December 31, 2018 and 2017 was $1,722 and $588, respectively.</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Cash received from option exercises under our stock-based compensation plans for the years ended December 31, 2018 and 2017 was $1,568 and $1,429, respectively.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4" w:right="179" w:bottom="1440" w:gutter="0" w:footer="0" w:header="0"/>
        </w:sectPr>
      </w:pPr>
    </w:p>
    <w:bookmarkStart w:id="55" w:name="page56"/>
    <w:bookmarkEnd w:id="55"/>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2014, we awarded 49,200 restricted stock units under the 2014 LTIP to certain key employees. These units vest over three years and we estimated their weighted average grant date fair value to be $3.24 per share. $11 of expense was recorded in 2017 relating to these awards. In September 2017, 12,900 shares of the awarded restricted stock vested and the Company repurchased 3,959 shares to satisfy the statutory tax withholding on shares vested for certain employees. Unrecognized compensation cost related to these restricted shares was $0 at December 31, 2018 and 2017.</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17,500 shares of restricted stock were awarded to certain of our employees. These shares vest in equal annual installments over three years. The weighted average grant date fair value of these awards was $7.16 per share. $73 of expense was recorded in 2018 relating to these awards. Unrecognized compensation cost related to these restricted shares was $52 at December 31, 2018.</w:t>
      </w:r>
    </w:p>
    <w:p>
      <w:pPr>
        <w:spacing w:after="0" w:line="18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Reserved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726,858 shares of common stock available for future issuance under equity compensation plans as of December 31,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and 2017, we recognized an income tax benefit of $18,386 and $1,369, respectively.</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2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(18,514)</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State</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(18,643)</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income tax benefit for 2018 primarily represents a non-cash benefit of $18,652 upon recognizing the release of the valuation allowance on our U.S. deferred tax assets as of December 31, 2018. The income tax benefit for 2017 primarily represents a one-time, non-cash benefit of $1,939 for the revaluation of deferred tax liabilities on goodwill and certain other intangible assets upon the enactment of the Tax Cuts and Jobs Act (the “Tax Act”).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of $63,388, which expire 2019 thru 2035, and our general business tax credits of $1,817, which expire 2028 thru 2037. Based on the results of our assessment, management concluded that it is more likely than not that our U.S. deferred tax assets will be fully realized.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and 2017, for certain past operations in the U.K., we continue to report a valuation allowance for net operating loss carryforwards of approximately $10,220,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These net operating losses in the U.K. cannot currently be used to reduce taxable income at our other U.K. subsidiary, Accutronics Ltd. There are no other deferred tax assets related to the past U.K. operations. As of December 31, 2018 and 2017,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Years Ended 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b w:val="1"/>
                <w:bCs w:val="1"/>
                <w:color w:val="auto"/>
                <w:w w:val="94"/>
              </w:rPr>
              <w:t>2018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15,622</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1,231</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Accrued Expenses, Reserves and Other</w:t>
            </w:r>
          </w:p>
        </w:tc>
        <w:tc>
          <w:tcPr>
            <w:tcW w:w="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20,676</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21,613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(21,604)</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18,734</w:t>
            </w: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(3,881)</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980"/>
              <w:spacing w:after="0"/>
              <w:rPr>
                <w:sz w:val="20"/>
                <w:szCs w:val="20"/>
                <w:color w:val="auto"/>
              </w:rPr>
            </w:pPr>
            <w:r>
              <w:rPr>
                <w:rFonts w:ascii="Arial" w:cs="Arial" w:eastAsia="Arial" w:hAnsi="Arial"/>
                <w:sz w:val="18"/>
                <w:szCs w:val="18"/>
                <w:color w:val="auto"/>
              </w:rPr>
              <w:t>Net Deferred Tax Assets (Liabilities)</w:t>
            </w:r>
          </w:p>
        </w:tc>
        <w:tc>
          <w:tcPr>
            <w:tcW w:w="14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14,853</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96"/>
              </w:rPr>
              <w:t>Net deferred tax assets (liabilities) are comprised of the following balance sheet amounts:</w:t>
            </w: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Years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b w:val="1"/>
                <w:bCs w:val="1"/>
                <w:color w:val="auto"/>
                <w:w w:val="94"/>
              </w:rPr>
              <w:t>2018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15,444</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9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14,853</w:t>
            </w:r>
          </w:p>
        </w:tc>
        <w:tc>
          <w:tcPr>
            <w:tcW w:w="18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the valuation allowance for deferred tax assets decreased by $19,662 primarily due to the realization of the U.S. deferred tax assets as of December 31, 2018. For the year ended December 31, 2017, the valuation allowance decreased by $10,695 due to the reduction of U.S. deferred tax assets due to the Company’s pretax income as well as the revaluation of the deferred taxes due to the enactment of the Tax Cuts and Jobs Act.</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makes broad and complex changes to the U.S. tax code, including, but not limited to (1) reducing the U.S. federal corporate tax rate from 35 percent to 21 percent;</w:t>
      </w:r>
    </w:p>
    <w:p>
      <w:pPr>
        <w:ind w:right="20" w:firstLine="8"/>
        <w:spacing w:after="0" w:line="25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elimination of the corporate alternative minimum tax (AMT) and changing how existing AMT credits can be realized; (3) changing rules related to usage and limitation of net operating loss carryforwards created in tax years beginning after December 31, 2017; (4) generally eliminating U.S. federal income taxes on dividends from foreign subsidiaries for tax years beginning after December 31, 2017; and (5) implementing a territorial tax system and imposing a transition toll tax on deemed repatriated earnings of foreign subsidiaries.</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Act reduced the U.S. corporate tax rate to 21 percent, effective January 1, 2018. Deferred tax assets and liabilities were revalued from 35 percent to 21 percent upon enactment of the Tax Act.</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Act provided for a one-time deemed mandatory repatriation for post-1986 undistributed foreign subsidiary earnings and profits (“E&amp;P”) through the year ended December 31, 2017. The Company had a deficit in foreign E&amp;P and was not expected to be subject to the deemed mandatory repatriation.</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The Company had recognized the provisional tax effects related to the revaluation of deferred tax assets and liabilities for the year ended December 31, 2017. As of December 31, 2017, we had completed the majority of our accounting for the effects of the Tax Act. As of December 31, 2018, we have completed our evaluation of the effects of the Tax Act and concluded that no revisions are necessary.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Effective January 1, 2017, the Company adopted ASU 2016-09, Compensation - Stock Compensation (Topic 718): Improvement to Employee Share-Based Payment Accounting. Upon adoption, the Company recognized a gross deferred tax asset of $1,123 and a corresponding valuation allowance in the same amount resulting in no net deferred tax asset recognition. As of December 31, 2018, the Company has realized the benefit of this deferred tax asset upon release of the U.S.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income from continuing operations before income taxes is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7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7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6,226</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Foreign</w:t>
            </w:r>
          </w:p>
        </w:tc>
        <w:tc>
          <w:tcPr>
            <w:tcW w:w="2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r>
      <w:tr>
        <w:trPr>
          <w:trHeight w:val="250"/>
        </w:trPr>
        <w:tc>
          <w:tcPr>
            <w:tcW w:w="36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from continuing operations before income taxes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(Increase) Decrease in Tax Provision Resulting From:</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Income Tax Credits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Tax Rates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Valuation Allowance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(297.3)</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Rate Change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(277.9)%</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December 31, 2018 and 2017.</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2018 remain subject to examination by the Internal Revenue Service (“IRS”) due to our net operating loss carryforwards. Our U.S. tax matters for the years 2000 through 2018 remain subject to examination by various state and local tax jurisdictions due to our net operating loss carryforwards. Our tax matters for the years 2010 through 2018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8 - 401(k) Retirement Benefit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2018 and 2017, the Company matched 50% on the first 4% contributed by an employee, or a maximum of 2% of the employee’s income. For 2018 and 2017, we contributed $204 and $181, respectively, to the 401(k)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9 - Business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70,497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19,574</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(19,028)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18,386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50,511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26,875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42,718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8,616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6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Energy</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4"/>
              </w:rPr>
              <w:t>Communications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69,789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19,659</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(19,756)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44,720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32,169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20,297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Long-lived assets (including goodwill and intangible assets) held outside the U.S., principally in the United Kingdom and China, were $11,502 and $12,443 at December 31,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2"/>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980" w:type="dxa"/>
            <w:vAlign w:val="bottom"/>
            <w:vMerge w:val="restart"/>
          </w:tcPr>
          <w:p>
            <w:pPr>
              <w:jc w:val="right"/>
              <w:ind w:right="840"/>
              <w:spacing w:after="0"/>
              <w:rPr>
                <w:sz w:val="20"/>
                <w:szCs w:val="20"/>
                <w:color w:val="auto"/>
              </w:rPr>
            </w:pPr>
            <w:r>
              <w:rPr>
                <w:rFonts w:ascii="Arial" w:cs="Arial" w:eastAsia="Arial" w:hAnsi="Arial"/>
                <w:sz w:val="16"/>
                <w:szCs w:val="16"/>
                <w:b w:val="1"/>
                <w:bCs w:val="1"/>
                <w:u w:val="single" w:color="auto"/>
                <w:color w:val="auto"/>
                <w:w w:val="74"/>
              </w:rPr>
              <w:t>:</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0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4"/>
                <w:szCs w:val="4"/>
                <w:color w:val="auto"/>
              </w:rPr>
            </w:pP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Non-United</w:t>
            </w:r>
          </w:p>
        </w:tc>
        <w:tc>
          <w:tcPr>
            <w:tcW w:w="0" w:type="dxa"/>
            <w:vAlign w:val="bottom"/>
          </w:tcPr>
          <w:p>
            <w:pPr>
              <w:spacing w:after="0"/>
              <w:rPr>
                <w:sz w:val="1"/>
                <w:szCs w:val="1"/>
                <w:color w:val="auto"/>
              </w:rPr>
            </w:pPr>
          </w:p>
        </w:tc>
      </w:tr>
      <w:tr>
        <w:trPr>
          <w:trHeight w:val="650"/>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39%</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Non-United</w:t>
            </w: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56%</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44%</w:t>
            </w:r>
          </w:p>
        </w:tc>
      </w:tr>
    </w:tbl>
    <w:p>
      <w:pPr>
        <w:spacing w:after="0" w:line="113"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w w:val="94"/>
              </w:rPr>
              <w:t>Commercial and Government/Defense Revenue Information: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50"/>
        </w:trPr>
        <w:tc>
          <w:tcPr>
            <w:tcW w:w="116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r>
      <w:tr>
        <w:trPr>
          <w:trHeight w:val="234"/>
        </w:trPr>
        <w:tc>
          <w:tcPr>
            <w:tcW w:w="4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160" w:type="dxa"/>
            <w:vAlign w:val="bottom"/>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47%</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53%</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c>
          <w:tcPr>
            <w:tcW w:w="1140" w:type="dxa"/>
            <w:vAlign w:val="bottom"/>
          </w:tcPr>
          <w:p>
            <w:pPr>
              <w:spacing w:after="0"/>
              <w:rPr>
                <w:sz w:val="18"/>
                <w:szCs w:val="18"/>
                <w:color w:val="auto"/>
              </w:rPr>
            </w:pPr>
          </w:p>
        </w:tc>
      </w:tr>
      <w:tr>
        <w:trPr>
          <w:trHeight w:val="234"/>
        </w:trPr>
        <w:tc>
          <w:tcPr>
            <w:tcW w:w="408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40,790</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40,790</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48%</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52%</w:t>
            </w:r>
          </w:p>
        </w:tc>
        <w:tc>
          <w:tcPr>
            <w:tcW w:w="1140" w:type="dxa"/>
            <w:vAlign w:val="bottom"/>
          </w:tcPr>
          <w:p>
            <w:pPr>
              <w:spacing w:after="0"/>
              <w:rPr>
                <w:sz w:val="18"/>
                <w:szCs w:val="18"/>
                <w:color w:val="auto"/>
              </w:rPr>
            </w:pPr>
          </w:p>
        </w:tc>
      </w:tr>
      <w:tr>
        <w:trPr>
          <w:trHeight w:val="418"/>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55" w:right="239" w:bottom="1440" w:gutter="0" w:footer="0" w:header="0"/>
        </w:sectPr>
      </w:pPr>
    </w:p>
    <w:bookmarkStart w:id="60" w:name="page61"/>
    <w:bookmarkEnd w:id="60"/>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 Our president and chief executive officer (principal executive officer) and our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2018. In making this assessment, we used the criteria set forth by the Committee of Sponsoring Organizations of the Treadway Commission (“COSO”) in Internal Control-Integrated Framework (2013). Based on our assessment, we concluded that, as of December 31, 2018, our internal control over financial reporting was effective based on those criteria.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Freed Maxick CPAs, P.C., an independent registered public accounting firm, which has audited and reported on the consolidated financial statements contained in this Annual Report on Form 10-K, has audited the effectiveness of the Company's internal control over financial reporting as stated in their report, which is included in Part II, Item 8.</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2019 Annual Meeting of Shareholders, which information included therein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83"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780" w:type="dxa"/>
            <w:vAlign w:val="bottom"/>
            <w:gridSpan w:val="6"/>
          </w:tcPr>
          <w:p>
            <w:pPr>
              <w:jc w:val="right"/>
              <w:ind w:right="1680"/>
              <w:spacing w:after="0"/>
              <w:rPr>
                <w:sz w:val="20"/>
                <w:szCs w:val="20"/>
                <w:color w:val="auto"/>
              </w:rPr>
            </w:pPr>
            <w:r>
              <w:rPr>
                <w:rFonts w:ascii="Arial" w:cs="Arial" w:eastAsia="Arial" w:hAnsi="Arial"/>
                <w:sz w:val="18"/>
                <w:szCs w:val="18"/>
                <w:b w:val="1"/>
                <w:bCs w:val="1"/>
                <w:color w:val="auto"/>
                <w:w w:val="92"/>
              </w:rPr>
              <w:t>Equity Compensation Plan Information</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Number of securities to</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Weighted-average</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be issued upon exercise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exercise price of</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of outstanding options,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outstanding options,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warrants and rights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 column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580"/>
              <w:spacing w:after="0"/>
              <w:rPr>
                <w:sz w:val="20"/>
                <w:szCs w:val="20"/>
                <w:color w:val="auto"/>
              </w:rPr>
            </w:pPr>
            <w:r>
              <w:rPr>
                <w:rFonts w:ascii="Arial" w:cs="Arial" w:eastAsia="Arial" w:hAnsi="Arial"/>
                <w:sz w:val="18"/>
                <w:szCs w:val="18"/>
                <w:color w:val="auto"/>
              </w:rPr>
              <w:t>Plan Category</w:t>
            </w:r>
          </w:p>
        </w:tc>
        <w:tc>
          <w:tcPr>
            <w:tcW w:w="2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1"/>
              </w:rPr>
              <w: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(b)</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Equity compensation plans not approved by security</w:t>
            </w:r>
          </w:p>
        </w:tc>
        <w:tc>
          <w:tcPr>
            <w:tcW w:w="220" w:type="dxa"/>
            <w:vAlign w:val="bottom"/>
            <w:vMerge w:val="restart"/>
            <w:shd w:val="clear" w:color="auto" w:fill="CCEEFF"/>
          </w:tcPr>
          <w:p>
            <w:pPr>
              <w:spacing w:after="0"/>
              <w:rPr>
                <w:sz w:val="17"/>
                <w:szCs w:val="17"/>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0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ind w:left="5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this report: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financial statements and schedules required by this Item 15 are set forth in Part II, Item 8 of this report.</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340"/>
              <w:spacing w:after="0"/>
              <w:rPr>
                <w:sz w:val="20"/>
                <w:szCs w:val="20"/>
                <w:color w:val="auto"/>
              </w:rPr>
            </w:pPr>
            <w:r>
              <w:rPr>
                <w:rFonts w:ascii="Arial" w:cs="Arial" w:eastAsia="Arial" w:hAnsi="Arial"/>
                <w:sz w:val="18"/>
                <w:szCs w:val="18"/>
                <w:color w:val="auto"/>
              </w:rPr>
              <w:t>Exhibit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1420" w:type="dxa"/>
            <w:vAlign w:val="bottom"/>
          </w:tcPr>
          <w:p>
            <w:pPr>
              <w:ind w:left="340"/>
              <w:spacing w:after="0"/>
              <w:rPr>
                <w:sz w:val="20"/>
                <w:szCs w:val="20"/>
                <w:color w:val="auto"/>
              </w:rPr>
            </w:pPr>
            <w:r>
              <w:rPr>
                <w:rFonts w:ascii="Arial" w:cs="Arial" w:eastAsia="Arial" w:hAnsi="Arial"/>
                <w:sz w:val="18"/>
                <w:szCs w:val="18"/>
                <w:color w:val="auto"/>
              </w:rPr>
              <w:t>Index</w:t>
            </w:r>
          </w:p>
        </w:tc>
        <w:tc>
          <w:tcPr>
            <w:tcW w:w="4820" w:type="dxa"/>
            <w:vAlign w:val="bottom"/>
            <w:gridSpan w:val="20"/>
          </w:tcPr>
          <w:p>
            <w:pPr>
              <w:spacing w:after="0"/>
              <w:rPr>
                <w:sz w:val="20"/>
                <w:szCs w:val="20"/>
                <w:color w:val="auto"/>
              </w:rPr>
            </w:pPr>
            <w:r>
              <w:rPr>
                <w:rFonts w:ascii="Arial" w:cs="Arial" w:eastAsia="Arial" w:hAnsi="Arial"/>
                <w:sz w:val="18"/>
                <w:szCs w:val="18"/>
                <w:color w:val="auto"/>
              </w:rPr>
              <w:t>Description of Document</w:t>
            </w:r>
          </w:p>
        </w:tc>
        <w:tc>
          <w:tcPr>
            <w:tcW w:w="5180" w:type="dxa"/>
            <w:vAlign w:val="bottom"/>
          </w:tcPr>
          <w:p>
            <w:pPr>
              <w:ind w:left="280"/>
              <w:spacing w:after="0"/>
              <w:rPr>
                <w:sz w:val="20"/>
                <w:szCs w:val="20"/>
                <w:color w:val="auto"/>
              </w:rPr>
            </w:pPr>
            <w:r>
              <w:rPr>
                <w:rFonts w:ascii="Arial" w:cs="Arial" w:eastAsia="Arial" w:hAnsi="Arial"/>
                <w:sz w:val="18"/>
                <w:szCs w:val="18"/>
                <w:color w:val="auto"/>
              </w:rPr>
              <w:t>Incorporated By Reference from:</w:t>
            </w:r>
          </w:p>
        </w:tc>
      </w:tr>
      <w:tr>
        <w:trPr>
          <w:trHeight w:val="392"/>
        </w:trPr>
        <w:tc>
          <w:tcPr>
            <w:tcW w:w="1420" w:type="dxa"/>
            <w:vAlign w:val="bottom"/>
          </w:tcPr>
          <w:p>
            <w:pPr>
              <w:ind w:left="340"/>
              <w:spacing w:after="0"/>
              <w:rPr>
                <w:sz w:val="20"/>
                <w:szCs w:val="20"/>
                <w:color w:val="auto"/>
              </w:rPr>
            </w:pPr>
            <w:r>
              <w:rPr>
                <w:rFonts w:ascii="Arial" w:cs="Arial" w:eastAsia="Arial" w:hAnsi="Arial"/>
                <w:sz w:val="18"/>
                <w:szCs w:val="18"/>
                <w:color w:val="auto"/>
              </w:rPr>
              <w:t>2.2</w:t>
            </w:r>
          </w:p>
        </w:tc>
        <w:tc>
          <w:tcPr>
            <w:tcW w:w="4820" w:type="dxa"/>
            <w:vAlign w:val="bottom"/>
            <w:gridSpan w:val="20"/>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Stock Purchase Agreement Relating to Accutronics Limited by</w:t>
              </w:r>
            </w:hyperlink>
          </w:p>
        </w:tc>
        <w:tc>
          <w:tcPr>
            <w:tcW w:w="5180" w:type="dxa"/>
            <w:vAlign w:val="bottom"/>
          </w:tcPr>
          <w:p>
            <w:pPr>
              <w:ind w:left="280"/>
              <w:spacing w:after="0"/>
              <w:rPr>
                <w:sz w:val="20"/>
                <w:szCs w:val="20"/>
                <w:color w:val="auto"/>
              </w:rPr>
            </w:pPr>
            <w:r>
              <w:rPr>
                <w:rFonts w:ascii="Arial" w:cs="Arial" w:eastAsia="Arial" w:hAnsi="Arial"/>
                <w:sz w:val="18"/>
                <w:szCs w:val="18"/>
                <w:color w:val="auto"/>
                <w:w w:val="98"/>
              </w:rPr>
              <w:t>Exhibit 2.2 of the Form 10-K for the year ended December 31,</w:t>
            </w:r>
          </w:p>
        </w:tc>
      </w:tr>
      <w:tr>
        <w:trPr>
          <w:trHeight w:val="196"/>
        </w:trPr>
        <w:tc>
          <w:tcPr>
            <w:tcW w:w="142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and between Robert Andrew Phillips and Others and Ultralife</w:t>
              </w:r>
            </w:hyperlink>
          </w:p>
        </w:tc>
        <w:tc>
          <w:tcPr>
            <w:tcW w:w="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2015, filed March 2, 2016</w:t>
            </w:r>
          </w:p>
        </w:tc>
      </w:tr>
      <w:tr>
        <w:trPr>
          <w:trHeight w:val="196"/>
        </w:trPr>
        <w:tc>
          <w:tcPr>
            <w:tcW w:w="142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Corporation</w:t>
              </w:r>
            </w:hyperlink>
          </w:p>
        </w:tc>
        <w:tc>
          <w:tcPr>
            <w:tcW w:w="3940" w:type="dxa"/>
            <w:vAlign w:val="bottom"/>
            <w:gridSpan w:val="18"/>
          </w:tcPr>
          <w:p>
            <w:pPr>
              <w:spacing w:after="0"/>
              <w:rPr>
                <w:sz w:val="17"/>
                <w:szCs w:val="17"/>
                <w:color w:val="auto"/>
              </w:rPr>
            </w:pPr>
          </w:p>
        </w:tc>
        <w:tc>
          <w:tcPr>
            <w:tcW w:w="5180" w:type="dxa"/>
            <w:vAlign w:val="bottom"/>
          </w:tcPr>
          <w:p>
            <w:pPr>
              <w:spacing w:after="0"/>
              <w:rPr>
                <w:sz w:val="17"/>
                <w:szCs w:val="17"/>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3.1</w:t>
            </w:r>
          </w:p>
        </w:tc>
        <w:tc>
          <w:tcPr>
            <w:tcW w:w="4820" w:type="dxa"/>
            <w:vAlign w:val="bottom"/>
            <w:gridSpan w:val="2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Restated Certificate of Incorporation</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w w:val="98"/>
              </w:rPr>
              <w:t>Exhibit 3.1 of the Form 10-K for the year ended December 31,</w:t>
            </w:r>
          </w:p>
        </w:tc>
      </w:tr>
      <w:tr>
        <w:trPr>
          <w:trHeight w:val="222"/>
        </w:trPr>
        <w:tc>
          <w:tcPr>
            <w:tcW w:w="14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rPr>
              <w:t>2008, filed March 13, 2009</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3.2</w:t>
            </w:r>
          </w:p>
        </w:tc>
        <w:tc>
          <w:tcPr>
            <w:tcW w:w="4820" w:type="dxa"/>
            <w:vAlign w:val="bottom"/>
            <w:gridSpan w:val="20"/>
          </w:tcPr>
          <w:p>
            <w:pPr>
              <w:spacing w:after="0" w:line="190" w:lineRule="exact"/>
              <w:rPr>
                <w:rFonts w:ascii="Arial" w:cs="Arial" w:eastAsia="Arial" w:hAnsi="Arial"/>
                <w:sz w:val="18"/>
                <w:szCs w:val="18"/>
                <w:color w:val="0000EE"/>
              </w:rPr>
            </w:pPr>
            <w:hyperlink r:id="rId68">
              <w:r>
                <w:rPr>
                  <w:rFonts w:ascii="Arial" w:cs="Arial" w:eastAsia="Arial" w:hAnsi="Arial"/>
                  <w:sz w:val="18"/>
                  <w:szCs w:val="18"/>
                  <w:color w:val="0000EE"/>
                </w:rPr>
                <w:t>Amended and Restated By-laws</w:t>
              </w:r>
            </w:hyperlink>
          </w:p>
        </w:tc>
        <w:tc>
          <w:tcPr>
            <w:tcW w:w="5180" w:type="dxa"/>
            <w:vAlign w:val="bottom"/>
          </w:tcPr>
          <w:p>
            <w:pPr>
              <w:ind w:left="280"/>
              <w:spacing w:after="0" w:line="190" w:lineRule="exact"/>
              <w:rPr>
                <w:sz w:val="20"/>
                <w:szCs w:val="20"/>
                <w:color w:val="auto"/>
              </w:rPr>
            </w:pPr>
            <w:r>
              <w:rPr>
                <w:rFonts w:ascii="Arial" w:cs="Arial" w:eastAsia="Arial" w:hAnsi="Arial"/>
                <w:sz w:val="18"/>
                <w:szCs w:val="18"/>
                <w:color w:val="auto"/>
              </w:rPr>
              <w:t>Exhibit 3.2 of the Form 8-K filed December 9, 2011</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4.1</w:t>
            </w:r>
          </w:p>
        </w:tc>
        <w:tc>
          <w:tcPr>
            <w:tcW w:w="2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Specimen Stock Certificate</w:t>
              </w:r>
            </w:hyperlink>
          </w:p>
        </w:tc>
        <w:tc>
          <w:tcPr>
            <w:tcW w:w="2500" w:type="dxa"/>
            <w:vAlign w:val="bottom"/>
            <w:gridSpan w:val="15"/>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w w:val="98"/>
              </w:rPr>
              <w:t>Exhibit 4.1 of the Form 10-K for the year ended December 31,</w:t>
            </w:r>
          </w:p>
        </w:tc>
      </w:tr>
      <w:tr>
        <w:trPr>
          <w:trHeight w:val="222"/>
        </w:trPr>
        <w:tc>
          <w:tcPr>
            <w:tcW w:w="14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rPr>
              <w:t>2008, filed March 13, 2009</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10.1*</w:t>
            </w:r>
          </w:p>
        </w:tc>
        <w:tc>
          <w:tcPr>
            <w:tcW w:w="3940" w:type="dxa"/>
            <w:vAlign w:val="bottom"/>
            <w:tcBorders>
              <w:bottom w:val="single" w:sz="8" w:color="0000EE"/>
            </w:tcBorders>
            <w:gridSpan w:val="11"/>
          </w:tcPr>
          <w:p>
            <w:pPr>
              <w:spacing w:after="0" w:line="190"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Amendment to the Agreement relating to rechargeable</w:t>
              </w:r>
            </w:hyperlink>
          </w:p>
        </w:tc>
        <w:tc>
          <w:tcPr>
            <w:tcW w:w="880" w:type="dxa"/>
            <w:vAlign w:val="bottom"/>
            <w:gridSpan w:val="9"/>
          </w:tcPr>
          <w:p>
            <w:pPr>
              <w:spacing w:after="0"/>
              <w:rPr>
                <w:sz w:val="16"/>
                <w:szCs w:val="16"/>
                <w:color w:val="auto"/>
              </w:rPr>
            </w:pPr>
          </w:p>
        </w:tc>
        <w:tc>
          <w:tcPr>
            <w:tcW w:w="5180" w:type="dxa"/>
            <w:vAlign w:val="bottom"/>
          </w:tcPr>
          <w:p>
            <w:pPr>
              <w:ind w:left="280"/>
              <w:spacing w:after="0" w:line="190" w:lineRule="exact"/>
              <w:rPr>
                <w:sz w:val="20"/>
                <w:szCs w:val="20"/>
                <w:color w:val="auto"/>
              </w:rPr>
            </w:pPr>
            <w:r>
              <w:rPr>
                <w:rFonts w:ascii="Arial" w:cs="Arial" w:eastAsia="Arial" w:hAnsi="Arial"/>
                <w:sz w:val="18"/>
                <w:szCs w:val="18"/>
                <w:color w:val="auto"/>
              </w:rPr>
              <w:t>Exhibit 10.24 of our Form 10-K for the fiscal year ended June</w:t>
            </w:r>
          </w:p>
        </w:tc>
      </w:tr>
      <w:tr>
        <w:trPr>
          <w:trHeight w:val="196"/>
        </w:trPr>
        <w:tc>
          <w:tcPr>
            <w:tcW w:w="14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70">
              <w:r>
                <w:rPr>
                  <w:rFonts w:ascii="Arial" w:cs="Arial" w:eastAsia="Arial" w:hAnsi="Arial"/>
                  <w:sz w:val="18"/>
                  <w:szCs w:val="18"/>
                  <w:color w:val="0000EE"/>
                  <w:w w:val="86"/>
                </w:rPr>
                <w:t>batteries</w:t>
              </w:r>
            </w:hyperlink>
          </w:p>
        </w:tc>
        <w:tc>
          <w:tcPr>
            <w:tcW w:w="4200" w:type="dxa"/>
            <w:vAlign w:val="bottom"/>
            <w:gridSpan w:val="19"/>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30, 1996 (this Exhibit may be found in SEC File No. 0-20852)</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10.2†</w:t>
            </w:r>
          </w:p>
        </w:tc>
        <w:tc>
          <w:tcPr>
            <w:tcW w:w="4820" w:type="dxa"/>
            <w:vAlign w:val="bottom"/>
            <w:gridSpan w:val="2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Ultralife Corporation 2014 Long-Term Incentive Plan</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Appendix A to our Definitive Proxy Statement filed on April</w:t>
            </w:r>
          </w:p>
        </w:tc>
      </w:tr>
      <w:tr>
        <w:trPr>
          <w:trHeight w:val="222"/>
        </w:trPr>
        <w:tc>
          <w:tcPr>
            <w:tcW w:w="142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rPr>
              <w:t>21, 2014</w:t>
            </w:r>
          </w:p>
        </w:tc>
      </w:tr>
      <w:tr>
        <w:trPr>
          <w:trHeight w:val="190"/>
        </w:trPr>
        <w:tc>
          <w:tcPr>
            <w:tcW w:w="1420" w:type="dxa"/>
            <w:vAlign w:val="bottom"/>
          </w:tcPr>
          <w:p>
            <w:pPr>
              <w:ind w:left="340"/>
              <w:spacing w:after="0" w:line="190" w:lineRule="exact"/>
              <w:rPr>
                <w:sz w:val="20"/>
                <w:szCs w:val="20"/>
                <w:color w:val="auto"/>
              </w:rPr>
            </w:pPr>
            <w:r>
              <w:rPr>
                <w:rFonts w:ascii="Arial" w:cs="Arial" w:eastAsia="Arial" w:hAnsi="Arial"/>
                <w:sz w:val="18"/>
                <w:szCs w:val="18"/>
                <w:color w:val="auto"/>
              </w:rPr>
              <w:t>10.3†</w:t>
            </w:r>
          </w:p>
        </w:tc>
        <w:tc>
          <w:tcPr>
            <w:tcW w:w="4820" w:type="dxa"/>
            <w:vAlign w:val="bottom"/>
            <w:gridSpan w:val="20"/>
          </w:tcPr>
          <w:p>
            <w:pPr>
              <w:spacing w:after="0" w:line="190" w:lineRule="exact"/>
              <w:rPr>
                <w:rFonts w:ascii="Arial" w:cs="Arial" w:eastAsia="Arial" w:hAnsi="Arial"/>
                <w:sz w:val="18"/>
                <w:szCs w:val="18"/>
                <w:color w:val="0000EE"/>
              </w:rPr>
            </w:pPr>
            <w:hyperlink r:id="rId72">
              <w:r>
                <w:rPr>
                  <w:rFonts w:ascii="Arial" w:cs="Arial" w:eastAsia="Arial" w:hAnsi="Arial"/>
                  <w:sz w:val="18"/>
                  <w:szCs w:val="18"/>
                  <w:color w:val="0000EE"/>
                </w:rPr>
                <w:t>Ultralife Batteries, Inc. Amended and Restated 2004 Long-</w:t>
              </w:r>
            </w:hyperlink>
          </w:p>
        </w:tc>
        <w:tc>
          <w:tcPr>
            <w:tcW w:w="5180" w:type="dxa"/>
            <w:vAlign w:val="bottom"/>
          </w:tcPr>
          <w:p>
            <w:pPr>
              <w:ind w:left="280"/>
              <w:spacing w:after="0" w:line="190" w:lineRule="exact"/>
              <w:rPr>
                <w:sz w:val="20"/>
                <w:szCs w:val="20"/>
                <w:color w:val="auto"/>
              </w:rPr>
            </w:pPr>
            <w:r>
              <w:rPr>
                <w:rFonts w:ascii="Arial" w:cs="Arial" w:eastAsia="Arial" w:hAnsi="Arial"/>
                <w:sz w:val="18"/>
                <w:szCs w:val="18"/>
                <w:color w:val="auto"/>
                <w:w w:val="97"/>
              </w:rPr>
              <w:t>Exhibit 99.2 of our Registration Statement on Form S-8 filed on</w:t>
            </w:r>
          </w:p>
        </w:tc>
      </w:tr>
      <w:tr>
        <w:trPr>
          <w:trHeight w:val="196"/>
        </w:trPr>
        <w:tc>
          <w:tcPr>
            <w:tcW w:w="1420" w:type="dxa"/>
            <w:vAlign w:val="bottom"/>
          </w:tcPr>
          <w:p>
            <w:pPr>
              <w:spacing w:after="0"/>
              <w:rPr>
                <w:sz w:val="17"/>
                <w:szCs w:val="17"/>
                <w:color w:val="auto"/>
              </w:rPr>
            </w:pPr>
          </w:p>
        </w:tc>
        <w:tc>
          <w:tcPr>
            <w:tcW w:w="4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Term Incentive Plan</w:t>
              </w:r>
            </w:hyperlink>
          </w:p>
        </w:tc>
        <w:tc>
          <w:tcPr>
            <w:tcW w:w="560" w:type="dxa"/>
            <w:vAlign w:val="bottom"/>
            <w:gridSpan w:val="5"/>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July 26, 2004, File No. 333-117662</w:t>
            </w:r>
          </w:p>
        </w:tc>
      </w:tr>
      <w:tr>
        <w:trPr>
          <w:trHeight w:val="20"/>
        </w:trPr>
        <w:tc>
          <w:tcPr>
            <w:tcW w:w="14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10.4†</w:t>
            </w:r>
          </w:p>
        </w:tc>
        <w:tc>
          <w:tcPr>
            <w:tcW w:w="42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Amendment No. 1 to Ultralife Batteries, Inc. Amended and</w:t>
              </w:r>
            </w:hyperlink>
          </w:p>
        </w:tc>
        <w:tc>
          <w:tcPr>
            <w:tcW w:w="540" w:type="dxa"/>
            <w:vAlign w:val="bottom"/>
            <w:gridSpan w:val="4"/>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99.3 of our Registration Statement on Form S-8 filed</w:t>
            </w:r>
          </w:p>
        </w:tc>
      </w:tr>
      <w:tr>
        <w:trPr>
          <w:trHeight w:val="196"/>
        </w:trPr>
        <w:tc>
          <w:tcPr>
            <w:tcW w:w="1420" w:type="dxa"/>
            <w:vAlign w:val="bottom"/>
          </w:tcPr>
          <w:p>
            <w:pPr>
              <w:spacing w:after="0"/>
              <w:rPr>
                <w:sz w:val="17"/>
                <w:szCs w:val="17"/>
                <w:color w:val="auto"/>
              </w:rPr>
            </w:pPr>
          </w:p>
        </w:tc>
        <w:tc>
          <w:tcPr>
            <w:tcW w:w="2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Restated 2004 Long-Term Incentive Plan</w:t>
              </w:r>
            </w:hyperlink>
          </w:p>
        </w:tc>
        <w:tc>
          <w:tcPr>
            <w:tcW w:w="1840" w:type="dxa"/>
            <w:vAlign w:val="bottom"/>
            <w:gridSpan w:val="12"/>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August 18, 2006, File No. 333-136737</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10.5†</w:t>
            </w:r>
          </w:p>
        </w:tc>
        <w:tc>
          <w:tcPr>
            <w:tcW w:w="42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Amendment No. 2 to Ultralife Batteries, Inc. Amended and</w:t>
              </w:r>
            </w:hyperlink>
          </w:p>
        </w:tc>
        <w:tc>
          <w:tcPr>
            <w:tcW w:w="540" w:type="dxa"/>
            <w:vAlign w:val="bottom"/>
            <w:gridSpan w:val="4"/>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99.4 of our Registration Statement on Form S-8 filed</w:t>
            </w:r>
          </w:p>
        </w:tc>
      </w:tr>
      <w:tr>
        <w:trPr>
          <w:trHeight w:val="196"/>
        </w:trPr>
        <w:tc>
          <w:tcPr>
            <w:tcW w:w="1420" w:type="dxa"/>
            <w:vAlign w:val="bottom"/>
          </w:tcPr>
          <w:p>
            <w:pPr>
              <w:spacing w:after="0"/>
              <w:rPr>
                <w:sz w:val="17"/>
                <w:szCs w:val="17"/>
                <w:color w:val="auto"/>
              </w:rPr>
            </w:pPr>
          </w:p>
        </w:tc>
        <w:tc>
          <w:tcPr>
            <w:tcW w:w="2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Restated 2004 Long-Term Incentive Plan</w:t>
              </w:r>
            </w:hyperlink>
          </w:p>
        </w:tc>
        <w:tc>
          <w:tcPr>
            <w:tcW w:w="1840" w:type="dxa"/>
            <w:vAlign w:val="bottom"/>
            <w:gridSpan w:val="12"/>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November 13, 2008, File No. 333-155349</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10.6†</w:t>
            </w:r>
          </w:p>
        </w:tc>
        <w:tc>
          <w:tcPr>
            <w:tcW w:w="42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Amendment No. 3 to Ultralife Batteries, Inc. Amended and</w:t>
              </w:r>
            </w:hyperlink>
          </w:p>
        </w:tc>
        <w:tc>
          <w:tcPr>
            <w:tcW w:w="540" w:type="dxa"/>
            <w:vAlign w:val="bottom"/>
            <w:gridSpan w:val="4"/>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99.5 of our Registration Statement on Form S-8 filed</w:t>
            </w:r>
          </w:p>
        </w:tc>
      </w:tr>
      <w:tr>
        <w:trPr>
          <w:trHeight w:val="196"/>
        </w:trPr>
        <w:tc>
          <w:tcPr>
            <w:tcW w:w="1420" w:type="dxa"/>
            <w:vAlign w:val="bottom"/>
          </w:tcPr>
          <w:p>
            <w:pPr>
              <w:spacing w:after="0"/>
              <w:rPr>
                <w:sz w:val="17"/>
                <w:szCs w:val="17"/>
                <w:color w:val="auto"/>
              </w:rPr>
            </w:pPr>
          </w:p>
        </w:tc>
        <w:tc>
          <w:tcPr>
            <w:tcW w:w="2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Restated 2004 Long-Term Incentive Plan</w:t>
              </w:r>
            </w:hyperlink>
          </w:p>
        </w:tc>
        <w:tc>
          <w:tcPr>
            <w:tcW w:w="1840" w:type="dxa"/>
            <w:vAlign w:val="bottom"/>
            <w:gridSpan w:val="12"/>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November 13, 2008, File No. 333-155349</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10.7†</w:t>
            </w:r>
          </w:p>
        </w:tc>
        <w:tc>
          <w:tcPr>
            <w:tcW w:w="4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Employment Agreement between the Registrant and Michael</w:t>
              </w:r>
            </w:hyperlink>
          </w:p>
        </w:tc>
        <w:tc>
          <w:tcPr>
            <w:tcW w:w="400" w:type="dxa"/>
            <w:vAlign w:val="bottom"/>
            <w:gridSpan w:val="3"/>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10.40 of the Form 10-K for the year ended December</w:t>
            </w:r>
          </w:p>
        </w:tc>
      </w:tr>
      <w:tr>
        <w:trPr>
          <w:trHeight w:val="196"/>
        </w:trPr>
        <w:tc>
          <w:tcPr>
            <w:tcW w:w="14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D. Popielec dated December 6, 2010</w:t>
              </w:r>
            </w:hyperlink>
          </w:p>
        </w:tc>
        <w:tc>
          <w:tcPr>
            <w:tcW w:w="2160" w:type="dxa"/>
            <w:vAlign w:val="bottom"/>
            <w:gridSpan w:val="13"/>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31, 2010, filed March 15, 2011</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10.8†</w:t>
            </w:r>
          </w:p>
        </w:tc>
        <w:tc>
          <w:tcPr>
            <w:tcW w:w="4820" w:type="dxa"/>
            <w:vAlign w:val="bottom"/>
            <w:gridSpan w:val="20"/>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Amendment No. 4 to Ultralife Corporation Amended and</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w w:val="99"/>
              </w:rPr>
              <w:t>Exhibit 4.5 of the Registration Statement on Form S-8 filed on</w:t>
            </w:r>
          </w:p>
        </w:tc>
      </w:tr>
      <w:tr>
        <w:trPr>
          <w:trHeight w:val="196"/>
        </w:trPr>
        <w:tc>
          <w:tcPr>
            <w:tcW w:w="14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Restated 2004 Long-Term Incentive Plan</w:t>
              </w:r>
            </w:hyperlink>
          </w:p>
        </w:tc>
        <w:tc>
          <w:tcPr>
            <w:tcW w:w="1160" w:type="dxa"/>
            <w:vAlign w:val="bottom"/>
            <w:tcBorders>
              <w:top w:val="single" w:sz="8" w:color="0000EE"/>
            </w:tcBorders>
            <w:gridSpan w:val="5"/>
          </w:tcPr>
          <w:p>
            <w:pPr>
              <w:spacing w:after="0"/>
              <w:rPr>
                <w:sz w:val="17"/>
                <w:szCs w:val="17"/>
                <w:color w:val="auto"/>
              </w:rPr>
            </w:pPr>
          </w:p>
        </w:tc>
        <w:tc>
          <w:tcPr>
            <w:tcW w:w="680" w:type="dxa"/>
            <w:vAlign w:val="bottom"/>
            <w:gridSpan w:val="7"/>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January 30, 2012, File No. 333-179235</w:t>
            </w: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10.9†</w:t>
            </w:r>
          </w:p>
        </w:tc>
        <w:tc>
          <w:tcPr>
            <w:tcW w:w="4820" w:type="dxa"/>
            <w:vAlign w:val="bottom"/>
            <w:gridSpan w:val="20"/>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Amendment No. 5 to Ultralife Corporation Amended and</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10.1 of the Form 8-K filed on May 26, 2011</w:t>
            </w:r>
          </w:p>
        </w:tc>
      </w:tr>
      <w:tr>
        <w:trPr>
          <w:trHeight w:val="196"/>
        </w:trPr>
        <w:tc>
          <w:tcPr>
            <w:tcW w:w="14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Restated 2004 Long-Term Incentive Plan</w:t>
              </w:r>
            </w:hyperlink>
          </w:p>
        </w:tc>
        <w:tc>
          <w:tcPr>
            <w:tcW w:w="1160" w:type="dxa"/>
            <w:vAlign w:val="bottom"/>
            <w:tcBorders>
              <w:top w:val="single" w:sz="8" w:color="0000EE"/>
            </w:tcBorders>
            <w:gridSpan w:val="5"/>
          </w:tcPr>
          <w:p>
            <w:pPr>
              <w:spacing w:after="0"/>
              <w:rPr>
                <w:sz w:val="17"/>
                <w:szCs w:val="17"/>
                <w:color w:val="auto"/>
              </w:rPr>
            </w:pPr>
          </w:p>
        </w:tc>
        <w:tc>
          <w:tcPr>
            <w:tcW w:w="680" w:type="dxa"/>
            <w:vAlign w:val="bottom"/>
            <w:gridSpan w:val="7"/>
          </w:tcPr>
          <w:p>
            <w:pPr>
              <w:spacing w:after="0"/>
              <w:rPr>
                <w:sz w:val="17"/>
                <w:szCs w:val="17"/>
                <w:color w:val="auto"/>
              </w:rPr>
            </w:pPr>
          </w:p>
        </w:tc>
        <w:tc>
          <w:tcPr>
            <w:tcW w:w="5180" w:type="dxa"/>
            <w:vAlign w:val="bottom"/>
          </w:tcPr>
          <w:p>
            <w:pPr>
              <w:spacing w:after="0"/>
              <w:rPr>
                <w:sz w:val="17"/>
                <w:szCs w:val="17"/>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10.10†</w:t>
            </w:r>
          </w:p>
        </w:tc>
        <w:tc>
          <w:tcPr>
            <w:tcW w:w="3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Restricted Stock Unit Agreement between Ultralife</w:t>
              </w:r>
            </w:hyperlink>
          </w:p>
        </w:tc>
        <w:tc>
          <w:tcPr>
            <w:tcW w:w="1120" w:type="dxa"/>
            <w:vAlign w:val="bottom"/>
            <w:gridSpan w:val="11"/>
          </w:tcPr>
          <w:p>
            <w:pPr>
              <w:spacing w:after="0"/>
              <w:rPr>
                <w:sz w:val="17"/>
                <w:szCs w:val="17"/>
                <w:color w:val="auto"/>
              </w:rPr>
            </w:pPr>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10.3 of the Form 10-Q for the quarter ended June 30,</w:t>
            </w:r>
          </w:p>
        </w:tc>
      </w:tr>
      <w:tr>
        <w:trPr>
          <w:trHeight w:val="196"/>
        </w:trPr>
        <w:tc>
          <w:tcPr>
            <w:tcW w:w="1420" w:type="dxa"/>
            <w:vAlign w:val="bottom"/>
          </w:tcPr>
          <w:p>
            <w:pPr>
              <w:spacing w:after="0"/>
              <w:rPr>
                <w:sz w:val="17"/>
                <w:szCs w:val="17"/>
                <w:color w:val="auto"/>
              </w:rPr>
            </w:pPr>
          </w:p>
        </w:tc>
        <w:tc>
          <w:tcPr>
            <w:tcW w:w="4820" w:type="dxa"/>
            <w:vAlign w:val="bottom"/>
            <w:gridSpan w:val="20"/>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Corporation and Michael D. Popielec. Dated June 4, 2013</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2013, filed August 9, 2013</w:t>
            </w:r>
          </w:p>
        </w:tc>
      </w:tr>
      <w:tr>
        <w:trPr>
          <w:trHeight w:val="20"/>
        </w:trPr>
        <w:tc>
          <w:tcPr>
            <w:tcW w:w="1420" w:type="dxa"/>
            <w:vAlign w:val="bottom"/>
          </w:tcPr>
          <w:p>
            <w:pPr>
              <w:spacing w:after="0" w:line="20" w:lineRule="exact"/>
              <w:rPr>
                <w:sz w:val="1"/>
                <w:szCs w:val="1"/>
                <w:color w:val="auto"/>
              </w:rPr>
            </w:pPr>
          </w:p>
        </w:tc>
        <w:tc>
          <w:tcPr>
            <w:tcW w:w="4040" w:type="dxa"/>
            <w:vAlign w:val="bottom"/>
            <w:gridSpan w:val="1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10.11†</w:t>
            </w:r>
          </w:p>
        </w:tc>
        <w:tc>
          <w:tcPr>
            <w:tcW w:w="4820" w:type="dxa"/>
            <w:vAlign w:val="bottom"/>
            <w:gridSpan w:val="2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Amendment No. 6. to Ultralife Corporation Amended and</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Appendix A of Form DEF 14A filed on April 22, 2013</w:t>
            </w:r>
          </w:p>
        </w:tc>
      </w:tr>
      <w:tr>
        <w:trPr>
          <w:trHeight w:val="196"/>
        </w:trPr>
        <w:tc>
          <w:tcPr>
            <w:tcW w:w="14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Restated 2004 Long-Term Incentive Plan</w:t>
              </w:r>
            </w:hyperlink>
          </w:p>
        </w:tc>
        <w:tc>
          <w:tcPr>
            <w:tcW w:w="1200" w:type="dxa"/>
            <w:vAlign w:val="bottom"/>
            <w:tcBorders>
              <w:top w:val="single" w:sz="8" w:color="0000EE"/>
            </w:tcBorders>
            <w:gridSpan w:val="6"/>
          </w:tcPr>
          <w:p>
            <w:pPr>
              <w:spacing w:after="0"/>
              <w:rPr>
                <w:sz w:val="17"/>
                <w:szCs w:val="17"/>
                <w:color w:val="auto"/>
              </w:rPr>
            </w:pPr>
          </w:p>
        </w:tc>
        <w:tc>
          <w:tcPr>
            <w:tcW w:w="640" w:type="dxa"/>
            <w:vAlign w:val="bottom"/>
            <w:gridSpan w:val="6"/>
          </w:tcPr>
          <w:p>
            <w:pPr>
              <w:spacing w:after="0"/>
              <w:rPr>
                <w:sz w:val="17"/>
                <w:szCs w:val="17"/>
                <w:color w:val="auto"/>
              </w:rPr>
            </w:pPr>
          </w:p>
        </w:tc>
        <w:tc>
          <w:tcPr>
            <w:tcW w:w="5180" w:type="dxa"/>
            <w:vAlign w:val="bottom"/>
          </w:tcPr>
          <w:p>
            <w:pPr>
              <w:spacing w:after="0"/>
              <w:rPr>
                <w:sz w:val="17"/>
                <w:szCs w:val="17"/>
                <w:color w:val="auto"/>
              </w:rPr>
            </w:pPr>
          </w:p>
        </w:tc>
      </w:tr>
      <w:tr>
        <w:trPr>
          <w:trHeight w:val="196"/>
        </w:trPr>
        <w:tc>
          <w:tcPr>
            <w:tcW w:w="1420" w:type="dxa"/>
            <w:vAlign w:val="bottom"/>
          </w:tcPr>
          <w:p>
            <w:pPr>
              <w:ind w:left="340"/>
              <w:spacing w:after="0" w:line="196" w:lineRule="exact"/>
              <w:rPr>
                <w:sz w:val="20"/>
                <w:szCs w:val="20"/>
                <w:color w:val="auto"/>
              </w:rPr>
            </w:pPr>
            <w:r>
              <w:rPr>
                <w:rFonts w:ascii="Arial" w:cs="Arial" w:eastAsia="Arial" w:hAnsi="Arial"/>
                <w:sz w:val="18"/>
                <w:szCs w:val="18"/>
                <w:color w:val="auto"/>
              </w:rPr>
              <w:t>10.12</w:t>
            </w:r>
          </w:p>
        </w:tc>
        <w:tc>
          <w:tcPr>
            <w:tcW w:w="4820" w:type="dxa"/>
            <w:vAlign w:val="bottom"/>
            <w:gridSpan w:val="20"/>
          </w:tcPr>
          <w:p>
            <w:pPr>
              <w:spacing w:after="0" w:line="196"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Credit and Security Agreement between Ultralife Corporation</w:t>
              </w:r>
            </w:hyperlink>
          </w:p>
        </w:tc>
        <w:tc>
          <w:tcPr>
            <w:tcW w:w="5180" w:type="dxa"/>
            <w:vAlign w:val="bottom"/>
          </w:tcPr>
          <w:p>
            <w:pPr>
              <w:ind w:left="280"/>
              <w:spacing w:after="0" w:line="196" w:lineRule="exact"/>
              <w:rPr>
                <w:sz w:val="20"/>
                <w:szCs w:val="20"/>
                <w:color w:val="auto"/>
              </w:rPr>
            </w:pPr>
            <w:r>
              <w:rPr>
                <w:rFonts w:ascii="Arial" w:cs="Arial" w:eastAsia="Arial" w:hAnsi="Arial"/>
                <w:sz w:val="18"/>
                <w:szCs w:val="18"/>
                <w:color w:val="auto"/>
              </w:rPr>
              <w:t>Exhibit 10.1 of the Form 8-K filed on June 6, 2017</w:t>
            </w:r>
          </w:p>
        </w:tc>
      </w:tr>
      <w:tr>
        <w:trPr>
          <w:trHeight w:val="196"/>
        </w:trPr>
        <w:tc>
          <w:tcPr>
            <w:tcW w:w="14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and KeyBank National Association dated May 31, 2017</w:t>
              </w:r>
            </w:hyperlink>
          </w:p>
        </w:tc>
        <w:tc>
          <w:tcPr>
            <w:tcW w:w="420" w:type="dxa"/>
            <w:vAlign w:val="bottom"/>
            <w:tcBorders>
              <w:top w:val="single" w:sz="8" w:color="0000EE"/>
            </w:tcBorders>
            <w:gridSpan w:val="6"/>
          </w:tcPr>
          <w:p>
            <w:pPr>
              <w:spacing w:after="0"/>
              <w:rPr>
                <w:sz w:val="17"/>
                <w:szCs w:val="17"/>
                <w:color w:val="auto"/>
              </w:rPr>
            </w:pPr>
          </w:p>
        </w:tc>
        <w:tc>
          <w:tcPr>
            <w:tcW w:w="360" w:type="dxa"/>
            <w:vAlign w:val="bottom"/>
            <w:gridSpan w:val="2"/>
          </w:tcPr>
          <w:p>
            <w:pPr>
              <w:spacing w:after="0"/>
              <w:rPr>
                <w:sz w:val="17"/>
                <w:szCs w:val="17"/>
                <w:color w:val="auto"/>
              </w:rPr>
            </w:pPr>
          </w:p>
        </w:tc>
        <w:tc>
          <w:tcPr>
            <w:tcW w:w="5180" w:type="dxa"/>
            <w:vAlign w:val="bottom"/>
          </w:tcPr>
          <w:p>
            <w:pPr>
              <w:spacing w:after="0"/>
              <w:rPr>
                <w:sz w:val="17"/>
                <w:szCs w:val="17"/>
                <w:color w:val="auto"/>
              </w:rPr>
            </w:pPr>
          </w:p>
        </w:tc>
      </w:tr>
      <w:tr>
        <w:trPr>
          <w:trHeight w:val="480"/>
        </w:trPr>
        <w:tc>
          <w:tcPr>
            <w:tcW w:w="1420" w:type="dxa"/>
            <w:vAlign w:val="bottom"/>
          </w:tcPr>
          <w:p>
            <w:pPr>
              <w:spacing w:after="0"/>
              <w:rPr>
                <w:sz w:val="24"/>
                <w:szCs w:val="24"/>
                <w:color w:val="auto"/>
              </w:rPr>
            </w:pPr>
          </w:p>
        </w:tc>
        <w:tc>
          <w:tcPr>
            <w:tcW w:w="4420" w:type="dxa"/>
            <w:vAlign w:val="bottom"/>
            <w:gridSpan w:val="17"/>
          </w:tcPr>
          <w:p>
            <w:pPr>
              <w:ind w:left="4200"/>
              <w:spacing w:after="0"/>
              <w:rPr>
                <w:sz w:val="20"/>
                <w:szCs w:val="20"/>
                <w:color w:val="auto"/>
              </w:rPr>
            </w:pPr>
            <w:r>
              <w:rPr>
                <w:rFonts w:ascii="Arial" w:cs="Arial" w:eastAsia="Arial" w:hAnsi="Arial"/>
                <w:sz w:val="18"/>
                <w:szCs w:val="18"/>
                <w:color w:val="auto"/>
                <w:w w:val="99"/>
              </w:rPr>
              <w:t>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4420" w:type="dxa"/>
            <w:vAlign w:val="bottom"/>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Subsidiaries</w:t>
              </w:r>
            </w:hyperlink>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420" w:type="dxa"/>
            <w:vAlign w:val="bottom"/>
            <w:gridSpan w:val="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Consent of Freed Maxick CPAs, P.C.</w:t>
              </w:r>
            </w:hyperlink>
          </w:p>
        </w:tc>
        <w:tc>
          <w:tcPr>
            <w:tcW w:w="1720" w:type="dxa"/>
            <w:vAlign w:val="bottom"/>
          </w:tcPr>
          <w:p>
            <w:pPr>
              <w:ind w:left="68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CEO 302 Certifications</w:t>
              </w:r>
            </w:hyperlink>
          </w:p>
        </w:tc>
        <w:tc>
          <w:tcPr>
            <w:tcW w:w="940" w:type="dxa"/>
            <w:vAlign w:val="bottom"/>
            <w:tcBorders>
              <w:top w:val="single" w:sz="8" w:color="0000EE"/>
            </w:tcBorders>
          </w:tcPr>
          <w:p>
            <w:pPr>
              <w:spacing w:after="0"/>
              <w:rPr>
                <w:sz w:val="17"/>
                <w:szCs w:val="17"/>
                <w:color w:val="auto"/>
              </w:rPr>
            </w:pPr>
          </w:p>
        </w:tc>
        <w:tc>
          <w:tcPr>
            <w:tcW w:w="1760" w:type="dxa"/>
            <w:vAlign w:val="bottom"/>
          </w:tcPr>
          <w:p>
            <w:pPr>
              <w:spacing w:after="0"/>
              <w:rPr>
                <w:sz w:val="17"/>
                <w:szCs w:val="17"/>
                <w:color w:val="auto"/>
              </w:rPr>
            </w:pPr>
          </w:p>
        </w:tc>
        <w:tc>
          <w:tcPr>
            <w:tcW w:w="1720" w:type="dxa"/>
            <w:vAlign w:val="bottom"/>
          </w:tcPr>
          <w:p>
            <w:pPr>
              <w:ind w:left="68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7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CFO 302 Certifications</w:t>
              </w:r>
            </w:hyperlink>
          </w:p>
        </w:tc>
        <w:tc>
          <w:tcPr>
            <w:tcW w:w="2720" w:type="dxa"/>
            <w:vAlign w:val="bottom"/>
            <w:gridSpan w:val="3"/>
          </w:tcPr>
          <w:p>
            <w:pPr>
              <w:spacing w:after="0"/>
              <w:rPr>
                <w:sz w:val="17"/>
                <w:szCs w:val="17"/>
                <w:color w:val="auto"/>
              </w:rPr>
            </w:pPr>
          </w:p>
        </w:tc>
        <w:tc>
          <w:tcPr>
            <w:tcW w:w="1720" w:type="dxa"/>
            <w:vAlign w:val="bottom"/>
          </w:tcPr>
          <w:p>
            <w:pPr>
              <w:ind w:left="680"/>
              <w:spacing w:after="0" w:line="196" w:lineRule="exact"/>
              <w:rPr>
                <w:sz w:val="20"/>
                <w:szCs w:val="20"/>
                <w:color w:val="auto"/>
              </w:rPr>
            </w:pPr>
            <w:r>
              <w:rPr>
                <w:rFonts w:ascii="Arial" w:cs="Arial" w:eastAsia="Arial" w:hAnsi="Arial"/>
                <w:sz w:val="18"/>
                <w:szCs w:val="18"/>
                <w:color w:val="auto"/>
                <w:w w:val="91"/>
              </w:rPr>
              <w:t>Filed herewith</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20" w:type="dxa"/>
            <w:vAlign w:val="bottom"/>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906 Certifications</w:t>
              </w:r>
            </w:hyperlink>
          </w:p>
        </w:tc>
        <w:tc>
          <w:tcPr>
            <w:tcW w:w="1720" w:type="dxa"/>
            <w:vAlign w:val="bottom"/>
          </w:tcPr>
          <w:p>
            <w:pPr>
              <w:ind w:left="680"/>
              <w:spacing w:after="0" w:line="196" w:lineRule="exact"/>
              <w:rPr>
                <w:sz w:val="20"/>
                <w:szCs w:val="20"/>
                <w:color w:val="auto"/>
              </w:rPr>
            </w:pPr>
            <w:r>
              <w:rPr>
                <w:rFonts w:ascii="Arial" w:cs="Arial" w:eastAsia="Arial" w:hAnsi="Arial"/>
                <w:sz w:val="18"/>
                <w:szCs w:val="18"/>
                <w:color w:val="auto"/>
                <w:w w:val="91"/>
              </w:rPr>
              <w:t>Filed herewith</w:t>
            </w:r>
          </w:p>
        </w:tc>
      </w:tr>
      <w:tr>
        <w:trPr>
          <w:trHeight w:val="20"/>
        </w:trPr>
        <w:tc>
          <w:tcPr>
            <w:tcW w:w="10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100.INS</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100.SCH</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100.CAL</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100.LAB</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100.PRE</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100.DEF</w:t>
            </w:r>
          </w:p>
        </w:tc>
        <w:tc>
          <w:tcPr>
            <w:tcW w:w="4420" w:type="dxa"/>
            <w:vAlign w:val="bottom"/>
            <w:gridSpan w:val="6"/>
          </w:tcPr>
          <w:p>
            <w:pPr>
              <w:spacing w:after="0"/>
              <w:rPr>
                <w:sz w:val="20"/>
                <w:szCs w:val="20"/>
                <w:color w:val="auto"/>
              </w:rPr>
            </w:pPr>
            <w:r>
              <w:rPr>
                <w:rFonts w:ascii="Arial" w:cs="Arial" w:eastAsia="Arial" w:hAnsi="Arial"/>
                <w:sz w:val="18"/>
                <w:szCs w:val="18"/>
                <w:color w:val="auto"/>
              </w:rPr>
              <w:t>XBRL Taxonomy Definition Document</w:t>
            </w:r>
          </w:p>
        </w:tc>
        <w:tc>
          <w:tcPr>
            <w:tcW w:w="1720" w:type="dxa"/>
            <w:vAlign w:val="bottom"/>
          </w:tcPr>
          <w:p>
            <w:pPr>
              <w:ind w:left="680"/>
              <w:spacing w:after="0"/>
              <w:rPr>
                <w:sz w:val="20"/>
                <w:szCs w:val="20"/>
                <w:color w:val="auto"/>
              </w:rPr>
            </w:pPr>
            <w:r>
              <w:rPr>
                <w:rFonts w:ascii="Arial" w:cs="Arial" w:eastAsia="Arial" w:hAnsi="Arial"/>
                <w:sz w:val="18"/>
                <w:szCs w:val="18"/>
                <w:color w:val="auto"/>
                <w:w w:val="91"/>
              </w:rPr>
              <w:t>Filed herewith</w:t>
            </w:r>
          </w:p>
        </w:tc>
      </w:tr>
    </w:tbl>
    <w:p>
      <w:pPr>
        <w:spacing w:after="0" w:line="202" w:lineRule="exact"/>
        <w:rPr>
          <w:sz w:val="20"/>
          <w:szCs w:val="20"/>
          <w:color w:val="auto"/>
        </w:rPr>
      </w:pPr>
    </w:p>
    <w:p>
      <w:pPr>
        <w:ind w:left="460" w:hanging="14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79"/>
          </w:cols>
          <w:pgMar w:left="580" w:top="56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4240" w:type="dxa"/>
            <w:vAlign w:val="bottom"/>
          </w:tcPr>
          <w:p>
            <w:pPr>
              <w:ind w:left="660"/>
              <w:spacing w:after="0"/>
              <w:rPr>
                <w:sz w:val="20"/>
                <w:szCs w:val="20"/>
                <w:color w:val="auto"/>
              </w:rPr>
            </w:pPr>
            <w:r>
              <w:rPr>
                <w:rFonts w:ascii="Arial" w:cs="Arial" w:eastAsia="Arial" w:hAnsi="Arial"/>
                <w:sz w:val="18"/>
                <w:szCs w:val="18"/>
                <w:b w:val="1"/>
                <w:bCs w:val="1"/>
                <w:color w:val="auto"/>
              </w:rPr>
              <w:t>ULTRALIFE CORPORATION</w:t>
            </w:r>
          </w:p>
        </w:tc>
      </w:tr>
      <w:tr>
        <w:trPr>
          <w:trHeight w:val="432"/>
        </w:trPr>
        <w:tc>
          <w:tcPr>
            <w:tcW w:w="5740" w:type="dxa"/>
            <w:vAlign w:val="bottom"/>
          </w:tcPr>
          <w:p>
            <w:pPr>
              <w:spacing w:after="0"/>
              <w:rPr>
                <w:sz w:val="20"/>
                <w:szCs w:val="20"/>
                <w:color w:val="auto"/>
              </w:rPr>
            </w:pPr>
            <w:r>
              <w:rPr>
                <w:rFonts w:ascii="Arial" w:cs="Arial" w:eastAsia="Arial" w:hAnsi="Arial"/>
                <w:sz w:val="18"/>
                <w:szCs w:val="18"/>
                <w:color w:val="auto"/>
              </w:rPr>
              <w:t>Date: February 7, 2019</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74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7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20" w:firstLine="40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c>
          <w:tcPr>
            <w:tcW w:w="14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c>
          <w:tcPr>
            <w:tcW w:w="14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14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c>
          <w:tcPr>
            <w:tcW w:w="14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Philip A. Fain</w:t>
            </w:r>
          </w:p>
        </w:tc>
        <w:tc>
          <w:tcPr>
            <w:tcW w:w="14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4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4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Accounting Officer)</w:t>
            </w:r>
          </w:p>
        </w:tc>
        <w:tc>
          <w:tcPr>
            <w:tcW w:w="14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/s/Steven M. Anderson</w:t>
            </w:r>
          </w:p>
        </w:tc>
        <w:tc>
          <w:tcPr>
            <w:tcW w:w="14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Steven M. Anderson (Director)</w:t>
            </w:r>
          </w:p>
        </w:tc>
        <w:tc>
          <w:tcPr>
            <w:tcW w:w="14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Saeli</w:t>
            </w:r>
          </w:p>
        </w:tc>
        <w:tc>
          <w:tcPr>
            <w:tcW w:w="14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Thomas L. Saeli (Director)</w:t>
            </w:r>
          </w:p>
        </w:tc>
        <w:tc>
          <w:tcPr>
            <w:tcW w:w="14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Shaw II</w:t>
            </w:r>
          </w:p>
        </w:tc>
        <w:tc>
          <w:tcPr>
            <w:tcW w:w="14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Robert W. Shaw II (Director)</w:t>
            </w:r>
          </w:p>
        </w:tc>
        <w:tc>
          <w:tcPr>
            <w:tcW w:w="14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Ranjit C. Singh</w:t>
            </w:r>
          </w:p>
        </w:tc>
        <w:tc>
          <w:tcPr>
            <w:tcW w:w="14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Ranjit C. Singh (Director)</w:t>
            </w:r>
          </w:p>
        </w:tc>
        <w:tc>
          <w:tcPr>
            <w:tcW w:w="1440" w:type="dxa"/>
            <w:vAlign w:val="bottom"/>
          </w:tcPr>
          <w:p>
            <w:pPr>
              <w:spacing w:after="0"/>
              <w:rPr>
                <w:sz w:val="19"/>
                <w:szCs w:val="19"/>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7, 2019</w:t>
            </w:r>
          </w:p>
        </w:tc>
        <w:tc>
          <w:tcPr>
            <w:tcW w:w="20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T. Whitmore</w:t>
            </w:r>
          </w:p>
        </w:tc>
        <w:tc>
          <w:tcPr>
            <w:tcW w:w="1440" w:type="dxa"/>
            <w:vAlign w:val="bottom"/>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Bradford T. Whitmore (Director)</w:t>
            </w:r>
          </w:p>
        </w:tc>
        <w:tc>
          <w:tcPr>
            <w:tcW w:w="1440" w:type="dxa"/>
            <w:vAlign w:val="bottom"/>
          </w:tcPr>
          <w:p>
            <w:pPr>
              <w:spacing w:after="0"/>
              <w:rPr>
                <w:sz w:val="19"/>
                <w:szCs w:val="19"/>
                <w:color w:val="auto"/>
              </w:rPr>
            </w:pPr>
          </w:p>
        </w:tc>
      </w:tr>
      <w:tr>
        <w:trPr>
          <w:trHeight w:val="445"/>
        </w:trPr>
        <w:tc>
          <w:tcPr>
            <w:tcW w:w="3660" w:type="dxa"/>
            <w:vAlign w:val="bottom"/>
          </w:tcPr>
          <w:p>
            <w:pPr>
              <w:spacing w:after="0"/>
              <w:rPr>
                <w:sz w:val="24"/>
                <w:szCs w:val="24"/>
                <w:color w:val="auto"/>
              </w:rPr>
            </w:pPr>
          </w:p>
        </w:tc>
        <w:tc>
          <w:tcPr>
            <w:tcW w:w="6320" w:type="dxa"/>
            <w:vAlign w:val="bottom"/>
            <w:gridSpan w:val="2"/>
          </w:tcPr>
          <w:p>
            <w:pPr>
              <w:jc w:val="right"/>
              <w:ind w:right="4090"/>
              <w:spacing w:after="0"/>
              <w:rPr>
                <w:sz w:val="20"/>
                <w:szCs w:val="20"/>
                <w:color w:val="auto"/>
              </w:rPr>
            </w:pPr>
            <w:r>
              <w:rPr>
                <w:rFonts w:ascii="Arial" w:cs="Arial" w:eastAsia="Arial" w:hAnsi="Arial"/>
                <w:sz w:val="18"/>
                <w:szCs w:val="18"/>
                <w:color w:val="auto"/>
              </w:rPr>
              <w:t>65</w:t>
            </w:r>
          </w:p>
        </w:tc>
        <w:tc>
          <w:tcPr>
            <w:tcW w:w="144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860" w:type="dxa"/>
            <w:vAlign w:val="bottom"/>
          </w:tcPr>
          <w:p>
            <w:pPr>
              <w:ind w:left="374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9860" w:type="dxa"/>
            <w:vAlign w:val="bottom"/>
          </w:tcPr>
          <w:p>
            <w:pPr>
              <w:ind w:left="420"/>
              <w:spacing w:after="0"/>
              <w:rPr>
                <w:sz w:val="20"/>
                <w:szCs w:val="20"/>
                <w:color w:val="auto"/>
              </w:rPr>
            </w:pPr>
            <w:r>
              <w:rPr>
                <w:rFonts w:ascii="Arial" w:cs="Arial" w:eastAsia="Arial" w:hAnsi="Arial"/>
                <w:sz w:val="18"/>
                <w:szCs w:val="18"/>
                <w:color w:val="auto"/>
              </w:rPr>
              <w:t>Subsidiaries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9860" w:type="dxa"/>
            <w:vAlign w:val="bottom"/>
          </w:tcPr>
          <w:p>
            <w:pPr>
              <w:ind w:left="420"/>
              <w:spacing w:after="0"/>
              <w:rPr>
                <w:sz w:val="20"/>
                <w:szCs w:val="20"/>
                <w:color w:val="auto"/>
              </w:rPr>
            </w:pPr>
            <w:r>
              <w:rPr>
                <w:rFonts w:ascii="Arial" w:cs="Arial" w:eastAsia="Arial" w:hAnsi="Arial"/>
                <w:sz w:val="18"/>
                <w:szCs w:val="18"/>
                <w:color w:val="auto"/>
              </w:rPr>
              <w:t>Consent of Freed Maxick CPAs, P.C.</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10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108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tcPr>
          <w:p>
            <w:pPr>
              <w:ind w:left="42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42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42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42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42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1080" w:type="dxa"/>
            <w:vAlign w:val="bottom"/>
          </w:tcPr>
          <w:p>
            <w:pPr>
              <w:spacing w:after="0"/>
              <w:rPr>
                <w:sz w:val="24"/>
                <w:szCs w:val="24"/>
                <w:color w:val="auto"/>
              </w:rPr>
            </w:pPr>
          </w:p>
        </w:tc>
        <w:tc>
          <w:tcPr>
            <w:tcW w:w="9860" w:type="dxa"/>
            <w:vAlign w:val="bottom"/>
          </w:tcPr>
          <w:p>
            <w:pPr>
              <w:ind w:left="454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0940"/>
          </w:cols>
          <w:pgMar w:left="240" w:top="580" w:right="7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Through our ownership interest in Ultralife UK LTD, we have a 100% controlling interest in Accutronics, Ltd., also incorporated in the United Kingdom.</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on Form S-8 (Nos. 333-117662, 333-136737, 333-155349, 333-179235 and 333-203037) of our report dated February 8, 2019, relating to the consolidated financial statements and effectiveness of internal control over financial reporting of Ultralife Corporation appearing in this Annual Report on Form 10-K for the year ended December 31,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Date: February 7,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222"/>
        </w:trPr>
        <w:tc>
          <w:tcPr>
            <w:tcW w:w="50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Michael D. Popielec</w:t>
            </w:r>
          </w:p>
        </w:tc>
      </w:tr>
      <w:tr>
        <w:trPr>
          <w:trHeight w:val="230"/>
        </w:trPr>
        <w:tc>
          <w:tcPr>
            <w:tcW w:w="50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Date: February 7, 2019</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222"/>
        </w:trPr>
        <w:tc>
          <w:tcPr>
            <w:tcW w:w="506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Philip A. Fain</w:t>
            </w:r>
          </w:p>
        </w:tc>
      </w:tr>
      <w:tr>
        <w:trPr>
          <w:trHeight w:val="230"/>
        </w:trPr>
        <w:tc>
          <w:tcPr>
            <w:tcW w:w="506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70" w:name="page71"/>
    <w:bookmarkEnd w:id="70"/>
    <w:p>
      <w:pPr>
        <w:ind w:left="10620"/>
        <w:spacing w:after="0"/>
        <w:rPr>
          <w:sz w:val="20"/>
          <w:szCs w:val="20"/>
          <w:color w:val="auto"/>
        </w:rPr>
      </w:pPr>
      <w:r>
        <w:rPr>
          <w:rFonts w:ascii="Arial" w:cs="Arial" w:eastAsia="Arial" w:hAnsi="Arial"/>
          <w:sz w:val="16"/>
          <w:szCs w:val="16"/>
          <w:b w:val="1"/>
          <w:bCs w:val="1"/>
          <w:color w:val="auto"/>
        </w:rPr>
        <w:t>Exhibit 32</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Section 1350 Certification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2018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Arial" w:cs="Arial" w:eastAsia="Arial" w:hAnsi="Arial"/>
                <w:sz w:val="18"/>
                <w:szCs w:val="18"/>
                <w:color w:val="auto"/>
              </w:rPr>
              <w:t>Date: February 7, 2019</w:t>
            </w:r>
          </w:p>
        </w:tc>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Popielec</w:t>
            </w:r>
          </w:p>
        </w:tc>
      </w:tr>
      <w:tr>
        <w:trPr>
          <w:trHeight w:val="222"/>
        </w:trPr>
        <w:tc>
          <w:tcPr>
            <w:tcW w:w="57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Michael D. Popielec</w:t>
            </w:r>
          </w:p>
        </w:tc>
      </w:tr>
      <w:tr>
        <w:trPr>
          <w:trHeight w:val="230"/>
        </w:trPr>
        <w:tc>
          <w:tcPr>
            <w:tcW w:w="57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Date: February 7, 2019</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c>
          <w:tcPr>
            <w:tcW w:w="560" w:type="dxa"/>
            <w:vAlign w:val="bottom"/>
          </w:tcPr>
          <w:p>
            <w:pPr>
              <w:spacing w:after="0"/>
              <w:rPr>
                <w:sz w:val="24"/>
                <w:szCs w:val="24"/>
                <w:color w:val="auto"/>
              </w:rPr>
            </w:pPr>
          </w:p>
        </w:tc>
      </w:tr>
      <w:tr>
        <w:trPr>
          <w:trHeight w:val="222"/>
        </w:trPr>
        <w:tc>
          <w:tcPr>
            <w:tcW w:w="57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Philip A. Fain</w:t>
            </w:r>
          </w:p>
        </w:tc>
      </w:tr>
      <w:tr>
        <w:trPr>
          <w:trHeight w:val="230"/>
        </w:trPr>
        <w:tc>
          <w:tcPr>
            <w:tcW w:w="572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2"/>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lowerLetter"/>
      <w:start w:val="4"/>
    </w:lvl>
  </w:abstractNum>
  <w:abstractNum w:abstractNumId="7">
    <w:nsid w:val="4353D0CD"/>
    <w:multiLevelType w:val="hybridMultilevel"/>
    <w:lvl w:ilvl="0">
      <w:lvlJc w:val="left"/>
      <w:lvlText w:val="%1."/>
      <w:numFmt w:val="lowerLetter"/>
      <w:start w:val="6"/>
    </w:lvl>
  </w:abstractNum>
  <w:abstractNum w:abstractNumId="8">
    <w:nsid w:val="B03E0C6"/>
    <w:multiLevelType w:val="hybridMultilevel"/>
    <w:lvl w:ilvl="0">
      <w:lvlJc w:val="left"/>
      <w:lvlText w:val="%1."/>
      <w:numFmt w:val="lowerLetter"/>
      <w:start w:val="7"/>
    </w:lvl>
  </w:abstractNum>
  <w:abstractNum w:abstractNumId="9">
    <w:nsid w:val="189A769B"/>
    <w:multiLevelType w:val="hybridMultilevel"/>
    <w:lvl w:ilvl="0">
      <w:lvlJc w:val="left"/>
      <w:lvlText w:val="%1."/>
      <w:numFmt w:val="lowerLetter"/>
      <w:start w:val="8"/>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10"/>
    </w:lvl>
  </w:abstractNum>
  <w:abstractNum w:abstractNumId="12">
    <w:nsid w:val="2CA88611"/>
    <w:multiLevelType w:val="hybridMultilevel"/>
    <w:lvl w:ilvl="0">
      <w:lvlJc w:val="left"/>
      <w:lvlText w:val="%1."/>
      <w:numFmt w:val="lowerLetter"/>
      <w:start w:val="12"/>
    </w:lvl>
  </w:abstractNum>
  <w:abstractNum w:abstractNumId="13">
    <w:nsid w:val="836C40E"/>
    <w:multiLevelType w:val="hybridMultilevel"/>
    <w:lvl w:ilvl="0">
      <w:lvlJc w:val="left"/>
      <w:lvlText w:val="%1."/>
      <w:numFmt w:val="lowerLetter"/>
      <w:start w:val="13"/>
    </w:lvl>
  </w:abstractNum>
  <w:abstractNum w:abstractNumId="14">
    <w:nsid w:val="2901D82"/>
    <w:multiLevelType w:val="hybridMultilevel"/>
    <w:lvl w:ilvl="0">
      <w:lvlJc w:val="left"/>
      <w:lvlText w:val="%1."/>
      <w:numFmt w:val="lowerLetter"/>
      <w:start w:val="14"/>
    </w:lvl>
  </w:abstractNum>
  <w:abstractNum w:abstractNumId="15">
    <w:nsid w:val="3A95F874"/>
    <w:multiLevelType w:val="hybridMultilevel"/>
    <w:lvl w:ilvl="0">
      <w:lvlJc w:val="left"/>
      <w:lvlText w:val="%1."/>
      <w:numFmt w:val="lowerLetter"/>
      <w:start w:val="15"/>
    </w:lvl>
  </w:abstractNum>
  <w:abstractNum w:abstractNumId="16">
    <w:nsid w:val="8138641"/>
    <w:multiLevelType w:val="hybridMultilevel"/>
    <w:lvl w:ilvl="0">
      <w:lvlJc w:val="left"/>
      <w:lvlText w:val="%1."/>
      <w:numFmt w:val="lowerLetter"/>
      <w:start w:val="16"/>
    </w:lvl>
  </w:abstractNum>
  <w:abstractNum w:abstractNumId="17">
    <w:nsid w:val="1E7FF521"/>
    <w:multiLevelType w:val="hybridMultilevel"/>
    <w:lvl w:ilvl="0">
      <w:lvlJc w:val="left"/>
      <w:lvlText w:val="%1."/>
      <w:numFmt w:val="lowerLetter"/>
      <w:start w:val="17"/>
    </w:lvl>
  </w:abstractNum>
  <w:abstractNum w:abstractNumId="18">
    <w:nsid w:val="7C3DBD3D"/>
    <w:multiLevelType w:val="hybridMultilevel"/>
    <w:lvl w:ilvl="0">
      <w:lvlJc w:val="left"/>
      <w:lvlText w:val="%1."/>
      <w:numFmt w:val="lowerLetter"/>
      <w:start w:val="18"/>
    </w:lvl>
  </w:abstractNum>
  <w:abstractNum w:abstractNumId="19">
    <w:nsid w:val="737B8DDC"/>
    <w:multiLevelType w:val="hybridMultilevel"/>
    <w:lvl w:ilvl="0">
      <w:lvlJc w:val="left"/>
      <w:lvlText w:val="%1."/>
      <w:numFmt w:val="lowerLetter"/>
      <w:start w:val="19"/>
    </w:lvl>
  </w:abstractNum>
  <w:abstractNum w:abstractNumId="20">
    <w:nsid w:val="6CEAF087"/>
    <w:multiLevelType w:val="hybridMultilevel"/>
    <w:lvl w:ilvl="0">
      <w:lvlJc w:val="left"/>
      <w:lvlText w:val="%1."/>
      <w:numFmt w:val="lowerLetter"/>
      <w:start w:val="20"/>
    </w:lvl>
  </w:abstractNum>
  <w:abstractNum w:abstractNumId="21">
    <w:nsid w:val="22221A70"/>
    <w:multiLevelType w:val="hybridMultilevel"/>
    <w:lvl w:ilvl="0">
      <w:lvlJc w:val="left"/>
      <w:lvlText w:val="%1."/>
      <w:numFmt w:val="lowerLetter"/>
      <w:start w:val="21"/>
    </w:lvl>
  </w:abstractNum>
  <w:abstractNum w:abstractNumId="22">
    <w:nsid w:val="4516DDE9"/>
    <w:multiLevelType w:val="hybridMultilevel"/>
    <w:lvl w:ilvl="0">
      <w:lvlJc w:val="left"/>
      <w:lvlText w:val="%1."/>
      <w:numFmt w:val="lowerRoman"/>
      <w:start w:val="5"/>
    </w:lvl>
  </w:abstractNum>
  <w:abstractNum w:abstractNumId="23">
    <w:nsid w:val="3006C83E"/>
    <w:multiLevelType w:val="hybridMultilevel"/>
    <w:lvl w:ilvl="0">
      <w:lvlJc w:val="left"/>
      <w:lvlText w:val="%1."/>
      <w:numFmt w:val="lowerLetter"/>
      <w:start w:val="23"/>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2"/>
    </w:lvl>
  </w:abstractNum>
  <w:abstractNum w:abstractNumId="26">
    <w:nsid w:val="5577F8E1"/>
    <w:multiLevelType w:val="hybridMultilevel"/>
    <w:lvl w:ilvl="0">
      <w:lvlJc w:val="left"/>
      <w:lvlText w:val="%1."/>
      <w:numFmt w:val="lowerLetter"/>
      <w:start w:val="4"/>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3"/>
    </w:lvl>
  </w:abstractNum>
  <w:abstractNum w:abstractNumId="30">
    <w:nsid w:val="77465F01"/>
    <w:multiLevelType w:val="hybridMultilevel"/>
    <w:lvl w:ilvl="0">
      <w:lvlJc w:val="left"/>
      <w:lvlText w:val="%1."/>
      <w:numFmt w:val="lowerLetter"/>
      <w:start w:val="4"/>
    </w:lvl>
  </w:abstractNum>
  <w:abstractNum w:abstractNumId="31">
    <w:nsid w:val="7724C67E"/>
    <w:multiLevelType w:val="hybridMultilevel"/>
    <w:lvl w:ilvl="0">
      <w:lvlJc w:val="left"/>
      <w:lvlText w:val="%1."/>
      <w:numFmt w:val="lowerLetter"/>
      <w:start w:val="5"/>
    </w:lvl>
  </w:abstractNum>
  <w:abstractNum w:abstractNumId="32">
    <w:nsid w:val="5C482A97"/>
    <w:multiLevelType w:val="hybridMultilevel"/>
    <w:lvl w:ilvl="0">
      <w:lvlJc w:val="left"/>
      <w:lvlText w:val="%1."/>
      <w:numFmt w:val="lowerLetter"/>
      <w:start w:val="6"/>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Letter"/>
      <w:start w:val="3"/>
    </w:lvl>
  </w:abstractNum>
  <w:abstractNum w:abstractNumId="35">
    <w:nsid w:val="51EAD36B"/>
    <w:multiLevelType w:val="hybridMultilevel"/>
    <w:lvl w:ilvl="0">
      <w:lvlJc w:val="left"/>
      <w:lvlText w:val="%1."/>
      <w:numFmt w:val="lowerLetter"/>
      <w:start w:val="4"/>
    </w:lvl>
  </w:abstractNum>
  <w:abstractNum w:abstractNumId="36">
    <w:nsid w:val="2D517796"/>
    <w:multiLevelType w:val="hybridMultilevel"/>
    <w:lvl w:ilvl="0">
      <w:lvlJc w:val="left"/>
      <w:lvlText w:val="(%1)"/>
      <w:numFmt w:val="decimal"/>
      <w:start w:val="2"/>
    </w:lvl>
  </w:abstractNum>
  <w:abstractNum w:abstractNumId="37">
    <w:nsid w:val="580BD78F"/>
    <w:multiLevelType w:val="hybridMultilevel"/>
    <w:lvl w:ilvl="0">
      <w:lvlJc w:val="left"/>
      <w:lvlText w:val="1"/>
      <w:numFmt w:val="bullet"/>
      <w:start w:val="1"/>
    </w:lvl>
  </w:abstractNum>
  <w:abstractNum w:abstractNumId="38">
    <w:nsid w:val="153EA438"/>
    <w:multiLevelType w:val="hybridMultilevel"/>
    <w:lvl w:ilvl="0">
      <w:lvlJc w:val="left"/>
      <w:lvlText w:val="(%1)"/>
      <w:numFmt w:val="lowerLetter"/>
      <w:start w:val="1"/>
    </w:lvl>
    <w:lvl w:ilvl="1">
      <w:lvlJc w:val="left"/>
      <w:lvlText w:val="%2."/>
      <w:numFmt w:val="decimal"/>
      <w:start w:val="1"/>
    </w:lvl>
  </w:abstractNum>
  <w:abstractNum w:abstractNumId="39">
    <w:nsid w:val="3855585C"/>
    <w:multiLevelType w:val="hybridMultilevel"/>
    <w:lvl w:ilvl="0">
      <w:lvlJc w:val="left"/>
      <w:lvlText w:val="(%1)"/>
      <w:numFmt w:val="lowerLetter"/>
      <w:start w:val="2"/>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2" Type="http://schemas.openxmlformats.org/officeDocument/2006/relationships/image" Target="media/image59.png"/><Relationship Id="rId66" Type="http://schemas.openxmlformats.org/officeDocument/2006/relationships/hyperlink" Target="http://www.sec.gov/Archives/edgar/data/875657/000087565716000069/exh22.htm" TargetMode="External"/><Relationship Id="rId67" Type="http://schemas.openxmlformats.org/officeDocument/2006/relationships/hyperlink" Target="http://www.sec.gov/Archives/edgar/data/875657/000095015209002617/l35518aexv3w1.htm" TargetMode="External"/><Relationship Id="rId68" Type="http://schemas.openxmlformats.org/officeDocument/2006/relationships/hyperlink" Target="http://www.sec.gov/Archives/edgar/data/875657/000119312511336812/d268151dex32.htm" TargetMode="External"/><Relationship Id="rId69" Type="http://schemas.openxmlformats.org/officeDocument/2006/relationships/hyperlink" Target="http://www.sec.gov/Archives/edgar/data/875657/000095015209002617/l35518aexv4w1.htm" TargetMode="External"/><Relationship Id="rId70" Type="http://schemas.openxmlformats.org/officeDocument/2006/relationships/hyperlink" Target="http://www.sec.gov/Archives/edgar/data/875657/0000950116-96-001038.txt" TargetMode="External"/><Relationship Id="rId71" Type="http://schemas.openxmlformats.org/officeDocument/2006/relationships/hyperlink" Target="http://www.sec.gov/Archives/edgar/data/875657/000117184314001757/def14a_042114.htm" TargetMode="External"/><Relationship Id="rId72" Type="http://schemas.openxmlformats.org/officeDocument/2006/relationships/hyperlink" Target="http://www.sec.gov/Archives/edgar/data/875657/000089109204003484/e18538_ex99-2.txt" TargetMode="External"/><Relationship Id="rId73" Type="http://schemas.openxmlformats.org/officeDocument/2006/relationships/hyperlink" Target="http://www.sec.gov/Archives/edgar/data/875657/000095015206007100/l21954aexv99w3.htm" TargetMode="External"/><Relationship Id="rId74" Type="http://schemas.openxmlformats.org/officeDocument/2006/relationships/hyperlink" Target="http://www.sec.gov/Archives/edgar/data/875657/000095015208009257/l34190aexv99w4.htm" TargetMode="External"/><Relationship Id="rId75" Type="http://schemas.openxmlformats.org/officeDocument/2006/relationships/hyperlink" Target="http://www.sec.gov/Archives/edgar/data/875657/000095015208009257/l34190aexv99w5.htm" TargetMode="External"/><Relationship Id="rId76" Type="http://schemas.openxmlformats.org/officeDocument/2006/relationships/hyperlink" Target="http://www.sec.gov/Archives/edgar/data/875657/000095012311025549/c14158exv10w40.htm" TargetMode="External"/><Relationship Id="rId77" Type="http://schemas.openxmlformats.org/officeDocument/2006/relationships/hyperlink" Target="http://www.sec.gov/Archives/edgar/data/875657/000119312512028718/d290545dex45.htm" TargetMode="External"/><Relationship Id="rId78" Type="http://schemas.openxmlformats.org/officeDocument/2006/relationships/hyperlink" Target="http://www.sec.gov/Archives/edgar/data/875657/000095012311054479/c18045exv10w1.htm" TargetMode="External"/><Relationship Id="rId79" Type="http://schemas.openxmlformats.org/officeDocument/2006/relationships/hyperlink" Target="http://www.sec.gov/Archives/edgar/data/875657/000117184313003316/exh_103.htm" TargetMode="External"/><Relationship Id="rId80" Type="http://schemas.openxmlformats.org/officeDocument/2006/relationships/hyperlink" Target="http://www.sec.gov/Archives/edgar/data/875657/000117184313001443/def14a_042213.htm" TargetMode="External"/><Relationship Id="rId81" Type="http://schemas.openxmlformats.org/officeDocument/2006/relationships/hyperlink" Target="http://www.sec.gov/Archives/edgar/data/875657/00014377491701074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2019-12-28T16:47:17Z</dcterms:created>
  <dcterms:modified xsi:type="dcterms:W3CDTF">2019-12-28T16:47:17Z</dcterms:modified>
</cp:coreProperties>
</file>