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 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7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March 31 , 20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-254000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85" w:lineRule="exact"/>
        <w:rPr>
          <w:sz w:val="24"/>
          <w:szCs w:val="24"/>
          <w:color w:val="auto"/>
        </w:rPr>
      </w:pPr>
    </w:p>
    <w:p>
      <w:pPr>
        <w:ind w:left="3340" w:right="1900" w:hanging="3332"/>
        <w:spacing w:after="0" w:line="282"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-281940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0-20852</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ULTRALIFE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50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16-1387013</w:t>
            </w:r>
          </w:p>
        </w:tc>
      </w:tr>
      <w:tr>
        <w:trPr>
          <w:trHeight w:val="234"/>
        </w:trPr>
        <w:tc>
          <w:tcPr>
            <w:tcW w:w="5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of organization)</w:t>
            </w:r>
          </w:p>
        </w:tc>
        <w:tc>
          <w:tcPr>
            <w:tcW w:w="46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0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2000 Technology Parkway Newark, New York 14513</w:t>
            </w:r>
          </w:p>
        </w:tc>
        <w:tc>
          <w:tcPr>
            <w:tcW w:w="46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(315) 332-7100</w:t>
            </w:r>
          </w:p>
        </w:tc>
      </w:tr>
      <w:tr>
        <w:trPr>
          <w:trHeight w:val="234"/>
        </w:trPr>
        <w:tc>
          <w:tcPr>
            <w:tcW w:w="5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43" w:right="339" w:bottom="1440" w:gutter="0" w:footer="0" w:header="0"/>
        </w:sectPr>
      </w:pPr>
    </w:p>
    <w:p>
      <w:pPr>
        <w:spacing w:after="0" w:line="22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Common Stock, $0.10 par value per share</w:t>
      </w:r>
    </w:p>
    <w:p>
      <w:pPr>
        <w:spacing w:after="0" w:line="4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ULBI</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3">
            <w:col w:w="4260" w:space="720"/>
            <w:col w:w="2020" w:space="720"/>
            <w:col w:w="3520"/>
          </w:cols>
          <w:pgMar w:left="320" w:top="1143" w:right="339" w:bottom="1440" w:gutter="0" w:footer="0" w:header="0"/>
          <w:type w:val="continuous"/>
        </w:sectPr>
      </w:pPr>
    </w:p>
    <w:p>
      <w:pPr>
        <w:spacing w:after="0" w:line="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1786890</wp:posOffset>
            </wp:positionH>
            <wp:positionV relativeFrom="paragraph">
              <wp:posOffset>-133985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5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-133985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5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43" w:right="339" w:bottom="1440" w:gutter="0" w:footer="0" w:header="0"/>
          <w:type w:val="continuous"/>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797560</wp:posOffset>
            </wp:positionH>
            <wp:positionV relativeFrom="paragraph">
              <wp:posOffset>-86360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1283335</wp:posOffset>
            </wp:positionH>
            <wp:positionV relativeFrom="paragraph">
              <wp:posOffset>-116840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85"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40" w:space="720"/>
            <w:col w:w="5580"/>
          </w:cols>
          <w:pgMar w:left="320" w:top="1143" w:right="339" w:bottom="1440"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5699760</wp:posOffset>
            </wp:positionH>
            <wp:positionV relativeFrom="paragraph">
              <wp:posOffset>-86360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April 28 , 20 20 , t he registrant had 15,879,284 shares of common stock outstanding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9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ULTRALIFE CORPORATION AND SUBSIDIARIES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100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9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
        </w:trPr>
        <w:tc>
          <w:tcPr>
            <w:tcW w:w="10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18"/>
                <w:szCs w:val="18"/>
                <w:color w:val="auto"/>
              </w:rPr>
            </w:pP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Balance Sheets as of March 31, 2020 and December 31, 2019</w:t>
            </w:r>
          </w:p>
        </w:tc>
        <w:tc>
          <w:tcPr>
            <w:tcW w:w="6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98"/>
        </w:trPr>
        <w:tc>
          <w:tcPr>
            <w:tcW w:w="1000" w:type="dxa"/>
            <w:vAlign w:val="bottom"/>
            <w:shd w:val="clear" w:color="auto" w:fill="CCEEFF"/>
          </w:tcPr>
          <w:p>
            <w:pPr>
              <w:spacing w:after="0"/>
              <w:rPr>
                <w:sz w:val="17"/>
                <w:szCs w:val="17"/>
                <w:color w:val="auto"/>
              </w:rPr>
            </w:pPr>
          </w:p>
        </w:tc>
        <w:tc>
          <w:tcPr>
            <w:tcW w:w="928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Consolidated Statements of Income and Comprehensive Income for the Three-Month Periods Ended March 31, 2020 and</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34"/>
        </w:trPr>
        <w:tc>
          <w:tcPr>
            <w:tcW w:w="1000" w:type="dxa"/>
            <w:vAlign w:val="bottom"/>
            <w:shd w:val="clear" w:color="auto" w:fill="CCEEFF"/>
          </w:tcPr>
          <w:p>
            <w:pPr>
              <w:spacing w:after="0"/>
              <w:rPr>
                <w:sz w:val="20"/>
                <w:szCs w:val="20"/>
                <w:color w:val="auto"/>
              </w:rPr>
            </w:pP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March 31, 2019</w:t>
            </w:r>
          </w:p>
        </w:tc>
        <w:tc>
          <w:tcPr>
            <w:tcW w:w="6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18"/>
                <w:szCs w:val="18"/>
                <w:color w:val="auto"/>
              </w:rPr>
            </w:pP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Statements of Cash Flows for the Three-Month Periods Ended March 31, 2020 and March 31, 2019</w:t>
            </w:r>
          </w:p>
        </w:tc>
        <w:tc>
          <w:tcPr>
            <w:tcW w:w="6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98"/>
        </w:trPr>
        <w:tc>
          <w:tcPr>
            <w:tcW w:w="1000" w:type="dxa"/>
            <w:vAlign w:val="bottom"/>
            <w:shd w:val="clear" w:color="auto" w:fill="CCEEFF"/>
          </w:tcPr>
          <w:p>
            <w:pPr>
              <w:spacing w:after="0"/>
              <w:rPr>
                <w:sz w:val="17"/>
                <w:szCs w:val="17"/>
                <w:color w:val="auto"/>
              </w:rPr>
            </w:pPr>
          </w:p>
        </w:tc>
        <w:tc>
          <w:tcPr>
            <w:tcW w:w="928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Consolidated Statements of Changes in Shareholders’ Equity for the Three-Month Periods Ended March 31, 2020 and</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34"/>
        </w:trPr>
        <w:tc>
          <w:tcPr>
            <w:tcW w:w="1000" w:type="dxa"/>
            <w:vAlign w:val="bottom"/>
            <w:shd w:val="clear" w:color="auto" w:fill="CCEEFF"/>
          </w:tcPr>
          <w:p>
            <w:pPr>
              <w:spacing w:after="0"/>
              <w:rPr>
                <w:sz w:val="20"/>
                <w:szCs w:val="20"/>
                <w:color w:val="auto"/>
              </w:rPr>
            </w:pP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March 31, 2019</w:t>
            </w:r>
          </w:p>
        </w:tc>
        <w:tc>
          <w:tcPr>
            <w:tcW w:w="6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18"/>
                <w:szCs w:val="18"/>
                <w:color w:val="auto"/>
              </w:rPr>
            </w:pP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18</w:t>
            </w:r>
          </w:p>
        </w:tc>
        <w:tc>
          <w:tcPr>
            <w:tcW w:w="3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Controls and Procedures</w:t>
            </w:r>
          </w:p>
        </w:tc>
        <w:tc>
          <w:tcPr>
            <w:tcW w:w="6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25</w:t>
            </w:r>
          </w:p>
        </w:tc>
        <w:tc>
          <w:tcPr>
            <w:tcW w:w="3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Risk Factors</w:t>
            </w:r>
          </w:p>
        </w:tc>
        <w:tc>
          <w:tcPr>
            <w:tcW w:w="6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26</w:t>
            </w:r>
          </w:p>
        </w:tc>
        <w:tc>
          <w:tcPr>
            <w:tcW w:w="3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Exhibits</w:t>
            </w:r>
          </w:p>
        </w:tc>
        <w:tc>
          <w:tcPr>
            <w:tcW w:w="6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27</w:t>
            </w:r>
          </w:p>
        </w:tc>
        <w:tc>
          <w:tcPr>
            <w:tcW w:w="3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18"/>
                <w:szCs w:val="18"/>
                <w:color w:val="auto"/>
              </w:rPr>
            </w:pPr>
          </w:p>
        </w:tc>
        <w:tc>
          <w:tcPr>
            <w:tcW w:w="9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Signatures</w:t>
            </w:r>
          </w:p>
        </w:tc>
        <w:tc>
          <w:tcPr>
            <w:tcW w:w="6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28</w:t>
            </w:r>
          </w:p>
        </w:tc>
        <w:tc>
          <w:tcPr>
            <w:tcW w:w="360" w:type="dxa"/>
            <w:vAlign w:val="bottom"/>
            <w:shd w:val="clear" w:color="auto" w:fill="CCEEFF"/>
          </w:tcPr>
          <w:p>
            <w:pPr>
              <w:spacing w:after="0"/>
              <w:rPr>
                <w:sz w:val="18"/>
                <w:szCs w:val="18"/>
                <w:color w:val="auto"/>
              </w:rPr>
            </w:pPr>
          </w:p>
        </w:tc>
      </w:tr>
      <w:tr>
        <w:trPr>
          <w:trHeight w:val="675"/>
        </w:trPr>
        <w:tc>
          <w:tcPr>
            <w:tcW w:w="100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1000" w:type="dxa"/>
            <w:vAlign w:val="bottom"/>
            <w:tcBorders>
              <w:bottom w:val="single" w:sz="8" w:color="auto"/>
            </w:tcBorders>
          </w:tcPr>
          <w:p>
            <w:pPr>
              <w:spacing w:after="0"/>
              <w:rPr>
                <w:sz w:val="10"/>
                <w:szCs w:val="10"/>
                <w:color w:val="auto"/>
              </w:rPr>
            </w:pPr>
          </w:p>
        </w:tc>
        <w:tc>
          <w:tcPr>
            <w:tcW w:w="9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792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9"/>
              </w:rPr>
              <w:t>ULTRALIFE CORPORATION AND SUBSIDIARIES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792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2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8"/>
        </w:trPr>
        <w:tc>
          <w:tcPr>
            <w:tcW w:w="792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rPr>
              <w:t>(U naudited)</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7"/>
        </w:trPr>
        <w:tc>
          <w:tcPr>
            <w:tcW w:w="7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w:t>
            </w:r>
          </w:p>
        </w:tc>
        <w:tc>
          <w:tcPr>
            <w:tcW w:w="24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20 20</w:t>
            </w:r>
          </w:p>
        </w:tc>
        <w:tc>
          <w:tcPr>
            <w:tcW w:w="24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6"/>
        </w:trPr>
        <w:tc>
          <w:tcPr>
            <w:tcW w:w="792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7,405</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$311 and $324, respectively</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35,750</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30,106</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28,979</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29,759</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2,730</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73,568</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70,373</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22,039</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22,525</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26,468</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26,753</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9,405</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12,887</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1,783</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146,150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144,557</w:t>
            </w:r>
          </w:p>
        </w:tc>
      </w:tr>
      <w:tr>
        <w:trPr>
          <w:trHeight w:val="216"/>
        </w:trPr>
        <w:tc>
          <w:tcPr>
            <w:tcW w:w="7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9,388</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1,467</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1,597</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1,655</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4,133</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4,775</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18,928</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17,190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15,354</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15,780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1,103</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35,881</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34,807</w:t>
            </w:r>
          </w:p>
        </w:tc>
      </w:tr>
      <w:tr>
        <w:trPr>
          <w:trHeight w:val="216"/>
        </w:trPr>
        <w:tc>
          <w:tcPr>
            <w:tcW w:w="7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20,281,516 shares at</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2020 and 20,268,050 shares at December 31, 2019; outstanding – 15,879,284 shares at March 31,</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and 15,866,868 shares at December 31, 2019</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184,550</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184,292</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(51,771)</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 at cost; 4,402,232 shares at March 31, 2020 and 4,401,182 shares at December 31, 2019</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(21,231)</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110,230</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109,726</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110,269</w:t>
            </w:r>
          </w:p>
        </w:tc>
        <w:tc>
          <w:tcPr>
            <w:tcW w:w="2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109,750</w:t>
            </w:r>
          </w:p>
        </w:tc>
      </w:tr>
      <w:tr>
        <w:trPr>
          <w:trHeight w:val="216"/>
        </w:trPr>
        <w:tc>
          <w:tcPr>
            <w:tcW w:w="7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146,150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144,557</w:t>
            </w:r>
          </w:p>
        </w:tc>
      </w:tr>
      <w:tr>
        <w:trPr>
          <w:trHeight w:val="414"/>
        </w:trPr>
        <w:tc>
          <w:tcPr>
            <w:tcW w:w="960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7920" w:type="dxa"/>
            <w:vAlign w:val="bottom"/>
          </w:tcPr>
          <w:p>
            <w:pPr>
              <w:jc w:val="center"/>
              <w:ind w:left="3230"/>
              <w:spacing w:after="0"/>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 n Thousands except per share amounts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 onth p eriod e nded</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20 20</w:t>
            </w:r>
          </w:p>
        </w:tc>
        <w:tc>
          <w:tcPr>
            <w:tcW w:w="30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25,814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18,882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1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18,480</w:t>
            </w:r>
          </w:p>
        </w:tc>
        <w:tc>
          <w:tcPr>
            <w:tcW w:w="3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13,798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7,334</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5,084</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1,548</w:t>
            </w:r>
          </w:p>
        </w:tc>
        <w:tc>
          <w:tcPr>
            <w:tcW w:w="3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4,301</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5,849</w:t>
            </w:r>
          </w:p>
        </w:tc>
        <w:tc>
          <w:tcPr>
            <w:tcW w:w="3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4,536</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 ncome</w:t>
            </w:r>
          </w:p>
        </w:tc>
        <w:tc>
          <w:tcPr>
            <w:tcW w:w="1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1,485</w:t>
            </w:r>
          </w:p>
        </w:tc>
        <w:tc>
          <w:tcPr>
            <w:tcW w:w="3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 expense ) income:</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1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es</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1,393</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3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1,074</w:t>
            </w:r>
          </w:p>
        </w:tc>
        <w:tc>
          <w:tcPr>
            <w:tcW w:w="3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Ultralife Corporation</w:t>
            </w:r>
          </w:p>
        </w:tc>
        <w:tc>
          <w:tcPr>
            <w:tcW w:w="1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c>
          <w:tcPr>
            <w:tcW w:w="3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 loss ) gain :</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Ultralife Corporation</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Ultralife common shareholders – basic</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Ultralife common shareholders – diluted</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 asic</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15,875</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15,740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Potential common shares</w:t>
            </w:r>
          </w:p>
        </w:tc>
        <w:tc>
          <w:tcPr>
            <w:tcW w:w="12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 iluted</w:t>
            </w: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16,087</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16,225</w:t>
            </w:r>
          </w:p>
        </w:tc>
      </w:tr>
      <w:tr>
        <w:trPr>
          <w:trHeight w:val="432"/>
        </w:trPr>
        <w:tc>
          <w:tcPr>
            <w:tcW w:w="69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69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 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 m onth p eriod e nded</w:t>
            </w:r>
          </w:p>
        </w:tc>
      </w:tr>
      <w:tr>
        <w:trPr>
          <w:trHeight w:val="216"/>
        </w:trPr>
        <w:tc>
          <w:tcPr>
            <w:tcW w:w="7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w:t>
            </w:r>
          </w:p>
        </w:tc>
        <w:tc>
          <w:tcPr>
            <w:tcW w:w="28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w:t>
            </w:r>
          </w:p>
        </w:tc>
      </w:tr>
      <w:tr>
        <w:trPr>
          <w:trHeight w:val="238"/>
        </w:trPr>
        <w:tc>
          <w:tcPr>
            <w:tcW w:w="7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20 20</w:t>
            </w:r>
          </w:p>
        </w:tc>
        <w:tc>
          <w:tcPr>
            <w:tcW w:w="28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20 19</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9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2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2,076</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7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9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16"/>
        </w:trPr>
        <w:tc>
          <w:tcPr>
            <w:tcW w:w="7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credit facilities</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withholdings on stock-based awards</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16"/>
        </w:trPr>
        <w:tc>
          <w:tcPr>
            <w:tcW w:w="7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16"/>
        </w:trPr>
        <w:tc>
          <w:tcPr>
            <w:tcW w:w="7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9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7,405</w:t>
            </w:r>
          </w:p>
        </w:tc>
        <w:tc>
          <w:tcPr>
            <w:tcW w:w="2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25,934</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21,240</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Excess</w:t>
            </w:r>
          </w:p>
        </w:tc>
        <w:tc>
          <w:tcPr>
            <w:tcW w:w="340" w:type="dxa"/>
            <w:vAlign w:val="bottom"/>
          </w:tcPr>
          <w:p>
            <w:pPr>
              <w:spacing w:after="0"/>
              <w:rPr>
                <w:sz w:val="18"/>
                <w:szCs w:val="18"/>
                <w:color w:val="auto"/>
              </w:rPr>
            </w:pPr>
          </w:p>
        </w:tc>
        <w:tc>
          <w:tcPr>
            <w:tcW w:w="11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Non-</w:t>
            </w:r>
          </w:p>
        </w:tc>
        <w:tc>
          <w:tcPr>
            <w:tcW w:w="88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Par</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880" w:type="dxa"/>
            <w:vAlign w:val="bottom"/>
          </w:tcPr>
          <w:p>
            <w:pPr>
              <w:spacing w:after="0"/>
              <w:rPr>
                <w:sz w:val="18"/>
                <w:szCs w:val="18"/>
                <w:color w:val="auto"/>
              </w:rPr>
            </w:pPr>
          </w:p>
        </w:tc>
      </w:tr>
      <w:tr>
        <w:trPr>
          <w:trHeight w:val="238"/>
        </w:trPr>
        <w:tc>
          <w:tcPr>
            <w:tcW w:w="276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 t ock</w:t>
            </w:r>
          </w:p>
        </w:tc>
        <w:tc>
          <w:tcPr>
            <w:tcW w:w="20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 8</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20,053,335</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2,005</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$ 182,630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(19,266)</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$ 104,463</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425</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75,427</w:t>
            </w:r>
          </w:p>
        </w:tc>
        <w:tc>
          <w:tcPr>
            <w:tcW w:w="2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r>
      <w:tr>
        <w:trPr>
          <w:trHeight w:val="198"/>
        </w:trPr>
        <w:tc>
          <w:tcPr>
            <w:tcW w:w="2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 stock</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5,834</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withholdings on restricted stock</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2019</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20,134,596</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$ 183,163</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(21,231)</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$ 103,923</w:t>
            </w:r>
          </w:p>
        </w:tc>
      </w:tr>
      <w:tr>
        <w:trPr>
          <w:trHeight w:val="216"/>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 9</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20,268,050</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$ 184,292</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(21,231)</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$ 109,750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1,059</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7,633</w:t>
            </w:r>
          </w:p>
        </w:tc>
        <w:tc>
          <w:tcPr>
            <w:tcW w:w="2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198"/>
        </w:trPr>
        <w:tc>
          <w:tcPr>
            <w:tcW w:w="2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 stock</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5,833</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withholdings on restricted stock</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2020</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20,281,516</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2,028</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$ 184,550</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(21,239)</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$ 110,269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2019.</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December 31, 2019 consolidated balance sheet information referenced herein was derived from audited financial statements but does not include all disclosures required by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2020, the Company’s interim fiscal periods are reported on a calendar month-basis to better align with fiscal period changes of our customer base. Prior to 2020, the Company’s monthly closing schedule was a 4/4/5 week-based cycle for each fiscal quarter. We do not believe this change materially impacts quarterly comparisons.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2020, the Company adopted Accounting Standards Update (“ASU”) 2017-04, “Intangibles – Goodwill and Other (Topic 350) – Simplifying the Test for Goodwill Impairment”. The new standard eliminates the two-step process that required the identification of potential impairment and a separate measure of the actual impairment. Adoption of the new standard will not materially impact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2016-13, “Financial Instruments – Credit Losses (Topic 326) – Measurement of Credit Losses on Financial Instruments”, which requires entities to measure all expected credit losses for financial assets held at the reporting data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Company is currently assessing the impact that adopting this new accounting standard will have on our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CARES Act Paycheck Protection Program Loan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2020, the Company entered into a loan agreement with KeyBank National Association (“Lender”) under the terms of which the Lender agreed to make a loan to the Company in an aggregate principal amount of $3,459 (“PPP Loan”) pursuant to the Paycheck Protection Program under the Coronavirus Aid, Relief, and Economic Security (CARES) Act. The PPP Loan is evidenced by a promissory note containing the terms and conditions for repayment of the PPP Loan.</w:t>
      </w:r>
    </w:p>
    <w:p>
      <w:pPr>
        <w:spacing w:after="0" w:line="387"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On April 27, 2020, the Company entered into an agreement with the Lender to repay the PPP loan proceeds of $3,459, which were received by the Company on April 16, 2020 and not used, to ensure compliance with the Frequently Asked Questions and revised guidelines issued by the U.S. Department of Treasury and the Small Business Administration on April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ACQUISITION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2019, the Company completed the acquisition of 100% of the issued and outstanding shares of Southwest Electronic Energy Corporation, a Texas corporation (“SWE”), for an aggregate purchase price of $26,190 inclusive of $942 cash acquired and post-closing adjustments.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SWE is a leading independent designer and manufacturer of high-performance smart battery systems and battery packs to customer specifications using lithium cells. SWE serves a variety of industrial markets, including oil &amp; gas, remote monitoring, process control and marine, which demand uncompromised safety, service, reliability and quality. The Company acquired SWE as a bolt-on acquisition to further support our strategy of commercial revenue diversification by providing entry to the oil and gas exploration and production, and subsea electrification markets, which are currently unserved by Ultralife. Another key benefit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of SWE was completed pursuant to a Stock Purchase Agreement dated May 1, 2019 (the “Stock Purchase Agreement”) by and among Ultralife, SWE, Southwest Electronic Energy Medical Research Institute, a Texas non-profit (the “Seller”), and Claude Leonard Backstein, an individual (the “Shareholder”). The Stock Purchase Agreement contains customary terms and conditions including representations, warranties and indemnification provisions. A portion of the consideration paid to the Seller is being held in escrow for indemnification purposes.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purchase price for the acquisition was funded by the Company through a combination of cash on hand and borrowings under the Credit Facilities (see Note 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allocation was determined in accordance with the accounting treatment of a business combination pursuant to FASB ASC Topic 805, Business Combinations (ASC 805). Accordingly, the fair value of the consideration was determined, and the assets acquired and liabilities assumed have been recorded at their fair values at the date of the acquisition. The excess of the purchase price over the estimated fair values has been recorded as goodwill.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The allocation of purchase price to the assets acquired and liabilities assumed at the date of the acquisition is presented in the table below. Management is responsible for determining the fair value of the tangible and intangible assets acquired and liabilities assumed as of the date of acquisition. Management considered several factors, including reference to an analysis performed under ASC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may occur.</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3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26,190</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goodwill included in the Company’s purchase price allocation presented above represents the value of SWE’s assembled and trained workforce, the incremental value that SWE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results and cash flows of SWE are reflected in the Company’s consolidated financial statements from the date of acquisition. SWE is included in the Battery &amp; Energy Products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2020, SWE contributed revenue of $5,437 and net income of $271.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2019, Ultralife, SWE, and CLB, INC., a Texas corporation and wholly owned subsidiary of SWE (“CLB”), as borrowers, entered into the First Amendment Agreement (the “First Amendment Agreement”) with KeyBank National Association (“KeyBank” or the “Bank”), as lender and administrative agent, to amend the Credit and Security Agreement by and among Ultralife and KeyBank dated May 31, 2017 (the “Credit Agreement”, and together with the First Amendment Agreement, the “Amended Credit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Credit Agreement, among other things, provides for a five-year, $8,000 senior secured term loan (the “Term Loan Facility”) and extends the term of the $30,000 senior secured revolving credit facility (the “Revolving Credit Facility”, and together with the Term Loan Facility, the “Credit Facilities”) through May 31, 2022. Up to six months prior to May 31, 2022, the Revolving Credit Facility may be increased to $50,000 with the Bank’s concurrence.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closing of the SWE acquisition on May 1, 2019, the Company drew down the full amount of the Term Loan Facility and $6,782 under the Revolving Credit Facility. As of March 31, 2020, the Company had $6,791 outstanding principal on the Term Loan Facility, of which $1,467 is included in current portion of long-term debt on the balance sheet, and $10,182 outstanding principal on the Revolving Credit Facility. As of March 31, 2020, total unamortized debt issuance costs of $152 associated with the Amended Credit Agreement are classified as a reduction of long-term debt on the balance sheet.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required to repay the borrowings under the Term Loan Facility in sixty (60) equal consecutive monthly payments commencing on May 31, 2019, in arrears, together with applicable interest. All unpaid principal and accrued and unpaid interest with respect to the Term Loan Facility is due and payable in full on April 30, 2024. All unpaid principal and accrued and unpaid interest with respect to the Revolving Credit Facility is due and payable in full on May 31, 2022. The Company may voluntarily prepay principal amounts outstanding at any time subject to certain restrictions.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fixed charge coverage ratio of equal to or greater than 1.15 to 1.0, and a consolidated senior leverage ratio of equal to or less than 2.5 to 1.0, each as defined in the Amended Credit Agreement. The Company was in full compliance with its covenants as of March 31,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Credit Facilities are secured by substantially all the assets of the Company. Availability under the Revolving Credit Facility is subject to certain borrowing base limits based on receivables and inventories.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will accrue on outstanding indebtedness under the Credit Facilities at the Base Rate or the Overnight LIBOR Rate, as selected by the Company, plus the applicable margin. The Base Rate is the higher of (a) the Prime Rate, (b) the Federal Funds Effective Rate plus 50 basis points, and (c) the Overnight LIBOR Rate plus one hundred basis points. The applicable margin ranges from zero to negative 50 basis points for the Base Rate and from 185 to 215 basis points for the Overnight LIBOR Rate and are determined based on the Company’s senior leverage ratio.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must pay a fee of 0.1% to 0.2% based on the average daily unused availability under the Revolving Credit Facility.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must be made by the Company to the extent borrowings exceed the maximum amount then permitted to be drawn on the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March 31, 2020, 878,408 stock options and 25,833 restricted stock awards were included in the calculation of Diluted EPS as such securities are dilutive. Inclusion of these securities resulted in 211,286 additional shares in the calculation of fully diluted earnings per share. For the comparable three-month period ended March 31, 2019, 1,052,410 stock options and 11,666 restricted stock awards were included in the calculation of Diluted EPS resulting in 484,843 additional shares in the calculation of fully diluted earnings per share.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653,500 and 448,250 outstanding stock options for the three-month periods ended March 31, 2020 and March 31, 2019, respectively, which were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BALANCE SHEET INFORMATION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Fair Value Measurements and Disclosures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The fair value of financial instruments approximated their carrying values at March 31, 2020 and December 31, 2019. The fair value of cash, trade accounts receivable, trade accounts payable, accrued liabilities, and the current portion of long-term debt approximates carrying value due to the short-term nature of these instruments. The carrying value of long-term debt approximates fair value, as the variable interest rates approximate current market rates.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3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the Company’s cash was as follows:</w:t>
            </w:r>
          </w:p>
        </w:tc>
        <w:tc>
          <w:tcPr>
            <w:tcW w:w="3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w:t>
            </w:r>
          </w:p>
        </w:tc>
        <w:tc>
          <w:tcPr>
            <w:tcW w:w="24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4"/>
                <w:szCs w:val="24"/>
                <w:color w:val="auto"/>
              </w:rPr>
            </w:pPr>
          </w:p>
        </w:tc>
      </w:tr>
      <w:tr>
        <w:trPr>
          <w:trHeight w:val="238"/>
        </w:trPr>
        <w:tc>
          <w:tcPr>
            <w:tcW w:w="3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20 20</w:t>
            </w:r>
          </w:p>
        </w:tc>
        <w:tc>
          <w:tcPr>
            <w:tcW w:w="24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201 9</w:t>
            </w:r>
          </w:p>
        </w:tc>
        <w:tc>
          <w:tcPr>
            <w:tcW w:w="24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7,135</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7,405</w:t>
            </w:r>
          </w:p>
        </w:tc>
        <w:tc>
          <w:tcPr>
            <w:tcW w:w="24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18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2020 and December 31, 2019, restricted cash included $166 and $188, respectively, relating to a government grant awarded in the People’s Republic of China to fund specified technological research and development initiatives. The grant proceeds are realized to income as a direct offset to expense as the related expenditures are incurred. For the three-month period ended March 31, 2020, grant proceeds of $20 were realized to income. As of March 31, 2020 and December 31, 2019, restricted cash included euro-denominated deposits of $81 and $82, respectively,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market, net of obsolescence reserves, with cost determined under the first-in, first-out (FIFO) method. The composition of inventories, net was: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March 31 ,</w:t>
            </w:r>
          </w:p>
        </w:tc>
        <w:tc>
          <w:tcPr>
            <w:tcW w:w="22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December 31 ,</w:t>
            </w:r>
          </w:p>
        </w:tc>
      </w:tr>
      <w:tr>
        <w:trPr>
          <w:trHeight w:val="238"/>
        </w:trPr>
        <w:tc>
          <w:tcPr>
            <w:tcW w:w="3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20 20</w:t>
            </w:r>
          </w:p>
        </w:tc>
        <w:tc>
          <w:tcPr>
            <w:tcW w:w="22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201 9</w:t>
            </w:r>
          </w:p>
        </w:tc>
      </w:tr>
      <w:tr>
        <w:trPr>
          <w:trHeight w:val="216"/>
        </w:trPr>
        <w:tc>
          <w:tcPr>
            <w:tcW w:w="3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18,485</w:t>
            </w:r>
          </w:p>
        </w:tc>
      </w:tr>
      <w:tr>
        <w:trPr>
          <w:trHeight w:val="216"/>
        </w:trPr>
        <w:tc>
          <w:tcPr>
            <w:tcW w:w="3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3,036</w:t>
            </w:r>
          </w:p>
        </w:tc>
        <w:tc>
          <w:tcPr>
            <w:tcW w:w="22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2,548</w:t>
            </w:r>
          </w:p>
        </w:tc>
      </w:tr>
      <w:tr>
        <w:trPr>
          <w:trHeight w:val="216"/>
        </w:trPr>
        <w:tc>
          <w:tcPr>
            <w:tcW w:w="3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7,589</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8,726</w:t>
            </w:r>
          </w:p>
        </w:tc>
      </w:tr>
      <w:tr>
        <w:trPr>
          <w:trHeight w:val="234"/>
        </w:trPr>
        <w:tc>
          <w:tcPr>
            <w:tcW w:w="34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28,979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29,759</w:t>
            </w:r>
          </w:p>
        </w:tc>
      </w:tr>
      <w:tr>
        <w:trPr>
          <w:trHeight w:val="41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March 31 ,</w:t>
            </w:r>
          </w:p>
        </w:tc>
        <w:tc>
          <w:tcPr>
            <w:tcW w:w="220" w:type="dxa"/>
            <w:vAlign w:val="bottom"/>
          </w:tcPr>
          <w:p>
            <w:pPr>
              <w:spacing w:after="0"/>
              <w:rPr>
                <w:sz w:val="24"/>
                <w:szCs w:val="24"/>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20 20</w:t>
            </w:r>
          </w:p>
        </w:tc>
        <w:tc>
          <w:tcPr>
            <w:tcW w:w="22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201 9</w:t>
            </w:r>
          </w:p>
        </w:tc>
      </w:tr>
      <w:tr>
        <w:trPr>
          <w:trHeight w:val="216"/>
        </w:trPr>
        <w:tc>
          <w:tcPr>
            <w:tcW w:w="3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3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4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8,096</w:t>
            </w:r>
          </w:p>
        </w:tc>
        <w:tc>
          <w:tcPr>
            <w:tcW w:w="22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8,148</w:t>
            </w:r>
          </w:p>
        </w:tc>
      </w:tr>
      <w:tr>
        <w:trPr>
          <w:trHeight w:val="216"/>
        </w:trPr>
        <w:tc>
          <w:tcPr>
            <w:tcW w:w="3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62,239</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62,562</w:t>
            </w:r>
          </w:p>
        </w:tc>
      </w:tr>
      <w:tr>
        <w:trPr>
          <w:trHeight w:val="216"/>
        </w:trPr>
        <w:tc>
          <w:tcPr>
            <w:tcW w:w="3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2,105</w:t>
            </w:r>
          </w:p>
        </w:tc>
        <w:tc>
          <w:tcPr>
            <w:tcW w:w="22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2,112</w:t>
            </w:r>
          </w:p>
        </w:tc>
      </w:tr>
      <w:tr>
        <w:trPr>
          <w:trHeight w:val="216"/>
        </w:trPr>
        <w:tc>
          <w:tcPr>
            <w:tcW w:w="3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6,528</w:t>
            </w:r>
          </w:p>
        </w:tc>
      </w:tr>
      <w:tr>
        <w:trPr>
          <w:trHeight w:val="216"/>
        </w:trPr>
        <w:tc>
          <w:tcPr>
            <w:tcW w:w="3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4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5,078</w:t>
            </w:r>
          </w:p>
        </w:tc>
        <w:tc>
          <w:tcPr>
            <w:tcW w:w="22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4,730</w:t>
            </w:r>
          </w:p>
        </w:tc>
      </w:tr>
      <w:tr>
        <w:trPr>
          <w:trHeight w:val="216"/>
        </w:trPr>
        <w:tc>
          <w:tcPr>
            <w:tcW w:w="34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85,311</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85,353</w:t>
            </w:r>
          </w:p>
        </w:tc>
      </w:tr>
      <w:tr>
        <w:trPr>
          <w:trHeight w:val="216"/>
        </w:trPr>
        <w:tc>
          <w:tcPr>
            <w:tcW w:w="3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(63,272)</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(62,828)</w:t>
            </w:r>
          </w:p>
        </w:tc>
      </w:tr>
      <w:tr>
        <w:trPr>
          <w:trHeight w:val="216"/>
        </w:trPr>
        <w:tc>
          <w:tcPr>
            <w:tcW w:w="3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22,525</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expense for property, plant and equipment was $579 and $447 for the three-month periods ended March 31, 2020 and March 31,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three-month period ended March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32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40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2019</w:t>
            </w:r>
          </w:p>
        </w:tc>
        <w:tc>
          <w:tcPr>
            <w:tcW w:w="20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15,260</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11,493</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26,753</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0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2020</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14,975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26,468</w:t>
            </w:r>
          </w:p>
        </w:tc>
        <w:tc>
          <w:tcPr>
            <w:tcW w:w="24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other intangible assets was:</w:t>
            </w: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at March 31 , 20 20</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80" w:type="dxa"/>
            <w:vAlign w:val="bottom"/>
          </w:tcPr>
          <w:p>
            <w:pPr>
              <w:spacing w:after="0"/>
              <w:rPr>
                <w:sz w:val="20"/>
                <w:szCs w:val="20"/>
                <w:color w:val="auto"/>
              </w:rPr>
            </w:pPr>
          </w:p>
        </w:tc>
        <w:tc>
          <w:tcPr>
            <w:tcW w:w="12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22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3,402</w:t>
            </w: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30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4,768</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4,154</w:t>
            </w: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2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4,874</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377</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222</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1,265</w:t>
            </w:r>
          </w:p>
        </w:tc>
      </w:tr>
      <w:tr>
        <w:trPr>
          <w:trHeight w:val="234"/>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19,646</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10,241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9,405</w:t>
            </w:r>
          </w:p>
        </w:tc>
      </w:tr>
      <w:tr>
        <w:trPr>
          <w:trHeight w:val="391"/>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 201 9</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80" w:type="dxa"/>
            <w:vAlign w:val="bottom"/>
          </w:tcPr>
          <w:p>
            <w:pPr>
              <w:spacing w:after="0"/>
              <w:rPr>
                <w:sz w:val="20"/>
                <w:szCs w:val="20"/>
                <w:color w:val="auto"/>
              </w:rPr>
            </w:pPr>
          </w:p>
        </w:tc>
        <w:tc>
          <w:tcPr>
            <w:tcW w:w="12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22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3,403</w:t>
            </w: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30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4,721</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4,359</w:t>
            </w: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2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4,869</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Distributor relationships</w:t>
            </w:r>
          </w:p>
        </w:tc>
        <w:tc>
          <w:tcPr>
            <w:tcW w:w="2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377</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204</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1,307</w:t>
            </w:r>
          </w:p>
        </w:tc>
      </w:tr>
      <w:tr>
        <w:trPr>
          <w:trHeight w:val="234"/>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19,892</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10,171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cost of total intangible assets from December 31, 2019 to March 31, 2020 is a result of the effect of foreign currency translations.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was $149 and $92 for the three-month periods ended March 31, 2020 and March 31, 2019, respectively. Amortization included in research and development expenses was $31 and $33 for the three-month periods ended March 31, 2020 and March 31, 2019, respectively. Amortization included in selling, general and administrative expenses was $118 and $59 for the three-month periods ended March 31, 2020 and March 31, 2019,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7.   STOCK-BASED COMPENSATION</w:t>
            </w: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0"/>
        </w:trPr>
        <w:tc>
          <w:tcPr>
            <w:tcW w:w="6220" w:type="dxa"/>
            <w:vAlign w:val="bottom"/>
          </w:tcPr>
          <w:p>
            <w:pPr>
              <w:spacing w:after="0"/>
              <w:rPr>
                <w:sz w:val="24"/>
                <w:szCs w:val="24"/>
                <w:color w:val="auto"/>
              </w:rPr>
            </w:pPr>
          </w:p>
        </w:tc>
        <w:tc>
          <w:tcPr>
            <w:tcW w:w="34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400" w:type="dxa"/>
            <w:vAlign w:val="bottom"/>
          </w:tcPr>
          <w:p>
            <w:pPr>
              <w:spacing w:after="0"/>
              <w:rPr>
                <w:sz w:val="24"/>
                <w:szCs w:val="24"/>
                <w:color w:val="auto"/>
              </w:rPr>
            </w:pPr>
          </w:p>
        </w:tc>
      </w:tr>
      <w:tr>
        <w:trPr>
          <w:trHeight w:val="216"/>
        </w:trPr>
        <w:tc>
          <w:tcPr>
            <w:tcW w:w="6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w:t>
            </w:r>
          </w:p>
        </w:tc>
        <w:tc>
          <w:tcPr>
            <w:tcW w:w="400" w:type="dxa"/>
            <w:vAlign w:val="bottom"/>
          </w:tcPr>
          <w:p>
            <w:pPr>
              <w:spacing w:after="0"/>
              <w:rPr>
                <w:sz w:val="18"/>
                <w:szCs w:val="18"/>
                <w:color w:val="auto"/>
              </w:rPr>
            </w:pPr>
          </w:p>
        </w:tc>
      </w:tr>
      <w:tr>
        <w:trPr>
          <w:trHeight w:val="238"/>
        </w:trPr>
        <w:tc>
          <w:tcPr>
            <w:tcW w:w="6220" w:type="dxa"/>
            <w:vAlign w:val="bottom"/>
          </w:tcPr>
          <w:p>
            <w:pPr>
              <w:spacing w:after="0"/>
              <w:rPr>
                <w:sz w:val="20"/>
                <w:szCs w:val="20"/>
                <w:color w:val="auto"/>
              </w:rPr>
            </w:pP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20 20</w:t>
            </w:r>
          </w:p>
        </w:tc>
        <w:tc>
          <w:tcPr>
            <w:tcW w:w="40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201 9</w:t>
            </w:r>
          </w:p>
        </w:tc>
        <w:tc>
          <w:tcPr>
            <w:tcW w:w="40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8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128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80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128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stock options outstanding from various stock-based employee compensation plans for which we record compensation cost relating to share-based payment transactions in our financial statements. As of March 31, 2020, there was $557 of total unrecognized compensation cost related to outstanding stock options, which is expected to be recognized over a weighted average period of 1.0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three-month period ended March 31, 2020: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8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420" w:type="dxa"/>
            <w:vAlign w:val="bottom"/>
          </w:tcPr>
          <w:p>
            <w:pPr>
              <w:spacing w:after="0"/>
              <w:rPr>
                <w:sz w:val="18"/>
                <w:szCs w:val="18"/>
                <w:color w:val="auto"/>
              </w:rPr>
            </w:pPr>
          </w:p>
        </w:tc>
        <w:tc>
          <w:tcPr>
            <w:tcW w:w="2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8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420" w:type="dxa"/>
            <w:vAlign w:val="bottom"/>
          </w:tcPr>
          <w:p>
            <w:pPr>
              <w:spacing w:after="0"/>
              <w:rPr>
                <w:sz w:val="20"/>
                <w:szCs w:val="20"/>
                <w:color w:val="auto"/>
              </w:rPr>
            </w:pPr>
          </w:p>
        </w:tc>
        <w:tc>
          <w:tcPr>
            <w:tcW w:w="2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28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2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1,541,792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6.88</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3.75</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8.12</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2020</w:t>
            </w:r>
          </w:p>
        </w:tc>
        <w:tc>
          <w:tcPr>
            <w:tcW w:w="2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1,529,408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6.89</w:t>
            </w:r>
          </w:p>
        </w:tc>
        <w:tc>
          <w:tcPr>
            <w:tcW w:w="12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2020</w:t>
            </w: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1,438,369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6.80</w:t>
            </w:r>
          </w:p>
        </w:tc>
        <w:tc>
          <w:tcPr>
            <w:tcW w:w="12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2020</w:t>
            </w:r>
          </w:p>
        </w:tc>
        <w:tc>
          <w:tcPr>
            <w:tcW w:w="2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1,092,278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6.29</w:t>
            </w:r>
          </w:p>
        </w:tc>
        <w:tc>
          <w:tcPr>
            <w:tcW w:w="12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three-month periods ended March 31, 2020 and March 31, 2019 was $29 and $356,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2019, 20,000 shares of restricted stock were awarded to certain of our employees at a weighted-average grant date fair value of $11.12 per share. In January 2018, 17,500 shares of restricted stock were awarded to certain of our employees at a weighted-average grant date fair value of $7.16 per share. All outstanding restricted shares vest in equal annual installments over three years. Unrecognized compensation cost related to these restricted shares was $107 at March 31, 2020, which is expected to be recognized over a weighted average period of 1.9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INCOME TAXES</w:t>
      </w: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three-month periods ended March 31, 2020 and March 31, 2019 was 22.9% and 8.4%, respectively. The period-over-period change was primarily attributable to discrete tax benefits realized on disqualifying dispositions of incentive stock options exercised by employees during the three-month period ended March 31, 2019.</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2019, we have domestic net operating loss (“NOL”) carryforwards of $58,400, which expire 2020 thru 2035, and domestic tax credits of $1,907, which expire 2028 thru 2039, available to reduce future taxable income. As of March 31, 2020, Management has concluded it is more likely than not that these domestic NOL and credit carryforwards will be fully utilized.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2020,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 cannot currently be used to reduce taxable income at our other U.K. subsidiary, Accutronics Ltd.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2020, we have not recognized a valuation allowance against our other foreign deferred tax assets, as realization is considered to be more likely than not.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2020, the Company maintains its assertion that all foreign earnings will be indefinitely reinvested in those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March 31, 2020 and December 31, 2019.</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2000 through 2019 remain subject to examination by the Internal Revenue Service (“IRS”) due to our net operating loss carryforwards. Our U.S. tax matters for the years 2000 through 2019 remain subject to examination by various state and local tax jurisdictions due to our net operating loss carryforwards. Our tax matters for the years 2010 through 2019 remain subject to examination by the respective foreign tax jurisdiction authorities.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March 31, 2020, the remaining lease terms on our operating leases range from approximately 1 to 4 years. Renewal options to extend our leases have been exercised. Termination options are not reasonably certain of exercise by the Company. There is no transfer of title or option to purchase the leased assets upon expiration. There are no residual value guarantees or material restrictive covenants. In July 2019, the Company entered into a five-year agreement to extend the operating lease term of its Shenzhen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3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 onth period e nded March 31,</w:t>
            </w:r>
          </w:p>
        </w:tc>
      </w:tr>
      <w:tr>
        <w:trPr>
          <w:trHeight w:val="238"/>
        </w:trPr>
        <w:tc>
          <w:tcPr>
            <w:tcW w:w="3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201 9</w:t>
            </w:r>
          </w:p>
        </w:tc>
      </w:tr>
      <w:tr>
        <w:trPr>
          <w:trHeight w:val="216"/>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16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3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1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16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43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2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 onth period e 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24"/>
                <w:szCs w:val="24"/>
                <w:color w:val="auto"/>
              </w:rPr>
            </w:pPr>
          </w:p>
        </w:tc>
        <w:tc>
          <w:tcPr>
            <w:tcW w:w="17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Balance s heet c lassification</w:t>
            </w:r>
          </w:p>
        </w:tc>
        <w:tc>
          <w:tcPr>
            <w:tcW w:w="500" w:type="dxa"/>
            <w:vAlign w:val="bottom"/>
          </w:tcPr>
          <w:p>
            <w:pPr>
              <w:spacing w:after="0"/>
              <w:rPr>
                <w:sz w:val="20"/>
                <w:szCs w:val="20"/>
                <w:color w:val="auto"/>
              </w:rPr>
            </w:pPr>
          </w:p>
        </w:tc>
        <w:tc>
          <w:tcPr>
            <w:tcW w:w="14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20 20</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201 9</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noncurrent assets</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1,685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1,866</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9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2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liabilities</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620</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0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1,072</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1,247</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9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1,867</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18"/>
                <w:szCs w:val="18"/>
                <w:color w:val="auto"/>
              </w:rPr>
            </w:pPr>
          </w:p>
        </w:tc>
        <w:tc>
          <w:tcPr>
            <w:tcW w:w="2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18"/>
                <w:szCs w:val="18"/>
                <w:color w:val="auto"/>
              </w:rPr>
            </w:pPr>
          </w:p>
        </w:tc>
        <w:tc>
          <w:tcPr>
            <w:tcW w:w="2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9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as of March 31, 2020 are as follows:</w:t>
            </w:r>
          </w:p>
        </w:tc>
        <w:tc>
          <w:tcPr>
            <w:tcW w:w="27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2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7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3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7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3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7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1,858</w:t>
            </w:r>
          </w:p>
        </w:tc>
      </w:tr>
      <w:tr>
        <w:trPr>
          <w:trHeight w:val="216"/>
        </w:trPr>
        <w:tc>
          <w:tcPr>
            <w:tcW w:w="3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4"/>
        </w:trPr>
        <w:tc>
          <w:tcPr>
            <w:tcW w:w="300" w:type="dxa"/>
            <w:vAlign w:val="bottom"/>
          </w:tcPr>
          <w:p>
            <w:pPr>
              <w:spacing w:after="0"/>
              <w:rPr>
                <w:sz w:val="20"/>
                <w:szCs w:val="20"/>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2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0" w:hanging="532"/>
        <w:spacing w:after="0"/>
        <w:tabs>
          <w:tab w:leader="none" w:pos="540" w:val="left"/>
        </w:tabs>
        <w:numPr>
          <w:ilvl w:val="0"/>
          <w:numId w:val="1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COMMITMENTS AND CONTINGENCIES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Purchase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2020, we have made commitments to purchase approximately $1,253 of production machinery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Product Warranties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three months of 2020 and 2019 were as follows: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51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 m onth p eriod e nded March 31,</w:t>
            </w:r>
          </w:p>
        </w:tc>
      </w:tr>
      <w:tr>
        <w:trPr>
          <w:trHeight w:val="238"/>
        </w:trPr>
        <w:tc>
          <w:tcPr>
            <w:tcW w:w="4920" w:type="dxa"/>
            <w:vAlign w:val="bottom"/>
          </w:tcPr>
          <w:p>
            <w:pPr>
              <w:spacing w:after="0"/>
              <w:rPr>
                <w:sz w:val="20"/>
                <w:szCs w:val="20"/>
                <w:color w:val="auto"/>
              </w:rPr>
            </w:pPr>
          </w:p>
        </w:tc>
        <w:tc>
          <w:tcPr>
            <w:tcW w:w="2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20 20</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201 9</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29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298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made</w:t>
            </w:r>
          </w:p>
        </w:tc>
        <w:tc>
          <w:tcPr>
            <w:tcW w:w="2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29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Contingencies and Legal Matters</w:t>
      </w:r>
    </w:p>
    <w:p>
      <w:pPr>
        <w:spacing w:after="0" w:line="200" w:lineRule="exact"/>
        <w:rPr>
          <w:sz w:val="20"/>
          <w:szCs w:val="20"/>
          <w:color w:val="auto"/>
        </w:rPr>
      </w:pPr>
    </w:p>
    <w:p>
      <w:pPr>
        <w:spacing w:after="0" w:line="23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that are reasonably possible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REVENUE RECOGNITION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22"/>
          <w:szCs w:val="22"/>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Revenue is measured as the amount of consideration we expect to receive in exchange for shipped product. Sales, value-added and other taxes billed and collected from customers are excluded from revenue. Customers, including distributors, do not have a general right of return. For products shipped under vendor managed inventory arrangements, revenue is recognized and billed when the product is consumed by the customer, at which point control has transferred and there are no further obligations by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Revenues recognized from prior period performance obligations for the three-month periods ended March 31, 2020 and 2019 were not material. Deferred revenue, unbilled revenue and deferred contract costs recorded on our consolidated balance sheets as of March 31, 2020 and December 31, 2019 were not material. As of March 31, 2020 and December 31, 2019, the Company had no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ectPr>
          <w:pgSz w:w="11900" w:h="16838" w:orient="portrait"/>
          <w:cols w:equalWidth="0" w:num="1">
            <w:col w:w="11240"/>
          </w:cols>
          <w:pgMar w:left="320" w:top="580" w:right="339" w:bottom="359"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BUSINESS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segment performance were as follows:</w:t>
            </w: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 onth p eriod e nded March 31, 2020 :</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4720" w:type="dxa"/>
            <w:vAlign w:val="bottom"/>
          </w:tcPr>
          <w:p>
            <w:pPr>
              <w:spacing w:after="0"/>
              <w:rPr>
                <w:sz w:val="24"/>
                <w:szCs w:val="24"/>
                <w:color w:val="auto"/>
              </w:rPr>
            </w:pPr>
          </w:p>
        </w:tc>
        <w:tc>
          <w:tcPr>
            <w:tcW w:w="18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4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4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3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2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20,761</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25,814</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74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5,316</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1,485</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w:t>
            </w: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 onth p eriod e nded March 31, 2019 :</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4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Communica ti</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4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32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ons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4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32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22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18,882</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Commercial and Government/Defense Revenue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Total</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Government/</w:t>
            </w:r>
          </w:p>
        </w:tc>
        <w:tc>
          <w:tcPr>
            <w:tcW w:w="10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Three-month period ended March 31, 2020:</w:t>
            </w:r>
          </w:p>
        </w:tc>
        <w:tc>
          <w:tcPr>
            <w:tcW w:w="860" w:type="dxa"/>
            <w:vAlign w:val="bottom"/>
          </w:tcPr>
          <w:p>
            <w:pPr>
              <w:spacing w:after="0"/>
              <w:rPr>
                <w:sz w:val="20"/>
                <w:szCs w:val="20"/>
                <w:color w:val="auto"/>
              </w:rPr>
            </w:pPr>
          </w:p>
        </w:tc>
        <w:tc>
          <w:tcPr>
            <w:tcW w:w="13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spacing w:after="0"/>
              <w:rPr>
                <w:sz w:val="20"/>
                <w:szCs w:val="20"/>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0"/>
                <w:szCs w:val="20"/>
                <w:color w:val="auto"/>
              </w:rPr>
            </w:pPr>
          </w:p>
        </w:tc>
        <w:tc>
          <w:tcPr>
            <w:tcW w:w="15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Defense</w:t>
            </w:r>
          </w:p>
        </w:tc>
        <w:tc>
          <w:tcPr>
            <w:tcW w:w="104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20,761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14,802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5,959</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5,053</w:t>
            </w:r>
          </w:p>
        </w:tc>
        <w:tc>
          <w:tcPr>
            <w:tcW w:w="300" w:type="dxa"/>
            <w:vAlign w:val="bottom"/>
          </w:tcPr>
          <w:p>
            <w:pPr>
              <w:spacing w:after="0"/>
              <w:rPr>
                <w:sz w:val="18"/>
                <w:szCs w:val="18"/>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5,053</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25,814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14,802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11,012</w:t>
            </w:r>
          </w:p>
        </w:tc>
        <w:tc>
          <w:tcPr>
            <w:tcW w:w="10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tcPr>
          <w:p>
            <w:pPr>
              <w:spacing w:after="0"/>
              <w:rPr>
                <w:sz w:val="20"/>
                <w:szCs w:val="20"/>
                <w:color w:val="auto"/>
              </w:rPr>
            </w:pPr>
          </w:p>
        </w:tc>
      </w:tr>
      <w:tr>
        <w:trPr>
          <w:trHeight w:val="395"/>
        </w:trPr>
        <w:tc>
          <w:tcPr>
            <w:tcW w:w="6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Total</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Government/</w:t>
            </w:r>
          </w:p>
        </w:tc>
        <w:tc>
          <w:tcPr>
            <w:tcW w:w="104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Three-month period ended March 31, 2019:</w:t>
            </w:r>
          </w:p>
        </w:tc>
        <w:tc>
          <w:tcPr>
            <w:tcW w:w="860" w:type="dxa"/>
            <w:vAlign w:val="bottom"/>
          </w:tcPr>
          <w:p>
            <w:pPr>
              <w:spacing w:after="0"/>
              <w:rPr>
                <w:sz w:val="20"/>
                <w:szCs w:val="20"/>
                <w:color w:val="auto"/>
              </w:rPr>
            </w:pPr>
          </w:p>
        </w:tc>
        <w:tc>
          <w:tcPr>
            <w:tcW w:w="13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spacing w:after="0"/>
              <w:rPr>
                <w:sz w:val="20"/>
                <w:szCs w:val="20"/>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0"/>
                <w:szCs w:val="20"/>
                <w:color w:val="auto"/>
              </w:rPr>
            </w:pPr>
          </w:p>
        </w:tc>
        <w:tc>
          <w:tcPr>
            <w:tcW w:w="15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Defense</w:t>
            </w:r>
          </w:p>
        </w:tc>
        <w:tc>
          <w:tcPr>
            <w:tcW w:w="104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15,998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5,988</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2,884</w:t>
            </w:r>
          </w:p>
        </w:tc>
        <w:tc>
          <w:tcPr>
            <w:tcW w:w="300" w:type="dxa"/>
            <w:vAlign w:val="bottom"/>
          </w:tcPr>
          <w:p>
            <w:pPr>
              <w:spacing w:after="0"/>
              <w:rPr>
                <w:sz w:val="18"/>
                <w:szCs w:val="18"/>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2,884</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18,882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8,872</w:t>
            </w:r>
          </w:p>
        </w:tc>
        <w:tc>
          <w:tcPr>
            <w:tcW w:w="10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4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7" w:name="page18"/>
    <w:bookmarkEnd w:id="17"/>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U.S. and Non-U.S. Revenue Information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660" w:type="dxa"/>
            <w:vAlign w:val="bottom"/>
          </w:tcPr>
          <w:p>
            <w:pPr>
              <w:jc w:val="right"/>
              <w:ind w:right="569"/>
              <w:spacing w:after="0"/>
              <w:rPr>
                <w:sz w:val="20"/>
                <w:szCs w:val="20"/>
                <w:color w:val="auto"/>
              </w:rPr>
            </w:pPr>
            <w:r>
              <w:rPr>
                <w:rFonts w:ascii="Times New Roman" w:cs="Times New Roman" w:eastAsia="Times New Roman" w:hAnsi="Times New Roman"/>
                <w:sz w:val="10"/>
                <w:szCs w:val="10"/>
                <w:u w:val="single" w:color="auto"/>
                <w:color w:val="auto"/>
                <w:w w:val="70"/>
              </w:rPr>
              <w:t>:</w:t>
            </w: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Three-month period ended March 31, 2020:</w:t>
            </w:r>
          </w:p>
        </w:tc>
        <w:tc>
          <w:tcPr>
            <w:tcW w:w="860" w:type="dxa"/>
            <w:vAlign w:val="bottom"/>
          </w:tcPr>
          <w:p>
            <w:pPr>
              <w:spacing w:after="0"/>
              <w:rPr>
                <w:sz w:val="20"/>
                <w:szCs w:val="20"/>
                <w:color w:val="auto"/>
              </w:rPr>
            </w:pPr>
          </w:p>
        </w:tc>
        <w:tc>
          <w:tcPr>
            <w:tcW w:w="13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0"/>
                <w:szCs w:val="20"/>
                <w:color w:val="auto"/>
              </w:rPr>
            </w:pPr>
          </w:p>
        </w:tc>
        <w:tc>
          <w:tcPr>
            <w:tcW w:w="1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20"/>
                <w:szCs w:val="20"/>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8"/>
              </w:rPr>
              <w:t>Non-United States</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20,761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11,284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9,477</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5,053</w:t>
            </w:r>
          </w:p>
        </w:tc>
        <w:tc>
          <w:tcPr>
            <w:tcW w:w="28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4,354</w:t>
            </w:r>
          </w:p>
        </w:tc>
        <w:tc>
          <w:tcPr>
            <w:tcW w:w="14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25,814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15,638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10,176</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95"/>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Three-month period ended March 31, 2019:</w:t>
            </w:r>
          </w:p>
        </w:tc>
        <w:tc>
          <w:tcPr>
            <w:tcW w:w="860" w:type="dxa"/>
            <w:vAlign w:val="bottom"/>
          </w:tcPr>
          <w:p>
            <w:pPr>
              <w:spacing w:after="0"/>
              <w:rPr>
                <w:sz w:val="20"/>
                <w:szCs w:val="20"/>
                <w:color w:val="auto"/>
              </w:rPr>
            </w:pPr>
          </w:p>
        </w:tc>
        <w:tc>
          <w:tcPr>
            <w:tcW w:w="13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0"/>
                <w:szCs w:val="20"/>
                <w:color w:val="auto"/>
              </w:rPr>
            </w:pPr>
          </w:p>
        </w:tc>
        <w:tc>
          <w:tcPr>
            <w:tcW w:w="1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20"/>
                <w:szCs w:val="20"/>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8"/>
              </w:rPr>
              <w:t>Non-United States</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15,998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8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2,884</w:t>
            </w:r>
          </w:p>
        </w:tc>
        <w:tc>
          <w:tcPr>
            <w:tcW w:w="28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2,454</w:t>
            </w:r>
          </w:p>
        </w:tc>
        <w:tc>
          <w:tcPr>
            <w:tcW w:w="14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18,882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8,861</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532" w:right="1100" w:hanging="5532"/>
        <w:spacing w:after="0" w:line="372" w:lineRule="auto"/>
        <w:tabs>
          <w:tab w:leader="none" w:pos="118"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classified to U.S. include shipments to U.S.-based prime contractors which in some cases may serve non-U.S. projects.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92"/>
          </w:cols>
          <w:pgMar w:left="328" w:top="534" w:right="1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the effects of the novel coronavirus disease of 2019 (COVID-19); our reliance on certain key customers; possible future declines in demand for the products that use our batteries or communications systems; the unique risks associated with our China operations; potential costs because of the warranties we supply with our products and services; potential disruptions in our supply of raw materials and components; our efforts to develop new commercial applications for our products; reduced U.S. and foreign military spending including the uncertainty associated with government budget approvals; possible breaches in security and other disruptions; variability in our quarterly and annual results and the price of our common stock; safety risks, including the risk of fire; our entrance into new end-markets which could lead to additional financial exposure; fluctuations in the price of oil and the resulting impact on the level of downhole drilling; our ability to retain top management and key personnel; our resources being overwhelmed by our growth prospects; our inability to comply with changes to the regulations for the shipment of our products; our customers’ demand falling short of volume expectations in our supply agreements; possible impairments of our goodwill and other intangible assets; negative publicity of Lithium-ion batteries; our exposure to foreign currency fluctuations; the risk that we are unable to protect our proprietary and intellectual property; rules and procedures regarding contracting with the U.S. and foreign governments; our ability to utilize our net operating loss carryforwards; exposure to possible violations of the U.S. Foreign Corrupt Practices Act, the U.K. Bribery Act or other anti-corruption laws;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“estimate,” “seek,” “project,” “intend,” “plan,” “may,” “will,” “should,” or words of similar import are intended to identify forward-looking statements. For further discussion of certain of the matters described above and other risks and uncertainties, see Item 1A, “Risk Factors” in our Annual Report on Form 10-K for the year ended December 31, 2019, and Item 1A, “Risk Factors” in Part II of this Form 10-Q.</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2019 to reflect new information or risks, future events or other developments.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Consolidated Financial Statements and Notes thereto in Part I, Item 1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 the Risk Factors in Part II, Item 1A of this Form 10-Q, and the Consolidated Financial Statements and Notes thereto and Risk Factors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for the year ended December 31, 2019.</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information in this Management’s Discussion and Analysis of Financial Condition and Results of Operations is presented in thousands of dollars, except for share and per share amounts.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18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 xml:space="preserve">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Batteries, Lithium Power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McDowell Research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AMTI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 ABLE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 ACCUTRONICS™, ACCUPRO™, ENTELLION™, SWE Southwest Electronic Energy Group™, SWE DRILL-DATA™, and SWE SEASAFE™ brands. We have sales, operations and product development facilities in North America, Europe and Asia.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12 in the Notes to Consolidated Financial Statements of this Form 10-Q.</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COVID-19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The novel coronavirus disease of 2019 (COVID-19) has created significant economic disruption and uncertainty around the world. The Company continues to closely monitor the developments surrounding COVID-19 and take actions to mitigate the business risks involved. During this challenging time, we remain focused on ensuring the health and safety of our employees by implementing the protocols established by public health officials and meeting the demand of our customers. As an essential supplier currently exempt from government-mandated shutdown directives, we are striving to ensure an uninterrupted flow of our mission critical products serving medical device, first responder, public safety, energy and national security customers. We have maintained normal operations at all our facilities with the exception of an approximately one-month closure of our China facility as was mandated by the Chinese government through early March 2020.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For the quarter ended March 31, 2020, our operating results were adversely affected by COVID-19, particularly as a result of the temporary shutdown of our China operation and supply chain disruptions. We estimate the effects of COVID-19 adversely impacted net income by approximately $500.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 to Item 1A “Risk Factors” in Part II of this Form 10-Q for risks and uncertainties related to COVID-19.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00" w:lineRule="exact"/>
        <w:rPr>
          <w:sz w:val="20"/>
          <w:szCs w:val="20"/>
          <w:color w:val="auto"/>
        </w:rPr>
      </w:pPr>
    </w:p>
    <w:p>
      <w:pPr>
        <w:spacing w:after="0" w:line="23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Consolidated revenues of $25,814 for the three-month period ended March 31, 2020, increased by $6,932 or 36.7%, over $18,882 during the three-month period ended March 31, 2019, reflecting the revenues of SWE, which was acquired by the Company on May 1, 2019, and higher Communications Systems sales primarily due to shipments of vehicle amplifier-adaptor systems to support the U.S. Army’s Network Modernization initiatives under the delivery orders announced in October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22"/>
          <w:szCs w:val="22"/>
          <w:color w:val="auto"/>
        </w:rPr>
        <w:t>Gross profit was $7,334, or 28.4% of revenue, compared to $5,084, or 26.9% of revenue, for the same quarter a year ago. The 150-basis point improvement resulted from efficiencies in the transition of vehicle amplifier-adaptor systems for the U.S. Army to higher volume production partially offset by the impact of an approximately one-month shutdown of our China operation as mandated by the Chinese government in response to COVID-19.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Operating expenses increased to $5,849 during the three-month period ended March 31, 2020, compared to $4,536 during the three-month period ended March 31, 2019. The increase of $1,313 or 28.9% was attributable to $1,180 of operating expenses incurred by SWE during the 2020 period, and a $122 or 11.8% increase in core engineering and technology expenses for new product development and testing. Operating expenses as a percentage of sales decreased 130 basis points from 24.0% for the first quarter of 2019 to 22.7% for the current quarter.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for the three-month period ended March 31, 2020 was $1,485 or 5.7% of revenues compared to $548 or 2.9% of revenues for the year-earlier period. The 170.5% increase in operating income primarily resulted from higher sales in our Communications Systems business and profitability for SWE.</w:t>
      </w:r>
    </w:p>
    <w:p>
      <w:pPr>
        <w:spacing w:after="0" w:line="383"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Net income attributable to Ultralife was $1,059, or $0.07 per share – basic and diluted, for the three-month period ended March 31, 2020, compared to $425, or $0.03 per share – basic and diluted, for the three-month period ended March 31, 2019. Adjusted EPS was $0.08 on a diluted basis for the first quarter of 2020, representing a 212.4% increase over Adjusted EPS on a diluted basis of $0.03 for the 2019 period. Adjusted EPS excludes the provision for deferred income taxes which primarily represents non-cash charges (benefits) of $242 and ($5) for the 2020 and 2019 periods, respectively, for income taxes which will be fully offset by deferred tax assets including past U.S. net operating losses and tax credit carryforwards. See the section “Adjusted EPS” on Page 23 for a reconciliation of Adjusted EPS to EPS.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Adjusted EBITDA, defined as net income attributable to Ultralife before net interest expense, provision for income taxes, depreciation and amortization, and stock-based compensation expense, plus/minus expenses/income that we do not consider reflective of our ongoing operations, amounted to $2,522 or 9.8% of revenues in the first quarter of 2020 compared to $1,204 or 6.4% of revenues for the first quarter of 2019. See the section “Adjusted EBITDA” on Page 22 for a reconciliation of Adjusted EBITDA to net income attributable to Ultralife.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With a backlog increasing approximately 20% over year-end 2019 to over $50 million, ample liquidity, end-market diversity and tight control over discretionary spending, we are well positioned to both sustain operations and continue investing in growth initiatives.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Periods Ended March 31, 2020 and March 31, 2019</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three-month period ended March 31, 2020 amounted to $25,814, an increase of $6,932 or 36.7%, over $18,882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three-month period ended March 31, 2019. Overall, commercial sales increased 47.9% while government/defense sales increased 24.1% from the 2019 period. Revenues for the 2020 period include revenues of SWE which was acquired by the Company on May 1, 2019.</w:t>
      </w:r>
    </w:p>
    <w:p>
      <w:pPr>
        <w:spacing w:after="0" w:line="38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Battery &amp; Energy Products revenues increased $4,763, or 29.8%, from $15,998 for the three-month period ended March 31, 2019 to $20,761 for the three-month period ended March 31, 2020. The increase was attributable to the $5,437 revenue of SWE partially offset by a $674 or 4.2% reduction in core sales due primarily to an approximately one-month shutdown of our China operation and supply chain disruptions resulting from COVID-19.</w:t>
      </w: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Communications Systems revenues increased $2,169, or 75.2%, from $2,884 during the three-month period ended March 31, 2019 to $5,053 for the three-month period ended March 31, 2020. This increase is primarily attributable to higher shipments of vehicle amplifier-adaptor systems to support the U.S. Army’s Network Modernization initiatives under the delivery orders announced in October 2018.</w:t>
      </w:r>
    </w:p>
    <w:p>
      <w:pPr>
        <w:spacing w:after="0" w:line="37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Cost of Products Sold / Gross Profit. </w:t>
      </w:r>
      <w:r>
        <w:rPr>
          <w:rFonts w:ascii="Times New Roman" w:cs="Times New Roman" w:eastAsia="Times New Roman" w:hAnsi="Times New Roman"/>
          <w:sz w:val="22"/>
          <w:szCs w:val="22"/>
          <w:color w:val="auto"/>
        </w:rPr>
        <w:t>Cost of products sold totaled $18,480 for the quarter ended March 31, 2020, an increase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$4,682, or 33.9%, from the $13,798 reported for the same three-month period a year ago. Consolidated cost of products sold as a percentage of total revenue decreased from 73.1% for the three-month period ended March 31, 2019 to 71.6% for the three-month period ended March 31, 2020. Correspondingly, consolidated gross margin increased from 26.9% for the three-month period ended March 31, 2019, to 28.4% for the three-month period ended March 31, 2020, primarily reflecting efficiencies in the transition of vehicle amplifier-adaptor systems for the U.S. Army to higher volume production and favorable sales mix for our Communications Systems business. This increase was partially offset by the impact of an approximately one-month shutdown of our China operation as mandated by the Chinese government in response to COVID-19.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For our Battery &amp; Energy Products segment, gross profit for the first quarter of 2020 was $5,316, an increase of $906 or 20.5% from gross profit of $4,410 for the first quarter of 2019. Battery &amp; Energy Products’ gross margin of 25.6% decreased by 200 basis points from the 27.6% gross margin for the year-earlier period, reflecting the temporary shutdown of our China operation in response to COVID-19, as well as the transitioning of new products to higher volume production.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For our Communications Systems segment, gross profit for the first quarter of 2020 was $2,018 or 39.9% of revenues, an increase of $1,344 or 199.4%, from gross profit of $674, or 23.4% of revenues, for the first quarter of 2019. The 1,650-basis point increase in gross margin during 2020 is driven by the transition of vehicle amplifier-adaptor systems for the U.S. Army to higher volume production and favorable sales mix.</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Operating Expenses. </w:t>
      </w:r>
      <w:r>
        <w:rPr>
          <w:rFonts w:ascii="Times New Roman" w:cs="Times New Roman" w:eastAsia="Times New Roman" w:hAnsi="Times New Roman"/>
          <w:sz w:val="22"/>
          <w:szCs w:val="22"/>
          <w:color w:val="auto"/>
        </w:rPr>
        <w:t>Operating expenses for the three-month period ended March 31, 2020 were $5,849, an increase of $1,313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28.9% over the $4,536 for the three-month period ended March 31, 2019. The increase is attributable to $1,180 of operating expense incurred by SWE during the 2020 period, and a $122 or 11.8% increase in core engineering and technology expenses for new product development and testing. Operating expenses as a percentage of sales decreased 130 basis points from 24.0% for the first quarter of 2019 to 22.7% for the 2020 first quarter.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operating expenses as a percentage of revenues were 22.7% for the quarter ended March 31, 2020 compared to 24.0% for the quarter ended March 31, 2019. Amortization expense associated with intangible assets related to our acquisitions was $149 for the first quarter of 2020 ($117 in selling, general and administrative expenses and $32 in research and development costs), including $61 for SWE ($61 in selling, general and administrative expenses), compared with $92 for the first quarter of 2019 ($59 in selling, general, and administrative expenses and $33 in research and development costs). Research and development costs were $1,548 for the three-month period ended March 31, 2020, an increase of $512 or 49.4%, from $1,036 for the three-months ended March 31, 2019. The increase is attributable to $390 of research and development costs incurred by SWE and a $122 increase in core business investments for new product development and testing. Selling, general, and administrative expenses increased $801 or 22.9%, to $4,301 for the first quarter of 2020 from $3,500 for the first quarter of 2019. The increase is primarily attributable to the acquisition of SWE which contributed $790 of direct costs, including intangible asset amortization of $61, for the first quarter of 2020.</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Other expense totaled $92 for the three-month period ended March 31, 2020 compared to $58 for the three-month period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Interest and financing expense, net of interest income, increased $169, from $5 for the first quarter of 2019 to $174 for the comparable period in</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2020. The increase is due primarily to the financing for the SWE acquisition. Miscellaneous income amounted to $82 for the first quarter of 2020 compared with miscellaneous expense of $53 for the first quarter of 2019, primarily representing foreign currency gains and losses, respectively, realized on the translation of U.S.-denominated transactions and balances of Accutronics (U.K.). The gains realized in the first quarter of 2020 were attributable to the strengthening of the U.S dollar to the Pound Sterling by 6.2% (from the beginning to the end of the quarter), versus losses realized in the year-earlier period due to a 2.4% weakening of the U.S dollar to the Pound Sterling.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tax provision for the 2020 first quarter was $319 compared to $41 for the first quarter of 2019. Our effective tax rate increased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22.9% for the first quarter of 2020 as compared to 8.4% for the first quarter of 2019, primarily due to discrete tax benefits realized on disqualifying dispositions of incentive stock options exercised by employees during the three-month period ended March 31, 2019. The income tax provision for the first quarter of 2020 is comprised of a $77 current provision for taxes expected to be paid on income from our foreign operations, representing a cash-based effective tax rate of 5.5%, and a non-cash $242 deferred provision for taxes to be fully offset by deferred tax assets including past U.S. net operating losses and tax credit carryforwards which we expect to carryforward to offset U.S. income taxes for the foreseeable future. See Note 8 in the Notes to Consolidated Financial Statements of this Form 10-Q for additional information regarding our income taxes.</w:t>
      </w:r>
    </w:p>
    <w:p>
      <w:pPr>
        <w:spacing w:after="0" w:line="38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Net Income Attributable to Ultralife. </w:t>
      </w:r>
      <w:r>
        <w:rPr>
          <w:rFonts w:ascii="Times New Roman" w:cs="Times New Roman" w:eastAsia="Times New Roman" w:hAnsi="Times New Roman"/>
          <w:sz w:val="22"/>
          <w:szCs w:val="22"/>
          <w:color w:val="auto"/>
        </w:rPr>
        <w:t>Net income attributable to Ultralife was $1,059, or $0.07 per share – basic and diluted,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three-month period ended March 31, 2020, compared to $425, or $0.03 per share – basic and diluted, for the three-month period ended March 31, 2019. Adjusted EPS was $0.08 on a diluted basis for the first quarter of 2020, representing a 212.4% increase over Adjusted EPS on a diluted basis of $0.03 for the 2019 period. Adjusted EPS excludes the provision for deferred income taxes which represents non-cash charges (benefits) of $242 and ($5) for the 2020 and 2019 periods, respectively, for income taxes which will be fully offset by deferred tax assets including past U.S. net operating losses and tax credit carryforwards. See the section “Adjusted EPS” on Page 23 for a reconciliation of Adjusted EPS to EPS. Average weighted common shares outstanding used to compute diluted earnings per share decreased from 16,224,790 in the first quarter of 2019 to 16,086,744 in the first quarter of 2020. The decrease in 2020 is attributable to stock option exercises since the first quarter of 2019 and a decrease in the weighted average stock price used to compute diluted shares from $9.40 for the first quarter of 2019 to $6.71 for the first quarter of 2020.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income attributable to Ultralife before interest expense, provision (benefit) for income taxes, depreciation and amortization, and stock-based compensation expense. We also use Adjusted EBITDA as a supplemental measure to review and assess our operating performance and to enhance comparability between periods. We also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attributable to Ultralife, the most comparable financial measure under GAAP.</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income.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GAAP. Some of these limitations include, but are not limited to, the following:</w:t>
      </w:r>
    </w:p>
    <w:p>
      <w:pPr>
        <w:spacing w:after="0" w:line="180" w:lineRule="exact"/>
        <w:rPr>
          <w:sz w:val="20"/>
          <w:szCs w:val="20"/>
          <w:color w:val="auto"/>
        </w:rPr>
      </w:pPr>
    </w:p>
    <w:p>
      <w:pPr>
        <w:jc w:val="both"/>
        <w:ind w:left="1080" w:hanging="316"/>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79"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is calculated as follows for the periods presented:</w:t>
            </w: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0"/>
        </w:trPr>
        <w:tc>
          <w:tcPr>
            <w:tcW w:w="5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6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 onth p eriod</w:t>
            </w:r>
          </w:p>
        </w:tc>
      </w:tr>
      <w:tr>
        <w:trPr>
          <w:trHeight w:val="216"/>
        </w:trPr>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 nded</w:t>
            </w:r>
          </w:p>
        </w:tc>
        <w:tc>
          <w:tcPr>
            <w:tcW w:w="134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5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6"/>
        </w:trPr>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6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and financing fees</w:t>
            </w:r>
          </w:p>
        </w:tc>
        <w:tc>
          <w:tcPr>
            <w:tcW w:w="6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EPS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evaluating our business, we consider and use Adjusted EPS, a non-GAAP financial measure, as a supplemental measure of our business performance in addition to GAAP financial measures. We define Adjusted EPS as net income attributable to Ultralife Corporation excluding the provision for deferred taxes, divided by our weighted average shares outstanding on both a basic and diluted basis. We believe that this information is useful in providing period-to-period comparisons of our results by reflecting the portion of our tax provision that will be offset by our U.S. net operating loss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attributable to Ultralife.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Adjusted EPS is calculated as follows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2020</w:t>
            </w:r>
          </w:p>
        </w:tc>
        <w:tc>
          <w:tcPr>
            <w:tcW w:w="180" w:type="dxa"/>
            <w:vAlign w:val="bottom"/>
          </w:tcPr>
          <w:p>
            <w:pPr>
              <w:spacing w:after="0"/>
              <w:rPr>
                <w:sz w:val="20"/>
                <w:szCs w:val="20"/>
                <w:color w:val="auto"/>
              </w:rPr>
            </w:pPr>
          </w:p>
        </w:tc>
        <w:tc>
          <w:tcPr>
            <w:tcW w:w="2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 onth p eriod e nded</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Per Basic</w:t>
            </w:r>
          </w:p>
        </w:tc>
        <w:tc>
          <w:tcPr>
            <w:tcW w:w="18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 Diluted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Per Basic</w:t>
            </w:r>
          </w:p>
        </w:tc>
        <w:tc>
          <w:tcPr>
            <w:tcW w:w="18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Per Diluted</w:t>
            </w: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8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198"/>
        </w:trPr>
        <w:tc>
          <w:tcPr>
            <w:tcW w:w="3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Ultralife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provision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net income attributable to Ultralife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15,875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16,087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15,740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16,225</w:t>
            </w:r>
          </w:p>
        </w:tc>
        <w:tc>
          <w:tcPr>
            <w:tcW w:w="0" w:type="dxa"/>
            <w:vAlign w:val="bottom"/>
          </w:tcPr>
          <w:p>
            <w:pPr>
              <w:spacing w:after="0"/>
              <w:rPr>
                <w:sz w:val="1"/>
                <w:szCs w:val="1"/>
                <w:color w:val="auto"/>
              </w:rPr>
            </w:pPr>
          </w:p>
        </w:tc>
      </w:tr>
      <w:tr>
        <w:trPr>
          <w:trHeight w:val="392"/>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Liquidity and Capital Resources</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As of March 31, 2020, cash totaled $6,109, a decrease of $1,296 as compared to $7,405 of cash held at December 31, 2019, primarily driven by an increase in accounts receivable due to the timing of shipments and collections, and strategic capital investments for our Battery &amp; Energy Products business.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During the three-month period ended March 31, 2020, net cash of $365 was used in operations, driven by a $5,764 increase in accounts receivable primarily relating to the timing of collections attributable to the large government and defense program awards announced in October 2018 for our Communications Systems business. Cash used in operations was largely offset by net income of $1,074, non-cash expenses (depreciation, amortization, stock-based compensation and deferred taxes) totaling $1,212, and a decrease in other working capital of $3,113 primarily driven by an increase in accounts payable.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Cash used in investing activities for the three months ended March 31, 2020 was $445, which included $565 for capital expenditures primarily for investment in automation equipment for our Battery &amp; Energy Products business, including 3-Volt cell and thionyl chloride cell production.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Net cash used by financing activities for the three-months ended March 31, 2020 was $322, consisting of $343 of principle payments against our term loan used to fund the acquisition of SWE partially offset primarily by stock option exercise proceeds of $29.</w:t>
      </w:r>
    </w:p>
    <w:p>
      <w:pPr>
        <w:spacing w:after="0" w:line="3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2020, the Company has significant U.S. net operating loss carryforwards available to utilize as an offset to future taxable income. See Note 8 in the Notes to Consolidated Financial Statements of this Form 10-Q for additional information.</w:t>
      </w:r>
    </w:p>
    <w:p>
      <w:pPr>
        <w:spacing w:after="0" w:line="368" w:lineRule="exact"/>
        <w:rPr>
          <w:sz w:val="20"/>
          <w:szCs w:val="20"/>
          <w:color w:val="auto"/>
        </w:rPr>
      </w:pPr>
    </w:p>
    <w:p>
      <w:pPr>
        <w:jc w:val="both"/>
        <w:ind w:right="340"/>
        <w:spacing w:after="0" w:line="244" w:lineRule="auto"/>
        <w:rPr>
          <w:sz w:val="20"/>
          <w:szCs w:val="20"/>
          <w:color w:val="auto"/>
        </w:rPr>
      </w:pPr>
      <w:r>
        <w:rPr>
          <w:rFonts w:ascii="Times New Roman" w:cs="Times New Roman" w:eastAsia="Times New Roman" w:hAnsi="Times New Roman"/>
          <w:sz w:val="22"/>
          <w:szCs w:val="22"/>
          <w:color w:val="auto"/>
        </w:rPr>
        <w:t>As of March 31, 2020, we had made commitments to purchase approximately $1,253 of production machinery and equipment globally. We are also investing approximately $1 million in the second quarter 2020 for additional test equipment to meet the increased demand for our power supplies for ventilators, respirators and infusion pumps.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While the COVID-19 pandemic poses a high level of uncertainty, Management expects that cash flow generated from future operations, the collection of accounts receivable for the large government and defense award shipments relating to our Communications Systems business and the remaining availability under our Revolving Credit Facility will be sufficient to meet our general funding requirements and capital investments for the foreseeable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Debt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 2019, in connection with financing the SWE acquisition (see Note 4 to the Notes to Consolidated Financial Statements of this Form 10-Q), the Company drew down $8,000 on its Term Loan Facility and $6,782 under its Revolving Credit Facility. As of March 31, 2020, the Company had $6,791 outstanding principal on the Term Loan Facility, of which $1,467 is included in current portion of long-term debt on the balance sheet, and $10,182 outstanding principal on the Revolving Credit Facility. As of March 31, 2020, the Company is in full compliance with all covenants under the Credit Facilities.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2019 Annual Report on Form 10-K should be reviewed for a greater understanding of how our financial performance is recorded and reported.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quarter of 2020, there were no significant changes in the manner in which our significant accounting policies were applied or in which related assumptions and estimates were developed.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smaller reporting company,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Investors should carefully consider the risk factor set forth below in addition to the risk factors described in Part I, Item 1A “Risk Factors” of our Annual Report on Form 10-K for the year ended December 31, 2019, which could adversely affect our business, financial condition and results of operations. Additional risks and uncertainties not currently known to us or that are not currently believed by us to be material may also harm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Our business, operating results and financial condition may be adversely impacted by COVID-19.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The novel coronavirus disease of 2019 (COVID-19) has created significant economic disruption and uncertainty around the world. COVID-19 adversely impacted our operating results in the first quarter of 2020 primarily as a result of an approximately one-month closure of our China facility as mandated by the China government and supply chain disruptions. While the Chinese government has lifted the suspension of business operations in China and we have maintained normal business operations at all our other facilities, the extent to which COVID-19 may impact our business is uncertain and will depend on many evolving factors which we continue to monitor but cannot predict, including the duration and scope of the pandemic and actions taken by governments, businesses and individuals in response to the pandemic. Potential effects of COVID-19 which may adversely impact our business include limited availability and/or increased cost of raw materials and components used in our products, reduced demand and/or pricing for our products, inability of our customers to pay or remain solvent, reduced availability of our workforce, and increased cyber threats to our information technology infrastructure. Prolonged adverse effects of COVID-19 on our business could result in the impairment of long-lived assets including goodwill and other intangible assets. While we continue to closely monitor the developments surrounding COVID-19 and take actions to mitigate the business risks involved, the potential effects of COVID-19 on our business, alone or taken together, pose material risk to our future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14"/>
        </w:trPr>
        <w:tc>
          <w:tcPr>
            <w:tcW w:w="2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4"/>
        </w:trPr>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Index</w:t>
            </w:r>
          </w:p>
        </w:tc>
        <w:tc>
          <w:tcPr>
            <w:tcW w:w="4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Exhibit Description</w:t>
            </w:r>
          </w:p>
        </w:tc>
        <w:tc>
          <w:tcPr>
            <w:tcW w:w="1640" w:type="dxa"/>
            <w:vAlign w:val="bottom"/>
          </w:tcPr>
          <w:p>
            <w:pPr>
              <w:spacing w:after="0"/>
              <w:rPr>
                <w:sz w:val="20"/>
                <w:szCs w:val="20"/>
                <w:color w:val="auto"/>
              </w:rPr>
            </w:pPr>
          </w:p>
        </w:tc>
        <w:tc>
          <w:tcPr>
            <w:tcW w:w="3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Incorporated by Reference from</w:t>
            </w:r>
          </w:p>
        </w:tc>
        <w:tc>
          <w:tcPr>
            <w:tcW w:w="280" w:type="dxa"/>
            <w:vAlign w:val="bottom"/>
          </w:tcPr>
          <w:p>
            <w:pPr>
              <w:spacing w:after="0"/>
              <w:rPr>
                <w:sz w:val="20"/>
                <w:szCs w:val="20"/>
                <w:color w:val="auto"/>
              </w:rPr>
            </w:pPr>
          </w:p>
        </w:tc>
      </w:tr>
      <w:tr>
        <w:trPr>
          <w:trHeight w:val="218"/>
        </w:trPr>
        <w:tc>
          <w:tcPr>
            <w:tcW w:w="280" w:type="dxa"/>
            <w:vAlign w:val="bottom"/>
          </w:tcPr>
          <w:p>
            <w:pPr>
              <w:spacing w:after="0"/>
              <w:rPr>
                <w:sz w:val="18"/>
                <w:szCs w:val="18"/>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8"/>
                <w:szCs w:val="18"/>
                <w:color w:val="auto"/>
              </w:rPr>
            </w:pPr>
          </w:p>
        </w:tc>
        <w:tc>
          <w:tcPr>
            <w:tcW w:w="374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Rule 13a-14(a) / 15d-14(a) CEO Certifications</w:t>
              </w:r>
            </w:hyperlink>
          </w:p>
        </w:tc>
        <w:tc>
          <w:tcPr>
            <w:tcW w:w="1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280" w:type="dxa"/>
            <w:vAlign w:val="bottom"/>
          </w:tcPr>
          <w:p>
            <w:pPr>
              <w:spacing w:after="0"/>
              <w:rPr>
                <w:sz w:val="18"/>
                <w:szCs w:val="18"/>
                <w:color w:val="auto"/>
              </w:rPr>
            </w:pPr>
          </w:p>
        </w:tc>
      </w:tr>
      <w:tr>
        <w:trPr>
          <w:trHeight w:val="234"/>
        </w:trPr>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31.2</w:t>
            </w:r>
          </w:p>
        </w:tc>
        <w:tc>
          <w:tcPr>
            <w:tcW w:w="4040" w:type="dxa"/>
            <w:vAlign w:val="bottom"/>
            <w:gridSpan w:val="2"/>
          </w:tcPr>
          <w:p>
            <w:pPr>
              <w:ind w:left="30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Rule 13a-14(a) / 15d-14(a) CFO Certifications</w:t>
              </w:r>
            </w:hyperlink>
          </w:p>
        </w:tc>
        <w:tc>
          <w:tcPr>
            <w:tcW w:w="1640" w:type="dxa"/>
            <w:vAlign w:val="bottom"/>
          </w:tcPr>
          <w:p>
            <w:pPr>
              <w:spacing w:after="0"/>
              <w:rPr>
                <w:sz w:val="20"/>
                <w:szCs w:val="20"/>
                <w:color w:val="auto"/>
              </w:rPr>
            </w:pPr>
          </w:p>
        </w:tc>
        <w:tc>
          <w:tcPr>
            <w:tcW w:w="3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280" w:type="dxa"/>
            <w:vAlign w:val="bottom"/>
          </w:tcPr>
          <w:p>
            <w:pPr>
              <w:spacing w:after="0"/>
              <w:rPr>
                <w:sz w:val="20"/>
                <w:szCs w:val="20"/>
                <w:color w:val="auto"/>
              </w:rPr>
            </w:pPr>
          </w:p>
        </w:tc>
      </w:tr>
      <w:tr>
        <w:trPr>
          <w:trHeight w:val="243"/>
        </w:trPr>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32</w:t>
            </w:r>
          </w:p>
        </w:tc>
        <w:tc>
          <w:tcPr>
            <w:tcW w:w="4040" w:type="dxa"/>
            <w:vAlign w:val="bottom"/>
            <w:gridSpan w:val="2"/>
          </w:tcPr>
          <w:p>
            <w:pPr>
              <w:ind w:left="30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Section 1350 Certifications</w:t>
              </w:r>
            </w:hyperlink>
          </w:p>
        </w:tc>
        <w:tc>
          <w:tcPr>
            <w:tcW w:w="1640" w:type="dxa"/>
            <w:vAlign w:val="bottom"/>
          </w:tcPr>
          <w:p>
            <w:pPr>
              <w:spacing w:after="0"/>
              <w:rPr>
                <w:sz w:val="21"/>
                <w:szCs w:val="21"/>
                <w:color w:val="auto"/>
              </w:rPr>
            </w:pPr>
          </w:p>
        </w:tc>
        <w:tc>
          <w:tcPr>
            <w:tcW w:w="3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28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XBRL Instance Document</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XBRL Taxonomy Presentation Linkbase Document</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XBRL Taxonomy Definition Document</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459"/>
        </w:trPr>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w w:val="88"/>
              </w:rPr>
              <w:t>27</w:t>
            </w:r>
          </w:p>
        </w:tc>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80" w:type="dxa"/>
            <w:vAlign w:val="bottom"/>
            <w:gridSpan w:val="4"/>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ULTRALIFE CORPORATION</w:t>
            </w:r>
          </w:p>
        </w:tc>
      </w:tr>
      <w:tr>
        <w:trPr>
          <w:trHeight w:val="237"/>
        </w:trPr>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2660" w:type="dxa"/>
            <w:vAlign w:val="bottom"/>
          </w:tcPr>
          <w:p>
            <w:pPr>
              <w:spacing w:after="0"/>
              <w:rPr>
                <w:sz w:val="20"/>
                <w:szCs w:val="20"/>
                <w:color w:val="auto"/>
              </w:rPr>
            </w:pPr>
          </w:p>
        </w:tc>
      </w:tr>
      <w:tr>
        <w:trPr>
          <w:trHeight w:val="392"/>
        </w:trPr>
        <w:tc>
          <w:tcPr>
            <w:tcW w:w="3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Date: April 30, 2020</w:t>
            </w:r>
          </w:p>
        </w:tc>
        <w:tc>
          <w:tcPr>
            <w:tcW w:w="7960" w:type="dxa"/>
            <w:vAlign w:val="bottom"/>
            <w:gridSpan w:val="6"/>
          </w:tcPr>
          <w:p>
            <w:pPr>
              <w:ind w:left="1300"/>
              <w:spacing w:after="0"/>
              <w:rPr>
                <w:sz w:val="20"/>
                <w:szCs w:val="20"/>
                <w:color w:val="auto"/>
              </w:rPr>
            </w:pPr>
            <w:r>
              <w:rPr>
                <w:rFonts w:ascii="Times New Roman" w:cs="Times New Roman" w:eastAsia="Times New Roman" w:hAnsi="Times New Roman"/>
                <w:sz w:val="18"/>
                <w:szCs w:val="18"/>
                <w:color w:val="auto"/>
              </w:rPr>
              <w:t>By: /s/ Michael D. Popielec</w:t>
            </w:r>
          </w:p>
        </w:tc>
      </w:tr>
      <w:tr>
        <w:trPr>
          <w:trHeight w:val="218"/>
        </w:trPr>
        <w:tc>
          <w:tcPr>
            <w:tcW w:w="9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80" w:type="dxa"/>
            <w:vAlign w:val="bottom"/>
            <w:tcBorders>
              <w:top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Michael D. Popielec</w:t>
            </w:r>
          </w:p>
        </w:tc>
        <w:tc>
          <w:tcPr>
            <w:tcW w:w="3280" w:type="dxa"/>
            <w:vAlign w:val="bottom"/>
            <w:gridSpan w:val="2"/>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3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3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92"/>
        </w:trPr>
        <w:tc>
          <w:tcPr>
            <w:tcW w:w="3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Date: April 30, 2020</w:t>
            </w:r>
          </w:p>
        </w:tc>
        <w:tc>
          <w:tcPr>
            <w:tcW w:w="7960" w:type="dxa"/>
            <w:vAlign w:val="bottom"/>
            <w:gridSpan w:val="6"/>
          </w:tcPr>
          <w:p>
            <w:pPr>
              <w:ind w:left="130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8"/>
        </w:trPr>
        <w:tc>
          <w:tcPr>
            <w:tcW w:w="9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Philip A. Fain</w:t>
            </w:r>
          </w:p>
        </w:tc>
        <w:tc>
          <w:tcPr>
            <w:tcW w:w="3300" w:type="dxa"/>
            <w:vAlign w:val="bottom"/>
            <w:gridSpan w:val="3"/>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3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3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960" w:type="dxa"/>
            <w:vAlign w:val="bottom"/>
            <w:gridSpan w:val="6"/>
          </w:tcPr>
          <w:p>
            <w:pPr>
              <w:ind w:left="148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48"/>
        </w:trPr>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28</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15"/>
        </w:trPr>
        <w:tc>
          <w:tcPr>
            <w:tcW w:w="9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958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Definition Document</w:t>
            </w:r>
          </w:p>
        </w:tc>
      </w:tr>
      <w:tr>
        <w:trPr>
          <w:trHeight w:val="648"/>
        </w:trPr>
        <w:tc>
          <w:tcPr>
            <w:tcW w:w="820" w:type="dxa"/>
            <w:vAlign w:val="bottom"/>
          </w:tcPr>
          <w:p>
            <w:pPr>
              <w:spacing w:after="0"/>
              <w:rPr>
                <w:sz w:val="24"/>
                <w:szCs w:val="24"/>
                <w:color w:val="auto"/>
              </w:rPr>
            </w:pPr>
          </w:p>
        </w:tc>
        <w:tc>
          <w:tcPr>
            <w:tcW w:w="958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0400"/>
          </w:cols>
          <w:pgMar w:left="980" w:top="576"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Popielec, certify that:</w:t>
      </w:r>
    </w:p>
    <w:p>
      <w:pPr>
        <w:spacing w:after="0" w:line="216"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quarterly report on Form 10-Q of Ultralife Corporation;</w:t>
      </w:r>
    </w:p>
    <w:p>
      <w:pPr>
        <w:spacing w:after="0" w:line="24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27"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181" w:lineRule="exact"/>
        <w:rPr>
          <w:sz w:val="20"/>
          <w:szCs w:val="20"/>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April 30, 2020</w:t>
            </w:r>
          </w:p>
        </w:tc>
        <w:tc>
          <w:tcPr>
            <w:tcW w:w="46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By: /s/ Michael D. Popielec</w:t>
            </w:r>
          </w:p>
        </w:tc>
      </w:tr>
      <w:tr>
        <w:trPr>
          <w:trHeight w:val="218"/>
        </w:trPr>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Michael D. Popielec</w:t>
            </w:r>
          </w:p>
        </w:tc>
        <w:tc>
          <w:tcPr>
            <w:tcW w:w="2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16"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quarterly report on Form 10-Q of Ultralife Corporation;</w:t>
      </w:r>
    </w:p>
    <w:p>
      <w:pPr>
        <w:spacing w:after="0" w:line="24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27"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181" w:lineRule="exact"/>
        <w:rPr>
          <w:sz w:val="20"/>
          <w:szCs w:val="20"/>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April 30, 2020</w:t>
            </w:r>
          </w:p>
        </w:tc>
        <w:tc>
          <w:tcPr>
            <w:tcW w:w="46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8"/>
        </w:trPr>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7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Philip A. Fain</w:t>
            </w:r>
          </w:p>
        </w:tc>
        <w:tc>
          <w:tcPr>
            <w:tcW w:w="28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Chief Financial Officer and Treasurer</w:t>
            </w:r>
          </w:p>
        </w:tc>
      </w:tr>
    </w:tbl>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March 31, 2020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April 30, 2020</w:t>
            </w:r>
          </w:p>
        </w:tc>
        <w:tc>
          <w:tcPr>
            <w:tcW w:w="468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rPr>
              <w:t>By: /s/ Michael D. Popielec</w:t>
            </w:r>
          </w:p>
        </w:tc>
      </w:tr>
      <w:tr>
        <w:trPr>
          <w:trHeight w:val="218"/>
        </w:trPr>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Michael D. Popielec</w:t>
            </w:r>
          </w:p>
        </w:tc>
        <w:tc>
          <w:tcPr>
            <w:tcW w:w="8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392"/>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April 30, 2020</w:t>
            </w:r>
          </w:p>
        </w:tc>
        <w:tc>
          <w:tcPr>
            <w:tcW w:w="468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8"/>
        </w:trPr>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9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Philip A. Fain</w:t>
            </w:r>
          </w:p>
        </w:tc>
        <w:tc>
          <w:tcPr>
            <w:tcW w:w="100" w:type="dxa"/>
            <w:vAlign w:val="bottom"/>
            <w:gridSpan w:val="2"/>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12"/>
    </w:lvl>
  </w:abstractNum>
  <w:abstractNum w:abstractNumId="13">
    <w:nsid w:val="4E6AFB66"/>
    <w:multiLevelType w:val="hybridMultilevel"/>
    <w:lvl w:ilvl="0">
      <w:lvlJc w:val="left"/>
      <w:lvlText w:val="1"/>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3"/>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2020-04-30T06:09:06Z</dcterms:created>
  <dcterms:modified xsi:type="dcterms:W3CDTF">2020-04-30T06:09:06Z</dcterms:modified>
</cp:coreProperties>
</file>