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1"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360"/>
        <w:spacing w:after="0"/>
        <w:tabs>
          <w:tab w:leader="none" w:pos="6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3520440</wp:posOffset>
            </wp:positionH>
            <wp:positionV relativeFrom="paragraph">
              <wp:posOffset>-10160</wp:posOffset>
            </wp:positionV>
            <wp:extent cx="1488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0-20852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20" w:type="dxa"/>
            <w:vAlign w:val="bottom"/>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08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62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(315) 332-7100</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(Address of principal executive offices) (Zip Code)</w:t>
            </w:r>
          </w:p>
        </w:tc>
        <w:tc>
          <w:tcPr>
            <w:tcW w:w="4620" w:type="dxa"/>
            <w:vAlign w:val="bottom"/>
          </w:tcPr>
          <w:p>
            <w:pPr>
              <w:jc w:val="center"/>
              <w:ind w:left="69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20" w:right="339" w:bottom="1440" w:gutter="0" w:footer="0" w:header="0"/>
        </w:sectPr>
      </w:pP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260" w:space="720"/>
            <w:col w:w="2020" w:space="720"/>
            <w:col w:w="3520"/>
          </w:cols>
          <w:pgMar w:left="320" w:top="1120" w:right="339" w:bottom="1440" w:gutter="0" w:footer="0" w:header="0"/>
          <w:type w:val="continuous"/>
        </w:sectPr>
      </w:pPr>
    </w:p>
    <w:p>
      <w:pPr>
        <w:spacing w:after="0" w:line="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20"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20" w:right="3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40" w:space="720"/>
            <w:col w:w="5380"/>
          </w:cols>
          <w:pgMar w:left="320" w:top="1120" w:right="339" w:bottom="1440" w:gutter="0" w:footer="0" w:header="0"/>
          <w:type w:val="continuous"/>
        </w:sectPr>
      </w:pPr>
    </w:p>
    <w:p>
      <w:pPr>
        <w:spacing w:after="0" w:line="48" w:lineRule="exact"/>
        <w:rPr>
          <w:sz w:val="24"/>
          <w:szCs w:val="24"/>
          <w:color w:val="auto"/>
        </w:rPr>
      </w:pPr>
    </w:p>
    <w:p>
      <w:pPr>
        <w:ind w:left="5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120" w:right="339" w:bottom="1440" w:gutter="0" w:footer="0" w:header="0"/>
          <w:type w:val="continuous"/>
        </w:sectPr>
      </w:pP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October 26, 2021, the registrant had 16,080,749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9900" w:type="dxa"/>
            <w:vAlign w:val="bottom"/>
          </w:tcPr>
          <w:p>
            <w:pPr>
              <w:spacing w:after="0"/>
              <w:rPr>
                <w:sz w:val="17"/>
                <w:szCs w:val="17"/>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b w:val="1"/>
                <w:bCs w:val="1"/>
                <w:color w:val="auto"/>
              </w:rPr>
              <w:t>Page</w:t>
            </w:r>
          </w:p>
        </w:tc>
      </w:tr>
      <w:tr>
        <w:trPr>
          <w:trHeight w:val="21"/>
        </w:trPr>
        <w:tc>
          <w:tcPr>
            <w:tcW w:w="8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 (unaudited):</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September 30, 2021 and December 31, 2020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0" w:type="dxa"/>
            <w:vAlign w:val="bottom"/>
            <w:shd w:val="clear" w:color="auto" w:fill="CCEEFF"/>
          </w:tcPr>
          <w:p>
            <w:pPr>
              <w:spacing w:after="0"/>
              <w:rPr>
                <w:sz w:val="17"/>
                <w:szCs w:val="17"/>
                <w:color w:val="auto"/>
              </w:rPr>
            </w:pPr>
          </w:p>
        </w:tc>
        <w:tc>
          <w:tcPr>
            <w:tcW w:w="99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Consolidated Statements of (Loss) Income and Comprehensive (Loss) Income for the Three and Nine-Month Periods Ended September</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0" w:type="dxa"/>
            <w:vAlign w:val="bottom"/>
            <w:shd w:val="clear" w:color="auto" w:fill="CCEEFF"/>
          </w:tcPr>
          <w:p>
            <w:pPr>
              <w:spacing w:after="0"/>
              <w:rPr>
                <w:sz w:val="20"/>
                <w:szCs w:val="20"/>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 2021 and September 30, 2020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Nine-Month Periods Ended September 30, 2021 and September 30, 2020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0" w:type="dxa"/>
            <w:vAlign w:val="bottom"/>
            <w:shd w:val="clear" w:color="auto" w:fill="CCEEFF"/>
          </w:tcPr>
          <w:p>
            <w:pPr>
              <w:spacing w:after="0"/>
              <w:rPr>
                <w:sz w:val="17"/>
                <w:szCs w:val="17"/>
                <w:color w:val="auto"/>
              </w:rPr>
            </w:pPr>
          </w:p>
        </w:tc>
        <w:tc>
          <w:tcPr>
            <w:tcW w:w="99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Consolidated Statements of Changes in Stockholders’ Equity for the Three and Nine-Month Periods Ended September 30, 2021 and</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0" w:type="dxa"/>
            <w:vAlign w:val="bottom"/>
            <w:shd w:val="clear" w:color="auto" w:fill="CCEEFF"/>
          </w:tcPr>
          <w:p>
            <w:pPr>
              <w:spacing w:after="0"/>
              <w:rPr>
                <w:sz w:val="20"/>
                <w:szCs w:val="20"/>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30, 2020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9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r>
      <w:tr>
        <w:trPr>
          <w:trHeight w:val="574"/>
        </w:trPr>
        <w:tc>
          <w:tcPr>
            <w:tcW w:w="82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$334 and $317, respectively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21,054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23,035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22,850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137,701</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 par value $.10 per share; authorized 40,000,000 shares; issued – 20,513,344 shares at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w w:val="92"/>
              </w:rPr>
              <w:t>September 30, 2021 and 20,373,519 shares at December 31, 2020; outstanding – 16,080,749 shares at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September 30, 2021 and 15,959,984 shares at December 31, 2020</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185,464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(46,701)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(47,598)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2"/>
              </w:rPr>
              <w:t>Treasury stock - at cost; 4,432,595 shares at September 30, 2021 and 4,413,535 shares at December 31,</w:t>
            </w:r>
          </w:p>
        </w:tc>
        <w:tc>
          <w:tcPr>
            <w:tcW w:w="140" w:type="dxa"/>
            <w:vAlign w:val="bottom"/>
          </w:tcPr>
          <w:p>
            <w:pPr>
              <w:spacing w:after="0"/>
              <w:rPr>
                <w:sz w:val="17"/>
                <w:szCs w:val="17"/>
                <w:color w:val="auto"/>
              </w:rPr>
            </w:pP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(21,469)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17"/>
        </w:trPr>
        <w:tc>
          <w:tcPr>
            <w:tcW w:w="8000" w:type="dxa"/>
            <w:vAlign w:val="bottom"/>
          </w:tcPr>
          <w:p>
            <w:pPr>
              <w:ind w:left="3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Ultralife Corporation equity</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116,923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9600" w:type="dxa"/>
            <w:vAlign w:val="bottom"/>
            <w:gridSpan w:val="4"/>
          </w:tcPr>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Nine-month period ended</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16,653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17,851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55,151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56,928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21,808</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5,887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17,322</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 (benefit) provision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Ultralife Corporation</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 attributable to Ultralife Corporation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 xml:space="preserve">Net (loss) income per share attributable to Ultralife common stockholders </w:t>
            </w:r>
            <w:r>
              <w:rPr>
                <w:rFonts w:ascii="Arial" w:cs="Arial" w:eastAsia="Arial" w:hAnsi="Arial"/>
                <w:sz w:val="18"/>
                <w:szCs w:val="18"/>
                <w:color w:val="auto"/>
                <w:w w:val="92"/>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line="194" w:lineRule="exact"/>
              <w:rPr>
                <w:sz w:val="20"/>
                <w:szCs w:val="20"/>
                <w:color w:val="auto"/>
              </w:rPr>
            </w:pPr>
            <w:r>
              <w:rPr>
                <w:rFonts w:ascii="Arial" w:cs="Arial" w:eastAsia="Arial" w:hAnsi="Arial"/>
                <w:sz w:val="18"/>
                <w:szCs w:val="18"/>
                <w:b w:val="1"/>
                <w:bCs w:val="1"/>
                <w:color w:val="auto"/>
              </w:rPr>
              <w:t>basic</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 xml:space="preserve">Net (loss) income per share attributable to Ultralife common stockholders </w:t>
            </w:r>
            <w:r>
              <w:rPr>
                <w:rFonts w:ascii="Arial" w:cs="Arial" w:eastAsia="Arial" w:hAnsi="Arial"/>
                <w:sz w:val="18"/>
                <w:szCs w:val="18"/>
                <w:color w:val="auto"/>
                <w:w w:val="92"/>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line="194" w:lineRule="exact"/>
              <w:rPr>
                <w:sz w:val="20"/>
                <w:szCs w:val="20"/>
                <w:color w:val="auto"/>
              </w:rPr>
            </w:pPr>
            <w:r>
              <w:rPr>
                <w:rFonts w:ascii="Arial" w:cs="Arial" w:eastAsia="Arial" w:hAnsi="Arial"/>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Weighted average shares outstanding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16,065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Potential common shares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16,065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16,089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Nine-month period ended</w:t>
            </w:r>
          </w:p>
        </w:tc>
      </w:tr>
      <w:tr>
        <w:trPr>
          <w:trHeight w:val="191"/>
        </w:trPr>
        <w:tc>
          <w:tcPr>
            <w:tcW w:w="8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financing fees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15,094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r>
      <w:tr>
        <w:trPr>
          <w:trHeight w:val="210"/>
        </w:trPr>
        <w:tc>
          <w:tcPr>
            <w:tcW w:w="800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21,491</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 of credit facilities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(13,461)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Tax withholdings on stock-based awards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(13,258)</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15,853</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13,777</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204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00" w:type="dxa"/>
            <w:vAlign w:val="bottom"/>
          </w:tcPr>
          <w:p>
            <w:pPr>
              <w:spacing w:after="0"/>
              <w:rPr>
                <w:sz w:val="19"/>
                <w:szCs w:val="19"/>
                <w:color w:val="auto"/>
              </w:rPr>
            </w:pPr>
          </w:p>
        </w:tc>
        <w:tc>
          <w:tcPr>
            <w:tcW w:w="2040" w:type="dxa"/>
            <w:vAlign w:val="bottom"/>
            <w:gridSpan w:val="6"/>
            <w:vMerge w:val="continue"/>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in Excess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of Par</w:t>
            </w:r>
          </w:p>
        </w:tc>
        <w:tc>
          <w:tcPr>
            <w:tcW w:w="146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80" w:type="dxa"/>
            <w:vAlign w:val="bottom"/>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92"/>
              </w:rPr>
              <w:t>Treasury</w:t>
            </w:r>
          </w:p>
        </w:tc>
        <w:tc>
          <w:tcPr>
            <w:tcW w:w="118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 2019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20,268,050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184,292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(21,231)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109,750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 stock</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20,331,348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185,261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(49,706)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(21,246)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113,837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 2020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20,373,519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185,464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(47,598)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(21,321)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116,923</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127,324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compensation – stock</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Stock-based compensation -</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27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20,513,344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186,360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(21,469)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118,546</w:t>
            </w:r>
          </w:p>
        </w:tc>
        <w:tc>
          <w:tcPr>
            <w:tcW w:w="0" w:type="dxa"/>
            <w:vAlign w:val="bottom"/>
          </w:tcPr>
          <w:p>
            <w:pPr>
              <w:spacing w:after="0"/>
              <w:rPr>
                <w:sz w:val="1"/>
                <w:szCs w:val="1"/>
                <w:color w:val="auto"/>
              </w:rPr>
            </w:pPr>
          </w:p>
        </w:tc>
      </w:tr>
      <w:tr>
        <w:trPr>
          <w:trHeight w:val="197"/>
        </w:trPr>
        <w:tc>
          <w:tcPr>
            <w:tcW w:w="27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20,297,182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184,900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(21,246)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112,334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 stock</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 2020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20,331,348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185,261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(49,706)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(21,246)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113,837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20,474,676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186,138</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(46,116)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(21,388)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119,237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compensation – stock</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Stock-based compensation -</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7"/>
        </w:trPr>
        <w:tc>
          <w:tcPr>
            <w:tcW w:w="27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20,513,344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186,360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(21,469)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118,546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of Ultralife Corporation and its subsidiaries (the “Company”, “Ultralife”, “we” or “our”)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any subsequent interim period or the full year. Reference should be made to the Consolidated Financial Statements and related notes thereto contained in our Form 10-K for the year ended December 31, 2020.</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December 31, 2020 consolidated balance sheet information referenced herein was derived from audited Consolidated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2021, the Company adopted Accounting Standards Update (“ASU”) 2019-12, “Simplifying the Accounting for Income Taxes (Topic 740)”. ASU 2019-12 removes certain exceptions to the general principles in Topic 740 and clarifies and amends existing guidance to improve consistent application. Adoption of the new standard did not materially impact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1, 2019, Ultralife, Southwest Electronic Energy Corporation, a Texas corporation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 had $288 outstanding principal on the Term Loan Facility, all of which is included in current portion of long-term debt on the Consolidated Balance Sheet, and no amounts outstanding on the Revolving Credit Facility. As of September 30, 2021, total unamortized debt issuance costs of $35 associated with the Amended Credit Agreement, including placement, renewal and legal fees, are classified as a reduction of the current portion of long-term debt on the Consolidated Balance Sheet. Debt issuance costs are amortized to interest expense over the remaining term of the Credit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 Company is required to repay the borrowings under the Term Loan Facility in sixty (60) equal consecutive monthly payments which commenced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 The Company made voluntary prepayments of $4,200 during the year ended December 31, 2020. No voluntary prepayments were made during the nine months ended September 30,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equal to or greater than 1.15 to 1.0, and a consolidated senior leverage ratio equal to or less than 2.5 to 1.0, each as defined in the Amended Credit Agreement. The Company was in full compliance with its covenants under the Amended Credit Agreement as of September 30,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100 basis points. The applicable margin ranges from zero (0)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quarterly fee of 0.1% to 0.2% based on the average daily unused availability under the Revolving Credit Facility.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(“EPS”) is computed by dividing net income attributable to Ultralife by the weighted-average shares outstanding during the period. Diluted EPS includes the dilutive effect of securities, if any, and is calculated using the treasury stock method.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three-month period ended September 30, 2021, there were no outstanding stock awards included in the calculation of diluted weighted average shares outstanding and no potential common shares included in the calculation of diluted EPS, as no securities were dilutive. There were 1,064,656 outstanding stock options and 14,164 unvested restricted stock awards not included in the calculation of diluted EPS for the three-month period ended September 30, 2021, as the effect would be antidilutive. For the comparable three-month period ended September 30, 2020, 831,244 outstanding stock options and 19,165 outstanding restricted stock awards were included in the calculation of diluted weighted average shares outstanding, resulting in 181,270 potential common shares included in the calculation of diluted EPS. There were 898,167 outstanding stock options not included in the calculation of diluted EPS for the three-month period ended September 30, 2020, as the effect would be antidilutive.</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nine-month period ended September 30, 2021, there were 598,489 outstanding stock options and 14,164 outstanding restricted stock awards included in the calculation of diluted weighted average shares outstanding, resulting in 179,951 potential common shares included in the calculation of diluted EPS. For the nine-month period ended September 30, 2020, there were 831,244 outstanding stock options and 19,165 outstanding restricted stock awards included in the calculation of diluted weighted average shares outstanding, resulting in 213,574 potential common shares included in the calculation of diluted EPS. There were 466,167 and 898,167 outstanding stock options not included in the calculation of diluted EPS for the nine-month periods ended September 30, 2021 and September 30, 2020, respectively, as the effect would be antidilutive.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ind w:right="6640" w:firstLine="8"/>
        <w:spacing w:after="0" w:line="530" w:lineRule="auto"/>
        <w:tabs>
          <w:tab w:leader="none" w:pos="324"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approximated their carrying values at September 30, 2021 and December 31, 2020. The fair value of cash, accounts receivable, accounts payable, accrued liabilities, and the current portion of long-term debt approximates carrying value due to the short-term nature of these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15,766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10,562</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49"/>
        </w:trPr>
        <w:tc>
          <w:tcPr>
            <w:tcW w:w="50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and December 31, 2020, restricted cash included $87 and $91, respectively, of euro-denominated deposits withheld by the Dutch tax authorities and third-party value-added tax (VAT) representatives in connection with a previously utilized logistics arrangement in the Netherlands. Restricted cash is included as a component of the cash balance for purposes of the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net realizable value, net of obsolescence reserves, with cost determined under the first-in, first-out (FIFO)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 The composition of inventories, net was: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Work in process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28,179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2"/>
            <w:vMerge w:val="continue"/>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Major classes of property, plant and equipment consisted of the following:</w:t>
            </w: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15,425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(67,387)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23,035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0" w:type="dxa"/>
            <w:vAlign w:val="bottom"/>
          </w:tcPr>
          <w:p>
            <w:pPr>
              <w:spacing w:after="0"/>
              <w:rPr>
                <w:sz w:val="24"/>
                <w:szCs w:val="24"/>
                <w:color w:val="auto"/>
              </w:rPr>
            </w:pPr>
          </w:p>
        </w:tc>
        <w:tc>
          <w:tcPr>
            <w:tcW w:w="496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2110"/>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7"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4"/>
              </w:rPr>
              <w:t>Depreciation expense for property, plant and equipment was as follows: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Three-month period ended</w:t>
            </w:r>
          </w:p>
        </w:tc>
        <w:tc>
          <w:tcPr>
            <w:tcW w:w="120" w:type="dxa"/>
            <w:vAlign w:val="bottom"/>
          </w:tcPr>
          <w:p>
            <w:pPr>
              <w:spacing w:after="0"/>
              <w:rPr>
                <w:sz w:val="24"/>
                <w:szCs w:val="24"/>
                <w:color w:val="auto"/>
              </w:rPr>
            </w:pPr>
          </w:p>
        </w:tc>
        <w:tc>
          <w:tcPr>
            <w:tcW w:w="25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6"/>
              </w:rPr>
              <w:t>Nine-month period ended</w:t>
            </w:r>
          </w:p>
        </w:tc>
      </w:tr>
      <w:tr>
        <w:trPr>
          <w:trHeight w:val="191"/>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nine-month period ended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Communications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w:t>
            </w:r>
          </w:p>
        </w:tc>
      </w:tr>
      <w:tr>
        <w:trPr>
          <w:trHeight w:val="216"/>
        </w:trPr>
        <w:tc>
          <w:tcPr>
            <w:tcW w:w="34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26,998</w:t>
            </w:r>
          </w:p>
        </w:tc>
      </w:tr>
      <w:tr>
        <w:trPr>
          <w:trHeight w:val="20"/>
        </w:trPr>
        <w:tc>
          <w:tcPr>
            <w:tcW w:w="34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3"/>
              </w:rPr>
              <w:t>September 30, 2021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11,258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8,725</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10,830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9,209</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change in the cost of total intangible assets from December 31, 2020 to September 30, 2021 is a result of the effect of foreign currency translations.</w:t>
      </w: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4" w:right="5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Amortization expense for other intangible assets was as follows: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Three-month period ended</w:t>
            </w:r>
          </w:p>
        </w:tc>
        <w:tc>
          <w:tcPr>
            <w:tcW w:w="120" w:type="dxa"/>
            <w:vAlign w:val="bottom"/>
          </w:tcPr>
          <w:p>
            <w:pPr>
              <w:spacing w:after="0"/>
              <w:rPr>
                <w:sz w:val="24"/>
                <w:szCs w:val="24"/>
                <w:color w:val="auto"/>
              </w:rPr>
            </w:pPr>
          </w:p>
        </w:tc>
        <w:tc>
          <w:tcPr>
            <w:tcW w:w="25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6"/>
              </w:rPr>
              <w:t>Nine-month period ended</w:t>
            </w:r>
          </w:p>
        </w:tc>
      </w:tr>
      <w:tr>
        <w:trPr>
          <w:trHeight w:val="191"/>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included in: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0"/>
        </w:trPr>
        <w:tc>
          <w:tcPr>
            <w:tcW w:w="16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Total amortization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
        </w:trPr>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Three-month period ended</w:t>
            </w:r>
          </w:p>
        </w:tc>
        <w:tc>
          <w:tcPr>
            <w:tcW w:w="120" w:type="dxa"/>
            <w:vAlign w:val="bottom"/>
          </w:tcPr>
          <w:p>
            <w:pPr>
              <w:spacing w:after="0"/>
              <w:rPr>
                <w:sz w:val="20"/>
                <w:szCs w:val="20"/>
                <w:color w:val="auto"/>
              </w:rPr>
            </w:pPr>
          </w:p>
        </w:tc>
        <w:tc>
          <w:tcPr>
            <w:tcW w:w="25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6"/>
              </w:rPr>
              <w:t>Nine-month period ended</w:t>
            </w:r>
          </w:p>
        </w:tc>
      </w:tr>
      <w:tr>
        <w:trPr>
          <w:trHeight w:val="191"/>
        </w:trPr>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16"/>
                <w:szCs w:val="16"/>
                <w:color w:val="auto"/>
              </w:rPr>
            </w:pP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Restricted stock grants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0"/>
        </w:trPr>
        <w:tc>
          <w:tcPr>
            <w:tcW w:w="5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September 30, 2021, there was $367 of total unrecognized compensation cost related to outstanding stock options, which is expected to be recognized over a weighted average period of 1.1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nine-month period ended September 30, 2021:</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5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5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1,217,163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56,500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8.50</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(184,429)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(24,578)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7.35</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1,064,656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56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September 30, 2021</w:t>
            </w:r>
          </w:p>
        </w:tc>
        <w:tc>
          <w:tcPr>
            <w:tcW w:w="1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995,875</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6.91</w:t>
            </w: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3.71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958</w:t>
            </w:r>
          </w:p>
        </w:tc>
      </w:tr>
      <w:tr>
        <w:trPr>
          <w:trHeight w:val="20"/>
        </w:trPr>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September 30, 2021</w:t>
            </w:r>
          </w:p>
        </w:tc>
        <w:tc>
          <w:tcPr>
            <w:tcW w:w="13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769,123</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6.77</w:t>
            </w:r>
          </w:p>
        </w:tc>
        <w:tc>
          <w:tcPr>
            <w:tcW w:w="14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889</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September 30, 2021 and September 30, 2020 was $84 and $142, respectively. Cash received from stock option exercises under our stock-based compensation plans for the nine-month periods ended September 30, 2021 and September 30, 2020 was $398 and $218, respectively.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2020, 5,000 shares of restricted stock were awarded to an employee at a weighted-average grant date fair value of $6.08 per share. 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(3) years. Unrecognized compensation cost related to these restricted shares was $26 at September 30, 2021, which is expected to be recognized over a weighted average period of 1.3 years.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Our effective income tax rate for the nine-month periods ended September 30, 2021 and September 30, 2020 was 24.4% and 23.9% respectively. The period-over-period change was primarily attributable to the geographic mix of earnings and incentive stock options.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December 31, 2020, we have domestic net operating loss (“NOL”) carryforwards of $47,755, which expire 2021 through 2035, and domestic tax credits of $2,070, which expire 2028 through 2039, available to reduce future taxable income. As of September 30, 2021, management has concluded it is more likely than not that these domestic NOL and credit carryforwards will be fully utilized.</w:t>
      </w:r>
    </w:p>
    <w:p>
      <w:pPr>
        <w:spacing w:after="0" w:line="1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September 30, 2021, for certain past operations in the U.K., we continue to report a valuation allowance for NOL carryforwards of approximately $11,000, nearly all of which can be carried forward indefinitely. Utilization of the NOLs may be limited due to the change in the past U.K. operation and cannot currently be used to reduce taxable income at our other U.K. subsidiary, Accutronics Ltd. There are no other deferred tax assets related to the past U.K. operations.</w:t>
      </w:r>
    </w:p>
    <w:p>
      <w:pPr>
        <w:spacing w:after="0" w:line="18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September 30, 2021, we have not recognized a valuation allowance against our other foreign deferred tax assets, as realization is considered to be more likely than not.</w:t>
      </w:r>
    </w:p>
    <w:p>
      <w:pPr>
        <w:spacing w:after="0" w:line="17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September 30, 2021, the Company maintains its assertion that all foreign earnings will be indefinitely reinvested in those operations, other than earnings generated in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September 30, 2021 and December 31, 2020.</w:t>
      </w:r>
    </w:p>
    <w:p>
      <w:pPr>
        <w:spacing w:after="0" w:line="225"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 and 2020 remain subject to IRS examination. Our U.S. tax matters for 2001, 2002, 2005-2007 and 2011-2015 also remain subject to IRS examination due to the remaining availability of NOL carryforwards generated in those years. Our U.S. tax matters for 2001, 2002, 2005-2007 and 2011-2020 remain subject to examination by various state and local tax jurisdictions. Our tax matters for the years 2010 through 2020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has operating leases predominantly for operating facilities. As of September 30, 2021, the remaining lease terms on our operating leases range from less than one (1) year to three (3) years. Renewal options not yet exercised and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80" w:type="dxa"/>
            <w:vAlign w:val="bottom"/>
            <w:gridSpan w:val="7"/>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September</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September</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September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30, 2021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30, 2020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30, 2021</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Variable lease cost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07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rPr>
              <w:t>September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left="210"/>
              <w:spacing w:after="0" w:line="191" w:lineRule="exact"/>
              <w:rPr>
                <w:sz w:val="20"/>
                <w:szCs w:val="20"/>
                <w:color w:val="auto"/>
              </w:rPr>
            </w:pPr>
            <w:r>
              <w:rPr>
                <w:rFonts w:ascii="Arial" w:cs="Arial" w:eastAsia="Arial" w:hAnsi="Arial"/>
                <w:sz w:val="18"/>
                <w:szCs w:val="18"/>
                <w:b w:val="1"/>
                <w:bCs w:val="1"/>
                <w:color w:val="auto"/>
                <w:w w:val="90"/>
              </w:rPr>
              <w:t>September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30, 2021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30, 2020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550</w:t>
            </w:r>
          </w:p>
        </w:tc>
        <w:tc>
          <w:tcPr>
            <w:tcW w:w="11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506</w:t>
            </w:r>
          </w:p>
        </w:tc>
        <w:tc>
          <w:tcPr>
            <w:tcW w:w="10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left w:val="single" w:sz="8" w:color="CCEEFF"/>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6"/>
        </w:trPr>
        <w:tc>
          <w:tcPr>
            <w:tcW w:w="7280" w:type="dxa"/>
            <w:vAlign w:val="bottom"/>
            <w:gridSpan w:val="6"/>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98"/>
              </w:rPr>
              <w:t>September</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w w:val="89"/>
              </w:rPr>
              <w:t>December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3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30, 2021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9"/>
              </w:rPr>
              <w:t>31, 2020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tcPr>
          <w:p>
            <w:pPr>
              <w:ind w:left="340"/>
              <w:spacing w:after="0"/>
              <w:rPr>
                <w:sz w:val="20"/>
                <w:szCs w:val="20"/>
                <w:color w:val="auto"/>
              </w:rPr>
            </w:pPr>
            <w:r>
              <w:rPr>
                <w:rFonts w:ascii="Arial" w:cs="Arial" w:eastAsia="Arial" w:hAnsi="Arial"/>
                <w:sz w:val="18"/>
                <w:szCs w:val="18"/>
                <w:color w:val="auto"/>
              </w:rPr>
              <w:t>Operating lease right-of-use asset</w:t>
            </w:r>
          </w:p>
        </w:tc>
        <w:tc>
          <w:tcPr>
            <w:tcW w:w="33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1,711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operating lease liability</w:t>
            </w:r>
          </w:p>
        </w:tc>
        <w:tc>
          <w:tcPr>
            <w:tcW w:w="3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Accrued expenses and other current liabilities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10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tcPr>
          <w:p>
            <w:pPr>
              <w:ind w:left="340"/>
              <w:spacing w:after="0"/>
              <w:rPr>
                <w:sz w:val="20"/>
                <w:szCs w:val="20"/>
                <w:color w:val="auto"/>
              </w:rPr>
            </w:pPr>
            <w:r>
              <w:rPr>
                <w:rFonts w:ascii="Arial" w:cs="Arial" w:eastAsia="Arial" w:hAnsi="Arial"/>
                <w:sz w:val="18"/>
                <w:szCs w:val="18"/>
                <w:color w:val="auto"/>
                <w:w w:val="93"/>
              </w:rPr>
              <w:t>Operating lease liability, net of current portion</w:t>
            </w:r>
          </w:p>
        </w:tc>
        <w:tc>
          <w:tcPr>
            <w:tcW w:w="3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w:t>
            </w: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2,204</w:t>
            </w:r>
          </w:p>
        </w:tc>
        <w:tc>
          <w:tcPr>
            <w:tcW w:w="10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Weighted-average remaining lease term (years)</w:t>
            </w: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7280" w:type="dxa"/>
            <w:vAlign w:val="bottom"/>
            <w:gridSpan w:val="6"/>
          </w:tcPr>
          <w:p>
            <w:pPr>
              <w:spacing w:after="0"/>
              <w:rPr>
                <w:sz w:val="20"/>
                <w:szCs w:val="20"/>
                <w:color w:val="auto"/>
              </w:rPr>
            </w:pPr>
            <w:r>
              <w:rPr>
                <w:rFonts w:ascii="Arial" w:cs="Arial" w:eastAsia="Arial" w:hAnsi="Arial"/>
                <w:sz w:val="18"/>
                <w:szCs w:val="18"/>
                <w:color w:val="auto"/>
              </w:rPr>
              <w:t>Future minimum lease payments as of September 30, 2021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Maturity of Operating Lease Liabilities</w:t>
            </w:r>
          </w:p>
        </w:tc>
        <w:tc>
          <w:tcPr>
            <w:tcW w:w="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 w:type="dxa"/>
            <w:vAlign w:val="bottom"/>
            <w:gridSpan w:val="3"/>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gridSpan w:val="3"/>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gridSpan w:val="3"/>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gridSpan w:val="3"/>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89"/>
              </w:rPr>
              <w:t>Present value of remaining lease payments</w:t>
            </w:r>
          </w:p>
        </w:tc>
        <w:tc>
          <w:tcPr>
            <w:tcW w:w="4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lef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have made commitments to purchase approximately $1,100 of production machinery and equipment.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warranty costs are based on actual past experience and are generally estimated as a percentage of sales over the warranty period. Changes in our product warranty liability during the first nine months of 2021 and 2020 were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3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0"/>
              </w:rPr>
              <w:t>Nine-month period ended September 30,</w:t>
            </w:r>
          </w:p>
        </w:tc>
      </w:tr>
      <w:tr>
        <w:trPr>
          <w:trHeight w:val="210"/>
        </w:trPr>
        <w:tc>
          <w:tcPr>
            <w:tcW w:w="73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0"/>
        </w:trPr>
        <w:tc>
          <w:tcPr>
            <w:tcW w:w="73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0"/>
        </w:trPr>
        <w:tc>
          <w:tcPr>
            <w:tcW w:w="7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We are subject to legal proceedings and claims that arise from time to time in the ordinary course of business. We believe that the final disposition of any such matters of which we are currently aware will not have a material adverse effect on the Company’s financial position, results of operations or cash flows. However, recognizing that legal matters are subject to inherent uncertainties, there exists the possibility that ultimate resolution of current or future legal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Revenues recognized from prior period performance obligations for the nine-month periods ended September 30, 2021 and 2020 were not material.</w:t>
      </w:r>
    </w:p>
    <w:p>
      <w:pPr>
        <w:spacing w:after="0" w:line="23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Deferred revenue, unbilled revenue and deferred contract costs recorded on our Consolidated Balance Sheets as of September 30, 2021 and December 31, 2020 were not material. As of September 30, 2021 and December 31, 2020,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September 30, 2021: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4,792</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loss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September 30, 2020: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24,362</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5,677</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Nine-month period ended September 30, 2021: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16,244</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(18,089)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40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Nine-month period ended September 30, 2020: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66,616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78,736</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17,019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(17,322)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40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30"/>
              <w:spacing w:after="0"/>
              <w:rPr>
                <w:sz w:val="20"/>
                <w:szCs w:val="20"/>
                <w:color w:val="auto"/>
              </w:rPr>
            </w:pPr>
            <w:r>
              <w:rPr>
                <w:rFonts w:ascii="Arial" w:cs="Arial" w:eastAsia="Arial" w:hAnsi="Arial"/>
                <w:sz w:val="18"/>
                <w:szCs w:val="18"/>
                <w:color w:val="auto"/>
                <w:w w:val="99"/>
              </w:rPr>
              <w:t>13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Commercial and Government/Defense Revenue Information:</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53"/>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September 30, 2021: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1,753</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5,182</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76%</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24%</w:t>
            </w:r>
          </w:p>
        </w:tc>
        <w:tc>
          <w:tcPr>
            <w:tcW w:w="400" w:type="dxa"/>
            <w:vAlign w:val="bottom"/>
          </w:tcPr>
          <w:p>
            <w:pPr>
              <w:spacing w:after="0"/>
              <w:rPr>
                <w:sz w:val="18"/>
                <w:szCs w:val="18"/>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Three-month period ended September 30, 2020: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6,047</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2,543</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8,590</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65%</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35%</w:t>
            </w:r>
          </w:p>
        </w:tc>
        <w:tc>
          <w:tcPr>
            <w:tcW w:w="400" w:type="dxa"/>
            <w:vAlign w:val="bottom"/>
          </w:tcPr>
          <w:p>
            <w:pPr>
              <w:spacing w:after="0"/>
              <w:rPr>
                <w:sz w:val="18"/>
                <w:szCs w:val="18"/>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Nine-month period ended September 30, 2021:</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64,994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18,059</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9,510</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27,569</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63%</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37%</w:t>
            </w:r>
          </w:p>
        </w:tc>
        <w:tc>
          <w:tcPr>
            <w:tcW w:w="400" w:type="dxa"/>
            <w:vAlign w:val="bottom"/>
          </w:tcPr>
          <w:p>
            <w:pPr>
              <w:spacing w:after="0"/>
              <w:rPr>
                <w:sz w:val="18"/>
                <w:szCs w:val="18"/>
                <w:color w:val="auto"/>
              </w:rPr>
            </w:pPr>
          </w:p>
        </w:tc>
      </w:tr>
      <w:tr>
        <w:trPr>
          <w:trHeight w:val="418"/>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Nine-month period ended September 30, 2020: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Government/</w:t>
            </w:r>
          </w:p>
        </w:tc>
        <w:tc>
          <w:tcPr>
            <w:tcW w:w="400" w:type="dxa"/>
            <w:vAlign w:val="bottom"/>
          </w:tcPr>
          <w:p>
            <w:pPr>
              <w:spacing w:after="0"/>
              <w:rPr>
                <w:sz w:val="24"/>
                <w:szCs w:val="24"/>
                <w:color w:val="auto"/>
              </w:rPr>
            </w:pPr>
          </w:p>
        </w:tc>
      </w:tr>
      <w:tr>
        <w:trPr>
          <w:trHeight w:val="230"/>
        </w:trPr>
        <w:tc>
          <w:tcPr>
            <w:tcW w:w="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19,870</w:t>
            </w:r>
          </w:p>
        </w:tc>
        <w:tc>
          <w:tcPr>
            <w:tcW w:w="4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12,120</w:t>
            </w:r>
          </w:p>
        </w:tc>
        <w:tc>
          <w:tcPr>
            <w:tcW w:w="40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31,990</w:t>
            </w:r>
          </w:p>
        </w:tc>
        <w:tc>
          <w:tcPr>
            <w:tcW w:w="4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59%</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w:t>
            </w:r>
          </w:p>
        </w:tc>
        <w:tc>
          <w:tcPr>
            <w:tcW w:w="400" w:type="dxa"/>
            <w:vAlign w:val="bottom"/>
          </w:tcPr>
          <w:p>
            <w:pPr>
              <w:spacing w:after="0"/>
              <w:rPr>
                <w:sz w:val="18"/>
                <w:szCs w:val="18"/>
                <w:color w:val="auto"/>
              </w:rPr>
            </w:pPr>
          </w:p>
        </w:tc>
      </w:tr>
      <w:tr>
        <w:trPr>
          <w:trHeight w:val="418"/>
        </w:trPr>
        <w:tc>
          <w:tcPr>
            <w:tcW w:w="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U.S. and Non-U.S. Revenue Information</w:t>
      </w:r>
      <w:r>
        <w:rPr>
          <w:rFonts w:ascii="Arial" w:cs="Arial" w:eastAsia="Arial" w:hAnsi="Arial"/>
          <w:sz w:val="11"/>
          <w:szCs w:val="11"/>
          <w:u w:val="single" w:color="auto"/>
          <w:color w:val="auto"/>
        </w:rPr>
        <w:t>1</w:t>
      </w:r>
      <w:r>
        <w:rPr>
          <w:rFonts w:ascii="Arial" w:cs="Arial" w:eastAsia="Arial" w:hAnsi="Arial"/>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Three-month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Nine-month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Nine-month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7,941</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12,067</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21,761</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12,571</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42%</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58%</w:t>
            </w:r>
          </w:p>
        </w:tc>
      </w:tr>
      <w:tr>
        <w:trPr>
          <w:trHeight w:val="835"/>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21,819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10,820</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10,999</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2,543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2,263</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24,362</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54%</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46%</w:t>
            </w:r>
          </w:p>
        </w:tc>
      </w:tr>
      <w:tr>
        <w:trPr>
          <w:trHeight w:val="835"/>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64,994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32,344</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32,650</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9,510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4,670</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4,840</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74,504</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37,014</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37,490</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50%</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50%</w:t>
            </w:r>
          </w:p>
        </w:tc>
      </w:tr>
      <w:tr>
        <w:trPr>
          <w:trHeight w:val="835"/>
        </w:trPr>
        <w:tc>
          <w:tcPr>
            <w:tcW w:w="2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States</w:t>
            </w:r>
          </w:p>
        </w:tc>
      </w:tr>
      <w:tr>
        <w:trPr>
          <w:trHeight w:val="195"/>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66,616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36,299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30,317</w:t>
            </w:r>
          </w:p>
        </w:tc>
        <w:tc>
          <w:tcPr>
            <w:tcW w:w="14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12,120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10,840</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1,280</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78,736</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47,139</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31,597</w:t>
            </w:r>
          </w:p>
        </w:tc>
        <w:tc>
          <w:tcPr>
            <w:tcW w:w="14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60%</w:t>
            </w: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-4423410</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-4140200</wp:posOffset>
            </wp:positionV>
            <wp:extent cx="67722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-3145790</wp:posOffset>
            </wp:positionV>
            <wp:extent cx="67722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-2863215</wp:posOffset>
            </wp:positionV>
            <wp:extent cx="67722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-1868805</wp:posOffset>
            </wp:positionV>
            <wp:extent cx="67722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-1585595</wp:posOffset>
            </wp:positionV>
            <wp:extent cx="677227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-591185</wp:posOffset>
            </wp:positionV>
            <wp:extent cx="67722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-308610</wp:posOffset>
            </wp:positionV>
            <wp:extent cx="67722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100" w:space="720"/>
            <w:col w:w="5000"/>
          </w:cols>
          <w:pgMar w:left="320" w:top="584" w:right="759" w:bottom="1440" w:gutter="0" w:footer="0" w:header="0"/>
        </w:sectPr>
      </w:pPr>
    </w:p>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Sales classified to U.S. include shipments to U.S.-based prime contractors which in some cases may serve non-U.S. projects.</w:t>
      </w:r>
    </w:p>
    <w:p>
      <w:pPr>
        <w:spacing w:after="0" w:line="2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584" w:right="7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effects of the novel coronavirus disease of 2019 (“COVID-19”);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concerning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and in each case, their negatives, are intended to identify forward-looking statements. For further discussion of certain of the matters described above and other risks and uncertainties, see Item 1A, “Risk Factors” in our Annual Report on Form 10-K for the year ended December 31, 2020.</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Form 10-Q or our Annual Report on Form 10-K for the year ended December 31, 2020 to reflect new information or risks, future events or other developments.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Notes thereto in Part I, Item 1 of this Form 10-Q, and the Consolidated Financial Statements and Notes thereto and Risk Factors in our Annual Report on Form 10-K for the year ended December 31,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 unless otherwise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and implement growth opportunities, including the design, development and sale of new products, expansion of our sales force to penetrate new markets and geographies, as well as seeking opportunities to expand through acquisitions.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 ABLE™, ACCUTRONICS™, ACCUPRO™, ENTELLION™, SWE Southwest Electronic Energy Group™, SWE DRILL-DATA™, and SWE SEASAFE™ brands. We have sales, operations and product development facilities in North America, Europe and Asia.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of this Form 10-Q.</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and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We have maintained normal operations at all our facilities with the exception of an approximately one-month closure of our China facility as was mandated by the Chinese government through early March 2020.</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quarter ended September 30, 2021, increased lead times on components from suppliers and other COVID-19 related logistics matters resulted in delays in our shipments to future periods. For the quarter ended September 30, 2021, we estimate that such delayed shipments adversely impacted revenues by approximately $4,100, operating income by approximately $1,300 and adjusted EPS by approximately $0.08.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Consolidated revenues of $21,761 for the three-month period ended September 30, 2021, decreased by $2,601 or 10.7%, from $24,362 for the three-month period ended September 30, 2020, as a 5.1% increase in commercial sales was offset by 39.7% decline in government/defense sales. The increase in commercial sales primarily resulted from an 89.5% increase in oil &amp; gas battery sales and a 115.8% increase in our new ER and thin cell battery sales, partially offset by a 28.3% decrease in medical battery sales. The decrease in government/defense sales primarily resulted from the completion of an order for BA-5390 batteries to the U.S. Department of Defense in the third quarter of 2020 under a spot purchase announced in December 2019, and lower shipments for our Communications Systems business segment. During the third quarter of 2021, increased lead times on components from suppliers and other COVID-19 related logistics matters resulted in delays in our shipments to future periods. We estimate that the delayed shipments adversely impacted revenue for the 2021 third quarter by $4,100, with $1,700 and $2,400 impacting our commercial and government/defense businesses,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was $5,108, or 23.5% of revenue, compared to $6,511, or 26.7% of revenue, for the same quarter a year ago. The 320-basis point decrease primarily resulted from unfavorable sales product mix and lower factory volumes resulting from the revenue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slightly increased to $5,887 during the three-month period ended September 30, 2021, from $5,804 during the three-month period ended September 30, 2020. The increase of $83 or 1.4% was attributable to our continued investment in engineering resources for new product development, including resources dedicated to our Conformal Wear Battery IDIQ contract announced on May 17, 2021. Operating expenses as a percentage of sales increased 330 basis points from 23.8% for the third quarter of 2020 to 27.1% for the current quarter.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loss for the three-month period ended September 30, 2021 was ($779) or (3.6%) of revenues compared to operating income of $707 or 2.9% of revenues for the year-earlier period. The decrease in operating income primarily resulted from lower sales, a reduction in gross margin and higher new product development costs to support our organic growth initiatives.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loss attributable to Ultralife was ($585), or ($0.04) per share – basic and diluted, for the three-month period ended September 30, 2021, compared to net income of $407, or $0.03 per share – basic and diluted, for the three-month period ended September 30, 2020. Adjusted EPS was ($0.05) on a diluted basis for the third quarter of 2021, compared to $0.04 for the 2020 period. Adjusted EPS excludes the (benefit) provision for deferred income taxes of ($218) and $188 for the 2021 and 2020 periods, respectively, which primarily represents non-cash (benefits) charges for U.S. income taxes which we expect will be fully offset by NOL carryforwards and other tax credits for the foreseeable future. See the section “Adjusted EPS” beginning on Page 23 for a reconciliation of Adjusted EPS to EPS.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defined as net income (loss) attributable to Ultralife before interest expense, provision (benefit) for income taxes, depreciation and amortization, and stock-based compensation expense, plus/minus expenses/income that we do not consider reflective of our ongoing operations, amounted to $283 or 1.3% of revenues in the third quarter of 2021, compared to $1,656 or 6.8% of revenues for the third quarter of 2020. See the section “Adjusted EBITDA” beginning on Page 22 for a reconciliation of Adjusted EBITDA to net income attributable to Ultralife.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look ahead, our strong balance sheet and liquidity position, new product initiatives, and durable customer relationships anchor our view that our long-term growth drivers and strategy are sound and achievable.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September 30, 2021 and September 30, 2020</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September 30, 2021 amounted to $21,761, a decrease of $2,601 or 10.7%, from</w:t>
      </w:r>
      <w:r>
        <w:rPr>
          <w:rFonts w:ascii="Arial" w:cs="Arial" w:eastAsia="Arial" w:hAnsi="Arial"/>
          <w:sz w:val="18"/>
          <w:szCs w:val="18"/>
          <w:b w:val="1"/>
          <w:bCs w:val="1"/>
          <w:color w:val="auto"/>
        </w:rPr>
        <w:t xml:space="preserve"> </w:t>
      </w:r>
      <w:r>
        <w:rPr>
          <w:rFonts w:ascii="Arial" w:cs="Arial" w:eastAsia="Arial" w:hAnsi="Arial"/>
          <w:sz w:val="18"/>
          <w:szCs w:val="18"/>
          <w:color w:val="auto"/>
        </w:rPr>
        <w:t>$24,362 for the three-month period ended September 30, 2020. Overall, commercial sales increased $807 or 5.1% while government/defense sales decreased $3,408 or 39.7% from the 2020 period.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Battery &amp; Energy Products revenues decreased $1,811, or 8.3%, from $21,819 for the three-month period ended September 30, 2020 to $20,008 for the three-month period ended September 30, 2021. The decrease primarily resulted from a $2,950 or 28.3% decrease in medical battery sales primarily due to the high volume of orders in 2020 for respirators, ventilators and infusion pumps to meet the sector’s initial response to COVID-19, and a $2,618 or 43.3% decrease in government/defense sales primarily due to the shipment of BA-5390 batteries to the U.S. Department of Defense under a spot purchase announced in December 2019 and completed in 2020, partially offset by a $2,031 or 89.5% increase in oil &amp; gas market sales reflecting the recent rebound in the energy sector and a $1,135 or 115.8% increase in our new ER and thin cell battery cells. For the third quarter of 2021, we estimate that shipments delayed to future periods due to increased lead times on components from suppliers and other COVID-19 related logistics matters adversely impacted Battery &amp; Energy Products revenue by $2,500.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spacing w:after="0" w:line="311" w:lineRule="auto"/>
        <w:rPr>
          <w:sz w:val="20"/>
          <w:szCs w:val="20"/>
          <w:color w:val="auto"/>
        </w:rPr>
      </w:pPr>
      <w:r>
        <w:rPr>
          <w:rFonts w:ascii="Arial" w:cs="Arial" w:eastAsia="Arial" w:hAnsi="Arial"/>
          <w:sz w:val="16"/>
          <w:szCs w:val="16"/>
          <w:color w:val="auto"/>
        </w:rPr>
        <w:t>Communications Systems revenues decreased $790, or 30.9%, from $2,543 during the three-month period ended September 30, 2020 to $1,753 for the three-month period ended September 30, 2021. For the third quarter of 2021, we estimate that shipments delayed to future periods due to increased lead times on components from suppliers and other COVID-19 related logistics matters adversely impacted Communications Systems revenue by $1,600.</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Cost of Products Sold / Gross Profit. </w:t>
      </w:r>
      <w:r>
        <w:rPr>
          <w:rFonts w:ascii="Arial" w:cs="Arial" w:eastAsia="Arial" w:hAnsi="Arial"/>
          <w:sz w:val="17"/>
          <w:szCs w:val="17"/>
          <w:color w:val="auto"/>
        </w:rPr>
        <w:t>Cost of products sold totaled $16,653 for the quarter ended September 30, 2021, a decrease of $1,198, or 6.7%,</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$17,851 reported for the same quarter a year ago. Consolidated cost of products sold as a percentage of total revenue increased from 73.3% for the three-month period ended September 30, 2020 to 76.5% for the three-month period ended September 30, 2021. Correspondingly, consolidated gross margin decreased from 26.7% for the three-month period ended September 30, 2020, to 23.5% for the three-month period ended September 30, 2021, primarily reflecting unfavorable sales product mix and lower factory volume for both business segments.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Battery &amp; Energy Products segment, gross profit for the third quarter of 2021 was $4,792, a decrease of $885 or 15.6% from gross profit of $5,677 for the third quarter of 2020. Battery &amp; Energy Products’ gross margin of 24.0% decreased by 200 basis points from the 26.0% gross margin for the year-earlier period, primarily reflecting unfavorable sales product mix and lower factory volume.</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our Communications Systems segment, gross profit for the third quarter of 2021 was $316 or 18.0% of revenues, a decrease of $518 or 62.1%, from gross profit of $834, or 32.8% of revenues, for the third quarter of 2020. The decrease primarily reflects lower factory volume in the 2021 third quarter.</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three-month period ended September 30, 2021 were $5,887, an increase of $83 or 1.4% from the $5,804</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three-month period ended September 30, 2020. The increase in operating expenses reflects our continued investment in engineering resources for new product development, including resources dedicated to the Conformal Wear Battery IDIQ contract announced on May 17, 2021. Both periods reflected our continued tight control over discretionary spending.</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operating expenses as a percentage of revenues were 27.1% for the quarter ended September 30, 2021 and 23.8% for the quarter ended September 30, 2020. Amortization expense associated with intangible assets related to our acquisitions was $148 for the third quarter of 2021 ($121 in selling, general and administrative expenses and $27 in research and development costs), compared with $149 for the third quarter of 2020 ($118 in selling, general, and administrative expenses and $31 in research and development costs). Research and development costs were $1,723 for the three-month period ended September 30, 2021, an increase of $117 or 7.3%, from $1,606 for the three-months ended September 30, 2020. The increase is largely attributable to the hiring of engineering resources to support new product development in our Battery &amp; Energy Products business segment. Selling, general and administrative expenses decreased $34 or 0.8%, to $4,164 for the third quarter of 2021 from $4,198 for the third quarter of 2020. The slight decrease resulted from our continued tight control over all discretionary spending.</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Other (Income) Expense. </w:t>
      </w:r>
      <w:r>
        <w:rPr>
          <w:rFonts w:ascii="Arial" w:cs="Arial" w:eastAsia="Arial" w:hAnsi="Arial"/>
          <w:sz w:val="17"/>
          <w:szCs w:val="17"/>
          <w:color w:val="auto"/>
        </w:rPr>
        <w:t>Other income totaled ($1) for the three-month period ended September 30, 2021 compared to other expense of $53 for the three-month period ended September 30, 2020. Interest and financing expense, net of interest income, decreased $39, or 42.3%, from $92 for the third quarter of 2020 to $53 for the comparable period in 2021. The decrease is primarily due to the continued reduction of debt incurred in connection with the financing of the SWE acquisition. Miscellaneous income of $54 for the third quarter of 2021 compared to miscellaneous income of $39 for the third quarter of 2020 represents foreign currency exchange gains and losses particularly for certain transactions and balances of Accutronics (U.K.) denominated in U.S. dollars. The U.S. dollar strengthened against the Pound Sterling by approximately 3% during the third quarter of 2021 and the U.S. dollar weakened against the Pound Sterling by approximately 4% during the third quarter of 2020.</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income tax benefit for the 2021 third quarter was ($175) compared to a provision of $192 for the third quarter of 2020. Our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rate was (22.4%) for the third quarter of 2021 as compared to 29.4% for the third quarter of 2020, primarily due to the geographic mix of earnings. The income tax benefit for the third quarter of 2021 is comprised of a $43 current provision for taxes expected to be paid on income from our foreign operations, representing a cash-based effective income tax rate of (5.5%), and a ($218) deferred income tax benefit. For the 2020 period, the income tax provision was comprised of a $4 current tax provision, representing a cash-based effective tax rate of 0.6%, and a $188 deferred income tax provision. See Note 6 in the Notes to Consolidated Financial Statements in Item 1 of Part I of this Form 10-Q for additional information regarding our income taxes.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b w:val="1"/>
          <w:bCs w:val="1"/>
          <w:color w:val="auto"/>
        </w:rPr>
        <w:t xml:space="preserve">Net (Loss) Income Attributable to Ultralife. </w:t>
      </w:r>
      <w:r>
        <w:rPr>
          <w:rFonts w:ascii="Arial" w:cs="Arial" w:eastAsia="Arial" w:hAnsi="Arial"/>
          <w:sz w:val="16"/>
          <w:szCs w:val="16"/>
          <w:color w:val="auto"/>
        </w:rPr>
        <w:t>Net (loss) attributable to Ultralife was ($585), or ($0.04) per share – basic and diluted, for the three-month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ended September 30, 2021, compared to net income of $407, or $0.03 per share – basic and diluted, for the three-month period ended September 30, 2020. Adjusted EPS was ($0.05) on a diluted basis for the third quarter of 2021, compared to $0.04 on a diluted basis for the third quarter of 2020. Adjusted EPS excludes the (benefit) provision for deferred income taxes of ($218) and $188 for the 2021 and 2020 periods, respectively, which primarily represents non-cash (benefits) charges for U.S. income taxes. See the section “Adjusted EPS” beginning on Page 23 for a reconciliation of Adjusted EPS to EPS. Weighted average common shares outstanding used to compute diluted earnings per share decreased from 16,089,170 for the third quarter of 2020 to 16,065,412 for the third quarter of 2021. The period over period decrease is attributable to the antidilutive effect of all outstanding stock awards for the current period partially offset by stock option exercises and vesting of restricted stock awards since the third quarter of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Periods Ended September 30, 2021 and September 30, 2020</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nine-month period ended September 30, 2021 amounted to $74,504, a decrease of $4,232 or 5.4%,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$78,736 reported for the nine-month period ended September 30, 2020. Overall, commercial sales increased $189 or 0.4% and government/defense sales decreased $4,421 or 13.8% from the nine-month 2020 period.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Battery &amp; Energy Products revenues decreased $1,622, or 2.4%, from $66,616 for the nine-month period ended September 30, 2020 to $64,994 for the nine-month period ended September 30, 2021. The decline was attributable to a $1,811 or 9.1% decrease in government/defense sales partially offset by a $189 or 0.4% increase in commercial sales. The decrease in government/defense sales primarily reflects $2,800 of shipments of 5390 batteries to the U.S. Department of Defense under a spot purchase announced in December 2019 and completed in 2020. The increase in commercial sales primarily resulted from a $1,933 or 17.8% increase in oil &amp; gas market sales and a $1,932 or 74.2% increase in our new ER and thin cell battery sales, partially offset primarily by a $3,898 or 15.7% decrease in medical sales. During the first nine months of 2021, we estimate that the negative net impact caused by supply chain disruptions and other COVID-19 related logistics matters on Battery &amp; Energy Products revenues was $4,600.</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Systems revenues decreased $2,610, or 21.5%, from $12,120 during the nine-month period ended September 30, 2020 to $9,510 for the nine-month period ended September 30, 2021. This decrease is attributable to 2020 shipments of vehicle amplifier-adaptor systems in the amount of $5,680 to support the U.S. Army’s Network Modernization initiatives completing the delivery orders announced in October 2018. During the first nine months of 2021, we estimate that the negative net impact from supply chain disruptions and other COVID-19 related logistics matters on Communications Systems revenues was $3,000.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Cost of Products Sold / Gross Profit. </w:t>
      </w:r>
      <w:r>
        <w:rPr>
          <w:rFonts w:ascii="Arial" w:cs="Arial" w:eastAsia="Arial" w:hAnsi="Arial"/>
          <w:sz w:val="17"/>
          <w:szCs w:val="17"/>
          <w:color w:val="auto"/>
        </w:rPr>
        <w:t>Cost of products sold totaled $55,151 for the nine-month period ended September 30, 2021, a decrease of $1,777 or</w:t>
      </w:r>
      <w:r>
        <w:rPr>
          <w:rFonts w:ascii="Arial" w:cs="Arial" w:eastAsia="Arial" w:hAnsi="Arial"/>
          <w:sz w:val="17"/>
          <w:szCs w:val="17"/>
          <w:b w:val="1"/>
          <w:bCs w:val="1"/>
          <w:color w:val="auto"/>
        </w:rPr>
        <w:t xml:space="preserve"> </w:t>
      </w:r>
      <w:r>
        <w:rPr>
          <w:rFonts w:ascii="Arial" w:cs="Arial" w:eastAsia="Arial" w:hAnsi="Arial"/>
          <w:sz w:val="17"/>
          <w:szCs w:val="17"/>
          <w:color w:val="auto"/>
        </w:rPr>
        <w:t>3.1%, from the $56,928 reported for the same nine-month period a year ago. Consolidated cost of products sold as a percentage of total revenue increased from 72.3% for the nine-month period ended September 30, 2020 to 74.0% for the nine-month period ended September 30, 2021. Correspondingly, consolidated gross margin was 26.0% for the nine-month period ended September 30, 2021, compared with 27.7% for the nine-month period ended September 30, 2020, due primarily to unfavorable sales product mix and lower factory volume.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Battery &amp; Energy Products segment, the cost of products sold decreased $847 or 1.7%, from $49,597 during the nine-month period ended September 30, 2020 to $48,750 during the nine-month period ended September 30, 2021. Battery &amp; Energy Products’ gross profit for the 2021 nine-month period was $16,244 or 25.0% of revenues, a decrease of $775 or 4.6% from gross profit of $17,019, or 25.5% of revenues, for the 2020 nine-month period. Battery &amp; Energy Products’ gross margin decreased for the nine-month period ended September 30, 2021 by 50 basis points, primarily due to unfavorable sales product mix and lower factory volume.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Communications Systems segment, the cost of products sold decreased by $930 or 12.7% from $7,331 during the nine-month period ended September 30, 2020 to $6,401 during the nine-month period ended September 30, 2021. Communications Systems’ gross profit for the first nine months of 2021 was $3,109 or 32.7% of revenues, a decrease of $1,680 or 35.1% from gross profit of $4,789 or 39.5% of revenues, for the nine-month period ended September 30, 2020. The decrease in gross margin primarily reflects the favorable sales mix in 2020 of the vehicle amplifier-adaptor systems for the U.S. Army and lower factory volume in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nine-month period ended September 30, 2021 totaled $18,089, an increase of $767 or 4.4%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$17,322 for the nine-month period ended September 30, 2020. The increase in operating expenses reflects our continued investment in engineering resources for new product development, including resources dedicated to the Conformal Wear Battery IDIQ contract announced on May 17, 2021. Both periods reflected our continued tight control over discretionary spending.</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operating expenses as a percentage of revenues were 24.3% for the nine-month period ended September 30, 2021 compared to 22.0% for the comparable 2020 period. Amortization expense associated with intangible assets related to our acquisitions was $458 for the first nine months of 2021 ($365 in selling, general and administrative expenses and $93 in research and development costs), compared with $444 for the first nine months of 2020 ($352 in selling, general and administrative expenses and $92 in research and development costs). Research and development costs were $5,223 for the nine-month period ended September 30, 2021 an increase of $794 or 17.9% over $4,429 for the nine months ended September 30, 2020. The increase is largely attributable to the hiring of engineering resources to support new product development in our Battery &amp; Energy Products business segment. Selling, general and administrative expenses decreased $27 or 0.2% from $12,893 during the first nine months of 2020 to $12,866 during the first nine months of 2021, primarily reflecting a 3.6% increase in selling expenses for sales resources to support our new product market launches virtually, offset by a 1.5% decrease in general and administrative expenses.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expense totaled $76 for the nine-month period ended September 30, 2021 compared to $262 for the nine-month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2020. Interest and financing expense, net of interest income, decreased $208, or 55.9%, to $164 for the 2021 period from $372 for the comparable period in 2020, as a result of the continued reduction of debt incurred with the financing for the SWE acquisition. Miscellaneous income amounted to ($88) for the first nine months of 2021 compared with miscellaneous income of ($110) for the first nine months of 2020, primarily due to fluctuations in the U.S. dollar relative to the Pound Sterling.</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recognized an income tax provision of $290 for the first three quarters of 2021 compared with an income tax provision of $1,010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three quarters of 2020. Our effective income tax rate increased to 24.4% for the first nine months of 2021 as compared to 23.9% for the first nine months of 2020, primarily due to the geographic mix of earnings. The income tax provision for the 2021 period is comprised of a $163 current provision for taxes expected to be paid on income from our foreign operations, representing a cash-based effective income tax rate of 13.7%, and a $127 deferred income tax provision which primarily represents non-cash charges for U.S. income taxes which we expect will be fully offset by NOL carryforwards and other tax credits for the foreseeable future. For the 2020 period, the income tax provision was comprised of a $189 current income tax provision, representing a cash-based effective income tax rate of 4.5%, and a non-cash $821 deferred provision for income taxes. See Note 6 in the Notes to Consolidated Financial Statements of this Form 10-Q for additional information regarding our income taxes.</w:t>
      </w:r>
    </w:p>
    <w:p>
      <w:pPr>
        <w:spacing w:after="0" w:line="172"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and net income attributable to Ultralife common stockholders per diluted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was $897 and $</w:t>
      </w:r>
      <w:r>
        <w:rPr>
          <w:rFonts w:ascii="MS PGothic" w:cs="MS PGothic" w:eastAsia="MS PGothic" w:hAnsi="MS PGothic"/>
          <w:sz w:val="17"/>
          <w:szCs w:val="17"/>
          <w:color w:val="auto"/>
        </w:rPr>
        <w:t>‐‐‐</w:t>
      </w:r>
      <w:r>
        <w:rPr>
          <w:rFonts w:ascii="Arial" w:cs="Arial" w:eastAsia="Arial" w:hAnsi="Arial"/>
          <w:sz w:val="17"/>
          <w:szCs w:val="17"/>
          <w:color w:val="auto"/>
        </w:rPr>
        <w:t>0.06, respectively, for the nine months ended September 30, 2021, compared to $3,124 and $0.19 for the nine months ended September 30, 2020. Weighted average common shares outstanding used to compute diluted earnings per share increased from 16,102,879 for the 2020 period to 16,199,693 for the 2021 period, primarily attributable to stock option exercises since the third quarter of 2020 and an increase in the average stock price used to compute diluted shares from $6.89 for the first nine months of 2020 to $7.94 for the first nine months of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expenses/income that we do not consider reflective of our ongoing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GAAP.</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spacing w:after="0" w:line="171" w:lineRule="exact"/>
        <w:rPr>
          <w:sz w:val="20"/>
          <w:szCs w:val="20"/>
          <w:color w:val="auto"/>
        </w:rPr>
      </w:pPr>
    </w:p>
    <w:p>
      <w:pPr>
        <w:ind w:left="1100" w:hanging="323"/>
        <w:spacing w:after="0"/>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EBITDA does not reflect (1) our cash expenditures or future requirements for capital expenditures or contractual commitments;</w:t>
      </w:r>
    </w:p>
    <w:p>
      <w:pPr>
        <w:spacing w:after="0" w:line="46" w:lineRule="exact"/>
        <w:rPr>
          <w:rFonts w:ascii="Arial" w:cs="Arial" w:eastAsia="Arial" w:hAnsi="Arial"/>
          <w:sz w:val="16"/>
          <w:szCs w:val="16"/>
          <w:color w:val="auto"/>
        </w:rPr>
      </w:pPr>
    </w:p>
    <w:p>
      <w:pPr>
        <w:ind w:left="1100" w:right="220"/>
        <w:spacing w:after="0" w:line="255" w:lineRule="auto"/>
        <w:rPr>
          <w:rFonts w:ascii="Arial" w:cs="Arial" w:eastAsia="Arial" w:hAnsi="Arial"/>
          <w:sz w:val="16"/>
          <w:szCs w:val="16"/>
          <w:color w:val="auto"/>
        </w:rPr>
      </w:pPr>
      <w:r>
        <w:rPr>
          <w:rFonts w:ascii="Arial" w:cs="Arial" w:eastAsia="Arial" w:hAnsi="Arial"/>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9" w:lineRule="exact"/>
        <w:rPr>
          <w:rFonts w:ascii="Arial" w:cs="Arial" w:eastAsia="Arial" w:hAnsi="Arial"/>
          <w:sz w:val="16"/>
          <w:szCs w:val="16"/>
          <w:color w:val="auto"/>
        </w:rPr>
      </w:pPr>
    </w:p>
    <w:p>
      <w:pPr>
        <w:ind w:left="1100" w:right="180" w:hanging="323"/>
        <w:spacing w:after="0" w:line="342"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23" w:lineRule="exact"/>
        <w:rPr>
          <w:rFonts w:ascii="Arial" w:cs="Arial" w:eastAsia="Arial" w:hAnsi="Arial"/>
          <w:sz w:val="16"/>
          <w:szCs w:val="16"/>
          <w:color w:val="auto"/>
        </w:rPr>
      </w:pPr>
    </w:p>
    <w:p>
      <w:pPr>
        <w:jc w:val="both"/>
        <w:ind w:left="1100" w:right="100" w:hanging="323"/>
        <w:spacing w:after="0" w:line="263"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1100" w:hanging="323"/>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(loss) attributable to Ultralife.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9"/>
              </w:rPr>
              <w:t>Adjusted EBITDA is calculated as follows for the periods presented:</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6"/>
              </w:rPr>
              <w:t>Three-Month Period Ended</w:t>
            </w:r>
          </w:p>
        </w:tc>
        <w:tc>
          <w:tcPr>
            <w:tcW w:w="120" w:type="dxa"/>
            <w:vAlign w:val="bottom"/>
          </w:tcPr>
          <w:p>
            <w:pPr>
              <w:spacing w:after="0"/>
              <w:rPr>
                <w:sz w:val="24"/>
                <w:szCs w:val="24"/>
                <w:color w:val="auto"/>
              </w:rPr>
            </w:pPr>
          </w:p>
        </w:tc>
        <w:tc>
          <w:tcPr>
            <w:tcW w:w="25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7"/>
              </w:rPr>
              <w:t>Nine-Month Period Ended</w:t>
            </w:r>
          </w:p>
        </w:tc>
      </w:tr>
      <w:tr>
        <w:trPr>
          <w:trHeight w:val="191"/>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September</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Ultralife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r>
      <w:tr>
        <w:trPr>
          <w:trHeight w:val="216"/>
        </w:trPr>
        <w:tc>
          <w:tcPr>
            <w:tcW w:w="1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1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w:t>
            </w:r>
          </w:p>
        </w:tc>
      </w:tr>
      <w:tr>
        <w:trPr>
          <w:trHeight w:val="216"/>
        </w:trPr>
        <w:tc>
          <w:tcPr>
            <w:tcW w:w="16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16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0"/>
        </w:trPr>
        <w:tc>
          <w:tcPr>
            <w:tcW w:w="16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4,481</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7,485</w:t>
            </w:r>
          </w:p>
        </w:tc>
      </w:tr>
      <w:tr>
        <w:trPr>
          <w:trHeight w:val="20"/>
        </w:trPr>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evaluating our business, we consider and use Adjusted EPS, a non-GAAP financial measure, as a supplemental measure of our business performance in addition to GAAP financial measures. We define Adjusted EPS as net income (loss)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income tax provision (benefit) that we expect will be offset by our U.S. NOL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(loss) attributable to Ultralife.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w w:val="94"/>
              </w:rPr>
              <w:t>Three-Month Period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89"/>
              </w:rPr>
              <w:t>September 30, 2021</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September 30, 2020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6"/>
              </w:rPr>
              <w:t>Per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Basic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Basic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Diluted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Share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3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(loss) income attributable to Ultralife</w:t>
            </w: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Deferred income tax (benefit) provision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0" w:type="dxa"/>
            <w:vAlign w:val="bottom"/>
          </w:tcPr>
          <w:p>
            <w:pPr>
              <w:spacing w:after="0"/>
              <w:rPr>
                <w:sz w:val="16"/>
                <w:szCs w:val="16"/>
                <w:color w:val="auto"/>
              </w:rPr>
            </w:pPr>
          </w:p>
        </w:tc>
        <w:tc>
          <w:tcPr>
            <w:tcW w:w="3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Adjusted net (loss) income attributable to</w:t>
            </w:r>
          </w:p>
        </w:tc>
        <w:tc>
          <w:tcPr>
            <w:tcW w:w="360" w:type="dxa"/>
            <w:vAlign w:val="bottom"/>
            <w:vMerge w:val="restart"/>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(803)</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3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Ultralife Corporation</w:t>
            </w:r>
          </w:p>
        </w:tc>
        <w:tc>
          <w:tcPr>
            <w:tcW w:w="3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6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16,065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16,089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Net income attributable to Ultralife Corporation Deferred income tax provision</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Adjusted net income attributable to Ultralife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br w:type="column"/>
      </w:r>
    </w:p>
    <w:p>
      <w:pPr>
        <w:ind w:left="2400"/>
        <w:spacing w:after="0"/>
        <w:rPr>
          <w:sz w:val="20"/>
          <w:szCs w:val="20"/>
          <w:color w:val="auto"/>
        </w:rPr>
      </w:pPr>
      <w:r>
        <w:rPr>
          <w:rFonts w:ascii="Arial" w:cs="Arial" w:eastAsia="Arial" w:hAnsi="Arial"/>
          <w:sz w:val="18"/>
          <w:szCs w:val="18"/>
          <w:b w:val="1"/>
          <w:bCs w:val="1"/>
          <w:color w:val="auto"/>
        </w:rPr>
        <w:t>Nine-Month Period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89"/>
              </w:rPr>
              <w:t>September 30, 2021</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8"/>
          </w:tcPr>
          <w:p>
            <w:pPr>
              <w:jc w:val="right"/>
              <w:ind w:right="7"/>
              <w:spacing w:after="0"/>
              <w:rPr>
                <w:sz w:val="20"/>
                <w:szCs w:val="20"/>
                <w:color w:val="auto"/>
              </w:rPr>
            </w:pPr>
            <w:r>
              <w:rPr>
                <w:rFonts w:ascii="Arial" w:cs="Arial" w:eastAsia="Arial" w:hAnsi="Arial"/>
                <w:sz w:val="18"/>
                <w:szCs w:val="18"/>
                <w:b w:val="1"/>
                <w:bCs w:val="1"/>
                <w:color w:val="auto"/>
              </w:rPr>
              <w:t>September 30, 2020</w:t>
            </w:r>
          </w:p>
        </w:tc>
        <w:tc>
          <w:tcPr>
            <w:tcW w:w="8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Basic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16,020</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-968375</wp:posOffset>
            </wp:positionV>
            <wp:extent cx="67722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-685165</wp:posOffset>
            </wp:positionV>
            <wp:extent cx="6772275"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68580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440" w:space="280"/>
            <w:col w:w="6840"/>
          </w:cols>
          <w:pgMar w:left="500" w:top="580" w:right="8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2021, cash totaled $15,853 (including restricted cash of $87), an increase of $5,200 as compared to $10,653 of cash held at December 31, 2020. The increase was attributable to cash generated from operations, partially offset by cash used in investing and financing activities.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nine-month period ended September 30, 2021, operating activities provided cash of $8,462, consisting of net income of $898, deferred income taxes of $127, non-cash expenses of depreciation, amortization, and stock-based compensation totaling $3,208, and a $4,229 reduction in net working capital primarily attributable to a decrease in accounts receivable.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2021 was $2,324, primarily attributable to strategic capital investments for our Battery &amp; Energy Products business segment.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for the nine months ended September 30, 2021 was $936, consisting of $1,186 of principal payments against our remaining term loan balance and $148 of tax withholdings for stock awards, partially offset by stock option exercise proceeds of $398.</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have significant U.S. NOL carryforwards available to utilize as an offset to future taxable income. See Note 6 to the Consolidated Financial Statements of this Form 10-Q for additional information.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Going forward, we expect that positive operating cash flow and the availability under our Revolving Credit Facility will be sufficient to meet our general funding requirements for the foreseeable future. Over the long-term, we expect that some of our future investments, including strategic business opportunities such as acquisitions, may be made through a number of sources, including internally available cash, availability of borrowing under our Credit Facilities, new debt financing, the issuance of equity securities or any combination of these sources.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Company had $288 outstanding principal on the Term Loan Facility, all of which is included in current portion of long-term debt on the Consolidated Balance Sheet, net of $35 unamortized debt issuance costs, and no amounts outstanding on the Revolving Credit Facility. The Company was in full compliance with all covenants under the Credit Facilities as of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made commitments to purchase approximately $1,100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2020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nine months of 2021, there were no significant changes in the manner in which our significant accounting policies were applied or in which related assumptions and estimates were developed.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tabs>
          <w:tab w:leader="none" w:pos="11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0"/>
                <w:szCs w:val="20"/>
                <w:color w:val="auto"/>
              </w:rPr>
            </w:pPr>
          </w:p>
        </w:tc>
        <w:tc>
          <w:tcPr>
            <w:tcW w:w="5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Exhibit Description</w:t>
            </w:r>
          </w:p>
        </w:tc>
        <w:tc>
          <w:tcPr>
            <w:tcW w:w="22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Incorporated by Reference from</w:t>
            </w:r>
          </w:p>
        </w:tc>
      </w:tr>
      <w:tr>
        <w:trPr>
          <w:trHeight w:val="169"/>
        </w:trPr>
        <w:tc>
          <w:tcPr>
            <w:tcW w:w="660" w:type="dxa"/>
            <w:vAlign w:val="bottom"/>
          </w:tcPr>
          <w:p>
            <w:pPr>
              <w:spacing w:after="0"/>
              <w:rPr>
                <w:sz w:val="14"/>
                <w:szCs w:val="14"/>
                <w:color w:val="auto"/>
              </w:rPr>
            </w:pPr>
          </w:p>
        </w:tc>
        <w:tc>
          <w:tcPr>
            <w:tcW w:w="86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3360" w:type="dxa"/>
            <w:vAlign w:val="bottom"/>
            <w:tcBorders>
              <w:bottom w:val="single" w:sz="8" w:color="0000EE"/>
            </w:tcBorders>
            <w:gridSpan w:val="3"/>
          </w:tcPr>
          <w:p>
            <w:pPr>
              <w:spacing w:after="0" w:line="169"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Rule 13a-14(a) / 15d-14(a) CEO Certifications</w:t>
              </w:r>
            </w:hyperlink>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tcPr>
          <w:p>
            <w:pPr>
              <w:spacing w:after="0" w:line="169" w:lineRule="exact"/>
              <w:rPr>
                <w:sz w:val="20"/>
                <w:szCs w:val="20"/>
                <w:color w:val="auto"/>
              </w:rPr>
            </w:pPr>
            <w:r>
              <w:rPr>
                <w:rFonts w:ascii="Arial" w:cs="Arial" w:eastAsia="Arial" w:hAnsi="Arial"/>
                <w:sz w:val="18"/>
                <w:szCs w:val="18"/>
                <w:color w:val="auto"/>
              </w:rPr>
              <w:t>Filed herewith</w:t>
            </w:r>
          </w:p>
        </w:tc>
      </w:tr>
      <w:tr>
        <w:trPr>
          <w:trHeight w:val="196"/>
        </w:trPr>
        <w:tc>
          <w:tcPr>
            <w:tcW w:w="152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5860" w:type="dxa"/>
            <w:vAlign w:val="bottom"/>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Rule 13a-14(a) / 15d-14(a) CFO Certifications</w:t>
              </w:r>
            </w:hyperlink>
          </w:p>
        </w:tc>
        <w:tc>
          <w:tcPr>
            <w:tcW w:w="22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152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33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Section 1350 Certifications</w:t>
              </w:r>
            </w:hyperlink>
          </w:p>
        </w:tc>
        <w:tc>
          <w:tcPr>
            <w:tcW w:w="25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Arial" w:cs="Arial" w:eastAsia="Arial" w:hAnsi="Arial"/>
                <w:sz w:val="18"/>
                <w:szCs w:val="18"/>
                <w:color w:val="auto"/>
              </w:rPr>
              <w:t>Furnished herewith</w:t>
            </w: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c>
          <w:tcPr>
            <w:tcW w:w="2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66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16"/>
        </w:trPr>
        <w:tc>
          <w:tcPr>
            <w:tcW w:w="1520" w:type="dxa"/>
            <w:vAlign w:val="bottom"/>
            <w:gridSpan w:val="2"/>
          </w:tcPr>
          <w:p>
            <w:pPr>
              <w:ind w:left="66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202" w:lineRule="exact"/>
        <w:rPr>
          <w:sz w:val="20"/>
          <w:szCs w:val="20"/>
          <w:color w:val="auto"/>
        </w:rPr>
      </w:pPr>
    </w:p>
    <w:p>
      <w:pPr>
        <w:jc w:val="both"/>
        <w:ind w:left="660" w:right="80"/>
        <w:spacing w:after="0" w:line="257"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Consolidated Balance Sheets as of September 30, 2021 and December 31, 2020, (ii) Consolidated Statements of Income and Comprehensive Income for the three and nine months ended September 30, 2021 and 2020, (iii) Consolidated Statements of Cash Flows for the nine months ended September 30, 2021 and 2020, (iv) Consolidated Statements of Changes in Stockholders’ Equity for the three and nine months ended September 30, 2021 and 2020, and (v) Notes to Consolidated Financial Statements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ULTRALIFE CORPORATION</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gridSpan w:val="3"/>
          </w:tcPr>
          <w:p>
            <w:pPr>
              <w:ind w:left="8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92"/>
        </w:trPr>
        <w:tc>
          <w:tcPr>
            <w:tcW w:w="3120" w:type="dxa"/>
            <w:vAlign w:val="bottom"/>
            <w:gridSpan w:val="3"/>
          </w:tcPr>
          <w:p>
            <w:pPr>
              <w:spacing w:after="0"/>
              <w:rPr>
                <w:sz w:val="20"/>
                <w:szCs w:val="20"/>
                <w:color w:val="auto"/>
              </w:rPr>
            </w:pPr>
            <w:r>
              <w:rPr>
                <w:rFonts w:ascii="Arial" w:cs="Arial" w:eastAsia="Arial" w:hAnsi="Arial"/>
                <w:sz w:val="18"/>
                <w:szCs w:val="18"/>
                <w:color w:val="auto"/>
              </w:rPr>
              <w:t>Date: October 28, 2021</w:t>
            </w:r>
          </w:p>
        </w:tc>
        <w:tc>
          <w:tcPr>
            <w:tcW w:w="2020" w:type="dxa"/>
            <w:vAlign w:val="bottom"/>
            <w:gridSpan w:val="2"/>
          </w:tcPr>
          <w:p>
            <w:pPr>
              <w:ind w:left="1460"/>
              <w:spacing w:after="0"/>
              <w:rPr>
                <w:sz w:val="20"/>
                <w:szCs w:val="20"/>
                <w:color w:val="auto"/>
              </w:rPr>
            </w:pPr>
            <w:r>
              <w:rPr>
                <w:rFonts w:ascii="Arial" w:cs="Arial" w:eastAsia="Arial" w:hAnsi="Arial"/>
                <w:sz w:val="18"/>
                <w:szCs w:val="18"/>
                <w:color w:val="auto"/>
              </w:rPr>
              <w:t>By: /s/</w:t>
            </w:r>
          </w:p>
        </w:tc>
        <w:tc>
          <w:tcPr>
            <w:tcW w:w="60" w:type="dxa"/>
            <w:vAlign w:val="bottom"/>
          </w:tcPr>
          <w:p>
            <w:pPr>
              <w:spacing w:after="0"/>
              <w:rPr>
                <w:sz w:val="24"/>
                <w:szCs w:val="24"/>
                <w:color w:val="auto"/>
              </w:rPr>
            </w:pPr>
          </w:p>
        </w:tc>
        <w:tc>
          <w:tcPr>
            <w:tcW w:w="2780" w:type="dxa"/>
            <w:vAlign w:val="bottom"/>
            <w:gridSpan w:val="3"/>
          </w:tcPr>
          <w:p>
            <w:pPr>
              <w:ind w:left="20"/>
              <w:spacing w:after="0"/>
              <w:rPr>
                <w:sz w:val="20"/>
                <w:szCs w:val="20"/>
                <w:color w:val="auto"/>
              </w:rPr>
            </w:pPr>
            <w:r>
              <w:rPr>
                <w:rFonts w:ascii="Arial" w:cs="Arial" w:eastAsia="Arial" w:hAnsi="Arial"/>
                <w:sz w:val="18"/>
                <w:szCs w:val="18"/>
                <w:color w:val="auto"/>
              </w:rPr>
              <w:t>Michael D. Popielec</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Michael D. Popielec</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w w:val="90"/>
              </w:rPr>
              <w:t>President and Chief Executive Officer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92"/>
        </w:trPr>
        <w:tc>
          <w:tcPr>
            <w:tcW w:w="3120" w:type="dxa"/>
            <w:vAlign w:val="bottom"/>
            <w:gridSpan w:val="3"/>
          </w:tcPr>
          <w:p>
            <w:pPr>
              <w:spacing w:after="0"/>
              <w:rPr>
                <w:sz w:val="20"/>
                <w:szCs w:val="20"/>
                <w:color w:val="auto"/>
              </w:rPr>
            </w:pPr>
            <w:r>
              <w:rPr>
                <w:rFonts w:ascii="Arial" w:cs="Arial" w:eastAsia="Arial" w:hAnsi="Arial"/>
                <w:sz w:val="18"/>
                <w:szCs w:val="18"/>
                <w:color w:val="auto"/>
              </w:rPr>
              <w:t>Date: October 28, 2021</w:t>
            </w:r>
          </w:p>
        </w:tc>
        <w:tc>
          <w:tcPr>
            <w:tcW w:w="2020" w:type="dxa"/>
            <w:vAlign w:val="bottom"/>
            <w:gridSpan w:val="2"/>
          </w:tcPr>
          <w:p>
            <w:pPr>
              <w:ind w:left="1460"/>
              <w:spacing w:after="0"/>
              <w:rPr>
                <w:sz w:val="20"/>
                <w:szCs w:val="20"/>
                <w:color w:val="auto"/>
              </w:rPr>
            </w:pPr>
            <w:r>
              <w:rPr>
                <w:rFonts w:ascii="Arial" w:cs="Arial" w:eastAsia="Arial" w:hAnsi="Arial"/>
                <w:sz w:val="18"/>
                <w:szCs w:val="18"/>
                <w:color w:val="auto"/>
              </w:rPr>
              <w:t>By: /s/</w:t>
            </w:r>
          </w:p>
        </w:tc>
        <w:tc>
          <w:tcPr>
            <w:tcW w:w="60" w:type="dxa"/>
            <w:vAlign w:val="bottom"/>
          </w:tcPr>
          <w:p>
            <w:pPr>
              <w:spacing w:after="0"/>
              <w:rPr>
                <w:sz w:val="24"/>
                <w:szCs w:val="24"/>
                <w:color w:val="auto"/>
              </w:rPr>
            </w:pPr>
          </w:p>
        </w:tc>
        <w:tc>
          <w:tcPr>
            <w:tcW w:w="2780" w:type="dxa"/>
            <w:vAlign w:val="bottom"/>
            <w:gridSpan w:val="3"/>
          </w:tcPr>
          <w:p>
            <w:pPr>
              <w:ind w:left="20"/>
              <w:spacing w:after="0"/>
              <w:rPr>
                <w:sz w:val="20"/>
                <w:szCs w:val="20"/>
                <w:color w:val="auto"/>
              </w:rPr>
            </w:pPr>
            <w:r>
              <w:rPr>
                <w:rFonts w:ascii="Arial" w:cs="Arial" w:eastAsia="Arial" w:hAnsi="Arial"/>
                <w:sz w:val="18"/>
                <w:szCs w:val="18"/>
                <w:color w:val="auto"/>
              </w:rPr>
              <w:t>Philip A. Fain</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Philip A. Fain</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w w:val="92"/>
              </w:rPr>
              <w:t>Chief Financial Officer and Treasurer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color w:val="auto"/>
              </w:rPr>
              <w:t>(Principal Financial Officer and</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gridSpan w:val="3"/>
          </w:tcPr>
          <w:p>
            <w:pPr>
              <w:ind w:left="2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20" w:type="dxa"/>
            <w:vAlign w:val="bottom"/>
            <w:gridSpan w:val="4"/>
          </w:tcPr>
          <w:p>
            <w:pPr>
              <w:jc w:val="right"/>
              <w:ind w:right="233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580"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120" w:type="dxa"/>
            <w:vAlign w:val="bottom"/>
            <w:gridSpan w:val="3"/>
          </w:tcPr>
          <w:p>
            <w:pPr>
              <w:spacing w:after="0"/>
              <w:rPr>
                <w:sz w:val="20"/>
                <w:szCs w:val="20"/>
                <w:color w:val="auto"/>
              </w:rPr>
            </w:pPr>
            <w:r>
              <w:rPr>
                <w:rFonts w:ascii="Arial" w:cs="Arial" w:eastAsia="Arial" w:hAnsi="Arial"/>
                <w:sz w:val="18"/>
                <w:szCs w:val="18"/>
                <w:color w:val="auto"/>
              </w:rPr>
              <w:t>Date: October 28, 2021</w:t>
            </w:r>
          </w:p>
        </w:tc>
        <w:tc>
          <w:tcPr>
            <w:tcW w:w="5380" w:type="dxa"/>
            <w:vAlign w:val="bottom"/>
            <w:gridSpan w:val="2"/>
          </w:tcPr>
          <w:p>
            <w:pPr>
              <w:ind w:left="1460"/>
              <w:spacing w:after="0"/>
              <w:rPr>
                <w:sz w:val="20"/>
                <w:szCs w:val="20"/>
                <w:color w:val="auto"/>
              </w:rPr>
            </w:pPr>
            <w:r>
              <w:rPr>
                <w:rFonts w:ascii="Arial" w:cs="Arial" w:eastAsia="Arial" w:hAnsi="Arial"/>
                <w:sz w:val="18"/>
                <w:szCs w:val="18"/>
                <w:color w:val="auto"/>
              </w:rPr>
              <w:t>By: /s/ Michael D. Popielec</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ind w:left="22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120" w:type="dxa"/>
            <w:vAlign w:val="bottom"/>
            <w:gridSpan w:val="3"/>
          </w:tcPr>
          <w:p>
            <w:pPr>
              <w:spacing w:after="0"/>
              <w:rPr>
                <w:sz w:val="20"/>
                <w:szCs w:val="20"/>
                <w:color w:val="auto"/>
              </w:rPr>
            </w:pPr>
            <w:r>
              <w:rPr>
                <w:rFonts w:ascii="Arial" w:cs="Arial" w:eastAsia="Arial" w:hAnsi="Arial"/>
                <w:sz w:val="18"/>
                <w:szCs w:val="18"/>
                <w:color w:val="auto"/>
              </w:rPr>
              <w:t>Date: October 28, 2021</w:t>
            </w:r>
          </w:p>
        </w:tc>
        <w:tc>
          <w:tcPr>
            <w:tcW w:w="5380" w:type="dxa"/>
            <w:vAlign w:val="bottom"/>
            <w:gridSpan w:val="2"/>
          </w:tcPr>
          <w:p>
            <w:pPr>
              <w:ind w:left="1460"/>
              <w:spacing w:after="0"/>
              <w:rPr>
                <w:sz w:val="20"/>
                <w:szCs w:val="20"/>
                <w:color w:val="auto"/>
              </w:rPr>
            </w:pPr>
            <w:r>
              <w:rPr>
                <w:rFonts w:ascii="Arial" w:cs="Arial" w:eastAsia="Arial" w:hAnsi="Arial"/>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ind w:left="22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30, 2021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120" w:type="dxa"/>
            <w:vAlign w:val="bottom"/>
            <w:gridSpan w:val="3"/>
          </w:tcPr>
          <w:p>
            <w:pPr>
              <w:spacing w:after="0"/>
              <w:rPr>
                <w:sz w:val="20"/>
                <w:szCs w:val="20"/>
                <w:color w:val="auto"/>
              </w:rPr>
            </w:pPr>
            <w:r>
              <w:rPr>
                <w:rFonts w:ascii="Arial" w:cs="Arial" w:eastAsia="Arial" w:hAnsi="Arial"/>
                <w:sz w:val="18"/>
                <w:szCs w:val="18"/>
                <w:color w:val="auto"/>
              </w:rPr>
              <w:t>Date: October 28, 2021</w:t>
            </w:r>
          </w:p>
        </w:tc>
        <w:tc>
          <w:tcPr>
            <w:tcW w:w="5380" w:type="dxa"/>
            <w:vAlign w:val="bottom"/>
            <w:gridSpan w:val="2"/>
          </w:tcPr>
          <w:p>
            <w:pPr>
              <w:ind w:left="1460"/>
              <w:spacing w:after="0"/>
              <w:rPr>
                <w:sz w:val="20"/>
                <w:szCs w:val="20"/>
                <w:color w:val="auto"/>
              </w:rPr>
            </w:pPr>
            <w:r>
              <w:rPr>
                <w:rFonts w:ascii="Arial" w:cs="Arial" w:eastAsia="Arial" w:hAnsi="Arial"/>
                <w:sz w:val="18"/>
                <w:szCs w:val="18"/>
                <w:color w:val="auto"/>
              </w:rPr>
              <w:t>By: /s/ Michael D. Popielec</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ind w:left="22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391"/>
        </w:trPr>
        <w:tc>
          <w:tcPr>
            <w:tcW w:w="3120" w:type="dxa"/>
            <w:vAlign w:val="bottom"/>
            <w:gridSpan w:val="3"/>
          </w:tcPr>
          <w:p>
            <w:pPr>
              <w:spacing w:after="0"/>
              <w:rPr>
                <w:sz w:val="20"/>
                <w:szCs w:val="20"/>
                <w:color w:val="auto"/>
              </w:rPr>
            </w:pPr>
            <w:r>
              <w:rPr>
                <w:rFonts w:ascii="Arial" w:cs="Arial" w:eastAsia="Arial" w:hAnsi="Arial"/>
                <w:sz w:val="18"/>
                <w:szCs w:val="18"/>
                <w:color w:val="auto"/>
              </w:rPr>
              <w:t>Date: October 28, 2021</w:t>
            </w:r>
          </w:p>
        </w:tc>
        <w:tc>
          <w:tcPr>
            <w:tcW w:w="5380" w:type="dxa"/>
            <w:vAlign w:val="bottom"/>
            <w:gridSpan w:val="2"/>
          </w:tcPr>
          <w:p>
            <w:pPr>
              <w:ind w:left="1460"/>
              <w:spacing w:after="0"/>
              <w:rPr>
                <w:sz w:val="20"/>
                <w:szCs w:val="20"/>
                <w:color w:val="auto"/>
              </w:rPr>
            </w:pPr>
            <w:r>
              <w:rPr>
                <w:rFonts w:ascii="Arial" w:cs="Arial" w:eastAsia="Arial" w:hAnsi="Arial"/>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ind w:left="22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2021-10-28T06:06:00Z</dcterms:created>
  <dcterms:modified xsi:type="dcterms:W3CDTF">2021-10-28T06:06:00Z</dcterms:modified>
</cp:coreProperties>
</file>