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33"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210"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62"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6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740" w:hanging="280"/>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1720" w:hanging="264"/>
        <w:spacing w:after="0"/>
        <w:tabs>
          <w:tab w:leader="none" w:pos="17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ind w:right="-159"/>
        <w:spacing w:after="0"/>
        <w:tabs>
          <w:tab w:leader="none" w:pos="2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0-27460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1548765</wp:posOffset>
            </wp:positionH>
            <wp:positionV relativeFrom="paragraph">
              <wp:posOffset>158115</wp:posOffset>
            </wp:positionV>
            <wp:extent cx="412496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2496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1600" w:type="dxa"/>
        <w:tblCellMar>
          <w:top w:w="0" w:type="dxa"/>
          <w:left w:w="0" w:type="dxa"/>
          <w:bottom w:w="0" w:type="dxa"/>
          <w:right w:w="0" w:type="dxa"/>
        </w:tblCellMar>
      </w:tblPr>
      <w:tr>
        <w:trPr>
          <w:trHeight w:val="182"/>
        </w:trPr>
        <w:tc>
          <w:tcPr>
            <w:tcW w:w="2580" w:type="dxa"/>
            <w:vAlign w:val="bottom"/>
          </w:tcPr>
          <w:p>
            <w:pPr>
              <w:spacing w:after="0"/>
              <w:rPr>
                <w:sz w:val="15"/>
                <w:szCs w:val="15"/>
                <w:color w:val="auto"/>
              </w:rPr>
            </w:pPr>
          </w:p>
        </w:tc>
        <w:tc>
          <w:tcPr>
            <w:tcW w:w="5440" w:type="dxa"/>
            <w:vAlign w:val="bottom"/>
          </w:tcPr>
          <w:p>
            <w:pPr>
              <w:jc w:val="center"/>
              <w:ind w:right="2299"/>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417"/>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40" w:type="dxa"/>
            <w:vAlign w:val="bottom"/>
          </w:tcPr>
          <w:p>
            <w:pPr>
              <w:jc w:val="right"/>
              <w:ind w:right="539"/>
              <w:spacing w:after="0"/>
              <w:rPr>
                <w:sz w:val="20"/>
                <w:szCs w:val="20"/>
                <w:color w:val="auto"/>
              </w:rPr>
            </w:pPr>
            <w:r>
              <w:rPr>
                <w:rFonts w:ascii="Arial" w:cs="Arial" w:eastAsia="Arial" w:hAnsi="Arial"/>
                <w:sz w:val="18"/>
                <w:szCs w:val="18"/>
                <w:b w:val="1"/>
                <w:bCs w:val="1"/>
                <w:color w:val="auto"/>
              </w:rPr>
              <w:t>16-1387013</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 incorporation)</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7"/>
              </w:rPr>
              <w:t>(I.R.S. Employer Identification No.)</w:t>
            </w:r>
          </w:p>
        </w:tc>
      </w:tr>
      <w:tr>
        <w:trPr>
          <w:trHeight w:val="439"/>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2000 Technology Parkway</w:t>
            </w:r>
          </w:p>
        </w:tc>
        <w:tc>
          <w:tcPr>
            <w:tcW w:w="5440" w:type="dxa"/>
            <w:vAlign w:val="bottom"/>
          </w:tcPr>
          <w:p>
            <w:pPr>
              <w:jc w:val="right"/>
              <w:ind w:right="739"/>
              <w:spacing w:after="0"/>
              <w:rPr>
                <w:sz w:val="20"/>
                <w:szCs w:val="20"/>
                <w:color w:val="auto"/>
              </w:rPr>
            </w:pPr>
            <w:r>
              <w:rPr>
                <w:rFonts w:ascii="Arial" w:cs="Arial" w:eastAsia="Arial" w:hAnsi="Arial"/>
                <w:sz w:val="18"/>
                <w:szCs w:val="18"/>
                <w:b w:val="1"/>
                <w:bCs w:val="1"/>
                <w:color w:val="auto"/>
              </w:rPr>
              <w:t>14513</w:t>
            </w:r>
          </w:p>
        </w:tc>
      </w:t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3"/>
              </w:rPr>
              <w:t>Newark, New York</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3"/>
              </w:rPr>
              <w:t>(Zip Code)</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5440" w:type="dxa"/>
            <w:vAlign w:val="bottom"/>
          </w:tcPr>
          <w:p>
            <w:pPr>
              <w:spacing w:after="0"/>
              <w:rPr>
                <w:sz w:val="16"/>
                <w:szCs w:val="16"/>
                <w:color w:val="auto"/>
              </w:rPr>
            </w:pPr>
          </w:p>
        </w:tc>
      </w:tr>
      <w:tr>
        <w:trPr>
          <w:trHeight w:val="242"/>
        </w:trPr>
        <w:tc>
          <w:tcPr>
            <w:tcW w:w="2580" w:type="dxa"/>
            <w:vAlign w:val="bottom"/>
          </w:tcPr>
          <w:p>
            <w:pPr>
              <w:spacing w:after="0"/>
              <w:rPr>
                <w:sz w:val="21"/>
                <w:szCs w:val="21"/>
                <w:color w:val="auto"/>
              </w:rPr>
            </w:pPr>
          </w:p>
        </w:tc>
        <w:tc>
          <w:tcPr>
            <w:tcW w:w="5440" w:type="dxa"/>
            <w:vAlign w:val="bottom"/>
          </w:tcPr>
          <w:p>
            <w:pPr>
              <w:jc w:val="right"/>
              <w:ind w:right="2979"/>
              <w:spacing w:after="0"/>
              <w:rPr>
                <w:sz w:val="20"/>
                <w:szCs w:val="20"/>
                <w:color w:val="auto"/>
              </w:rPr>
            </w:pPr>
            <w:r>
              <w:rPr>
                <w:rFonts w:ascii="Arial" w:cs="Arial" w:eastAsia="Arial" w:hAnsi="Arial"/>
                <w:sz w:val="18"/>
                <w:szCs w:val="18"/>
                <w:color w:val="auto"/>
              </w:rPr>
              <w:t>___________________</w:t>
            </w:r>
          </w:p>
        </w:tc>
      </w:tr>
    </w:tbl>
    <w:p>
      <w:pPr>
        <w:spacing w:after="0" w:line="21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(315) 332-7100</w:t>
      </w:r>
    </w:p>
    <w:p>
      <w:pPr>
        <w:spacing w:after="0" w:line="26"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35" w:lineRule="exact"/>
        <w:rPr>
          <w:sz w:val="24"/>
          <w:szCs w:val="24"/>
          <w:color w:val="auto"/>
        </w:rPr>
      </w:pPr>
    </w:p>
    <w:p>
      <w:pPr>
        <w:ind w:right="4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26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1" w:lineRule="exact"/>
        <w:rPr>
          <w:sz w:val="24"/>
          <w:szCs w:val="24"/>
          <w:color w:val="auto"/>
        </w:rPr>
      </w:pPr>
    </w:p>
    <w:p>
      <w:pPr>
        <w:ind w:left="80" w:firstLine="405"/>
        <w:spacing w:after="0" w:line="235"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71"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9" w:lineRule="exact"/>
        <w:rPr>
          <w:sz w:val="24"/>
          <w:szCs w:val="24"/>
          <w:color w:val="auto"/>
        </w:rPr>
      </w:pPr>
    </w:p>
    <w:p>
      <w:pPr>
        <w:ind w:left="500"/>
        <w:spacing w:after="0"/>
        <w:rPr>
          <w:sz w:val="20"/>
          <w:szCs w:val="20"/>
          <w:color w:val="auto"/>
        </w:rPr>
      </w:pPr>
      <w:r>
        <w:rPr>
          <w:rFonts w:ascii="Arial" w:cs="Arial" w:eastAsia="Arial" w:hAnsi="Arial"/>
          <w:sz w:val="16"/>
          <w:szCs w:val="16"/>
          <w:color w:val="auto"/>
        </w:rPr>
        <w:t>The number of shares outstanding of the registrant's common stock was 15,635,904, net of 3,338,307 treasury shares, as of July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324" w:right="379" w:bottom="1440" w:gutter="0" w:footer="0" w:header="0"/>
        </w:sectPr>
      </w:pPr>
    </w:p>
    <w:bookmarkStart w:id="1" w:name="page2"/>
    <w:bookmarkEnd w:id="1"/>
    <w:p>
      <w:pPr>
        <w:jc w:val="center"/>
        <w:ind w:right="-399"/>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gridSpan w:val="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580" w:type="dxa"/>
            <w:vAlign w:val="bottom"/>
            <w:gridSpan w:val="17"/>
            <w:vMerge w:val="restart"/>
          </w:tcPr>
          <w:p>
            <w:pPr>
              <w:ind w:left="60"/>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80" w:type="dxa"/>
            <w:vAlign w:val="bottom"/>
            <w:gridSpan w:val="4"/>
          </w:tcPr>
          <w:p>
            <w:pPr>
              <w:ind w:left="44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96"/>
        </w:trPr>
        <w:tc>
          <w:tcPr>
            <w:tcW w:w="660" w:type="dxa"/>
            <w:vAlign w:val="bottom"/>
            <w:gridSpan w:val="2"/>
            <w:vMerge w:val="continue"/>
          </w:tcPr>
          <w:p>
            <w:pPr>
              <w:spacing w:after="0"/>
              <w:rPr>
                <w:sz w:val="17"/>
                <w:szCs w:val="17"/>
                <w:color w:val="auto"/>
              </w:rPr>
            </w:pPr>
          </w:p>
        </w:tc>
        <w:tc>
          <w:tcPr>
            <w:tcW w:w="9580" w:type="dxa"/>
            <w:vAlign w:val="bottom"/>
            <w:gridSpan w:val="17"/>
            <w:vMerge w:val="continue"/>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1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28, 2015 and December 31, 2014 (unaudited)</w:t>
              </w:r>
            </w:hyperlink>
          </w:p>
        </w:tc>
        <w:tc>
          <w:tcPr>
            <w:tcW w:w="234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Income (Loss) for the Three and Six Month Periods</w:t>
              </w:r>
            </w:hyperlink>
          </w:p>
        </w:tc>
        <w:tc>
          <w:tcPr>
            <w:tcW w:w="44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50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June 28, 2015 and June 29, 2014 (unaudited)</w:t>
              </w:r>
            </w:hyperlink>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for the Six Month Periods Ended June 28, 2015 and June 29, 2014</w:t>
              </w:r>
            </w:hyperlink>
          </w:p>
        </w:tc>
        <w:tc>
          <w:tcPr>
            <w:tcW w:w="8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(unaudited)</w:t>
              </w:r>
            </w:hyperlink>
          </w:p>
        </w:tc>
        <w:tc>
          <w:tcPr>
            <w:tcW w:w="7680" w:type="dxa"/>
            <w:vAlign w:val="bottom"/>
            <w:gridSpan w:val="13"/>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Consolidated Financial Statements</w:t>
              </w:r>
            </w:hyperlink>
          </w:p>
        </w:tc>
        <w:tc>
          <w:tcPr>
            <w:tcW w:w="5360" w:type="dxa"/>
            <w:vAlign w:val="bottom"/>
            <w:gridSpan w:val="8"/>
          </w:tcPr>
          <w:p>
            <w:pPr>
              <w:spacing w:after="0"/>
              <w:rPr>
                <w:sz w:val="24"/>
                <w:szCs w:val="24"/>
                <w:color w:val="auto"/>
              </w:rPr>
            </w:pPr>
          </w:p>
        </w:tc>
        <w:tc>
          <w:tcPr>
            <w:tcW w:w="56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3"/>
          </w:tcPr>
          <w:p>
            <w:pPr>
              <w:jc w:val="center"/>
              <w:ind w:left="43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700" w:type="dxa"/>
            <w:vAlign w:val="bottom"/>
            <w:gridSpan w:val="3"/>
          </w:tcPr>
          <w:p>
            <w:pPr>
              <w:jc w:val="center"/>
              <w:ind w:left="43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0" w:type="dxa"/>
            <w:vAlign w:val="bottom"/>
            <w:tcBorders>
              <w:bottom w:val="single" w:sz="8" w:color="0000EE"/>
            </w:tcBorders>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PART II</w:t>
              </w:r>
            </w:hyperlink>
          </w:p>
        </w:tc>
        <w:tc>
          <w:tcPr>
            <w:tcW w:w="2020" w:type="dxa"/>
            <w:vAlign w:val="bottom"/>
            <w:tcBorders>
              <w:bottom w:val="single" w:sz="8" w:color="0000EE"/>
            </w:tcBorders>
            <w:gridSpan w:val="5"/>
          </w:tcPr>
          <w:p>
            <w:pPr>
              <w:ind w:left="120"/>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OTHER INFORMATION</w:t>
              </w:r>
            </w:hyperlink>
          </w:p>
        </w:tc>
        <w:tc>
          <w:tcPr>
            <w:tcW w:w="756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700" w:type="dxa"/>
            <w:vAlign w:val="bottom"/>
            <w:gridSpan w:val="3"/>
          </w:tcPr>
          <w:p>
            <w:pPr>
              <w:jc w:val="center"/>
              <w:ind w:left="43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700" w:type="dxa"/>
            <w:vAlign w:val="bottom"/>
            <w:gridSpan w:val="3"/>
          </w:tcPr>
          <w:p>
            <w:pPr>
              <w:jc w:val="center"/>
              <w:ind w:left="43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120" w:type="dxa"/>
            <w:vAlign w:val="bottom"/>
            <w:tcBorders>
              <w:left w:val="single" w:sz="8" w:color="0000EE"/>
            </w:tcBorders>
            <w:gridSpan w:val="6"/>
            <w:shd w:val="clear" w:color="auto" w:fill="0000EE"/>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00" w:type="dxa"/>
            <w:vAlign w:val="bottom"/>
            <w:gridSpan w:val="3"/>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280" w:type="dxa"/>
            <w:vAlign w:val="bottom"/>
            <w:gridSpan w:val="11"/>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700" w:type="dxa"/>
            <w:vAlign w:val="bottom"/>
            <w:gridSpan w:val="3"/>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280" w:type="dxa"/>
            <w:vAlign w:val="bottom"/>
            <w:gridSpan w:val="11"/>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50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Index to Exhibits</w:t>
              </w:r>
            </w:hyperlink>
          </w:p>
        </w:tc>
        <w:tc>
          <w:tcPr>
            <w:tcW w:w="700" w:type="dxa"/>
            <w:vAlign w:val="bottom"/>
            <w:gridSpan w:val="3"/>
          </w:tcPr>
          <w:p>
            <w:pPr>
              <w:jc w:val="center"/>
              <w:ind w:left="43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810" w:right="6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gridSpan w:val="3"/>
          </w:tcPr>
          <w:p>
            <w:pPr>
              <w:spacing w:after="0"/>
              <w:rPr>
                <w:sz w:val="20"/>
                <w:szCs w:val="20"/>
                <w:color w:val="auto"/>
              </w:rPr>
            </w:pPr>
            <w:r>
              <w:rPr>
                <w:rFonts w:ascii="Arial" w:cs="Arial" w:eastAsia="Arial" w:hAnsi="Arial"/>
                <w:sz w:val="14"/>
                <w:szCs w:val="14"/>
                <w:b w:val="1"/>
                <w:bCs w:val="1"/>
                <w:color w:val="auto"/>
              </w:rPr>
              <w:t>ITEM 1. CONDENSED CONSOLIDATED FINANCIAL STATEMENTS</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40" w:type="dxa"/>
            <w:vAlign w:val="bottom"/>
            <w:gridSpan w:val="3"/>
          </w:tcPr>
          <w:p>
            <w:pPr>
              <w:jc w:val="center"/>
              <w:ind w:left="3708"/>
              <w:spacing w:after="0"/>
              <w:rPr>
                <w:sz w:val="20"/>
                <w:szCs w:val="20"/>
                <w:color w:val="auto"/>
              </w:rPr>
            </w:pPr>
            <w:r>
              <w:rPr>
                <w:rFonts w:ascii="Arial" w:cs="Arial" w:eastAsia="Arial" w:hAnsi="Arial"/>
                <w:sz w:val="14"/>
                <w:szCs w:val="14"/>
                <w:b w:val="1"/>
                <w:bCs w:val="1"/>
                <w:color w:val="auto"/>
              </w:rPr>
              <w:t>ULTRALIFE CORPORATION AND SUBSIDIARIES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240" w:type="dxa"/>
            <w:vAlign w:val="bottom"/>
            <w:gridSpan w:val="2"/>
          </w:tcPr>
          <w:p>
            <w:pPr>
              <w:jc w:val="center"/>
              <w:ind w:right="588"/>
              <w:spacing w:after="0" w:line="149" w:lineRule="exact"/>
              <w:rPr>
                <w:sz w:val="20"/>
                <w:szCs w:val="20"/>
                <w:color w:val="auto"/>
              </w:rPr>
            </w:pPr>
            <w:r>
              <w:rPr>
                <w:rFonts w:ascii="Arial" w:cs="Arial" w:eastAsia="Arial" w:hAnsi="Arial"/>
                <w:sz w:val="14"/>
                <w:szCs w:val="14"/>
                <w:b w:val="1"/>
                <w:bCs w:val="1"/>
                <w:color w:val="auto"/>
              </w:rPr>
              <w:t>CONSOLIDATED BALANCE SHEETS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240" w:type="dxa"/>
            <w:vAlign w:val="bottom"/>
            <w:gridSpan w:val="2"/>
          </w:tcPr>
          <w:p>
            <w:pPr>
              <w:jc w:val="center"/>
              <w:ind w:right="528"/>
              <w:spacing w:after="0" w:line="149" w:lineRule="exact"/>
              <w:rPr>
                <w:sz w:val="20"/>
                <w:szCs w:val="20"/>
                <w:color w:val="auto"/>
              </w:rPr>
            </w:pPr>
            <w:r>
              <w:rPr>
                <w:rFonts w:ascii="Arial" w:cs="Arial" w:eastAsia="Arial" w:hAnsi="Arial"/>
                <w:sz w:val="14"/>
                <w:szCs w:val="14"/>
                <w:b w:val="1"/>
                <w:bCs w:val="1"/>
                <w:color w:val="auto"/>
                <w:w w:val="92"/>
              </w:rPr>
              <w:t>(Dollars in Thousands)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324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w w:val="94"/>
              </w:rPr>
              <w:t>(unaudited)</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400" w:type="dxa"/>
            <w:vAlign w:val="bottom"/>
          </w:tcPr>
          <w:p>
            <w:pPr>
              <w:spacing w:after="0"/>
              <w:rPr>
                <w:sz w:val="24"/>
                <w:szCs w:val="24"/>
                <w:color w:val="auto"/>
              </w:rPr>
            </w:pPr>
          </w:p>
        </w:tc>
        <w:tc>
          <w:tcPr>
            <w:tcW w:w="3240" w:type="dxa"/>
            <w:vAlign w:val="bottom"/>
            <w:gridSpan w:val="2"/>
          </w:tcPr>
          <w:p>
            <w:pPr>
              <w:jc w:val="center"/>
              <w:ind w:right="548"/>
              <w:spacing w:after="0"/>
              <w:rPr>
                <w:sz w:val="20"/>
                <w:szCs w:val="20"/>
                <w:color w:val="auto"/>
              </w:rPr>
            </w:pPr>
            <w:r>
              <w:rPr>
                <w:rFonts w:ascii="Arial" w:cs="Arial" w:eastAsia="Arial" w:hAnsi="Arial"/>
                <w:sz w:val="14"/>
                <w:szCs w:val="14"/>
                <w:b w:val="1"/>
                <w:bCs w:val="1"/>
                <w:color w:val="auto"/>
                <w:w w:val="96"/>
              </w:rPr>
              <w:t>ASSETS</w:t>
            </w: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June 28,</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Current assets:</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ind w:left="180"/>
              <w:spacing w:after="0" w:line="149" w:lineRule="exact"/>
              <w:rPr>
                <w:sz w:val="20"/>
                <w:szCs w:val="20"/>
                <w:color w:val="auto"/>
              </w:rPr>
            </w:pPr>
            <w:r>
              <w:rPr>
                <w:rFonts w:ascii="Arial" w:cs="Arial" w:eastAsia="Arial" w:hAnsi="Arial"/>
                <w:sz w:val="14"/>
                <w:szCs w:val="14"/>
                <w:color w:val="auto"/>
              </w:rPr>
              <w:t>Cash and cash equivalents</w:t>
            </w:r>
          </w:p>
        </w:tc>
        <w:tc>
          <w:tcPr>
            <w:tcW w:w="32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15,789</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17,711</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cash</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76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Trade accounts receivable, net of allowance for doubtful accounts of $333 and $340, respectively</w:t>
            </w: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11,293</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11,295</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Inventories, net</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24,000</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26,086</w:t>
            </w:r>
          </w:p>
        </w:tc>
        <w:tc>
          <w:tcPr>
            <w:tcW w:w="0" w:type="dxa"/>
            <w:vAlign w:val="bottom"/>
          </w:tcPr>
          <w:p>
            <w:pPr>
              <w:spacing w:after="0"/>
              <w:rPr>
                <w:sz w:val="1"/>
                <w:szCs w:val="1"/>
                <w:color w:val="auto"/>
              </w:rPr>
            </w:pPr>
          </w:p>
        </w:tc>
      </w:tr>
      <w:tr>
        <w:trPr>
          <w:trHeight w:val="149"/>
        </w:trPr>
        <w:tc>
          <w:tcPr>
            <w:tcW w:w="4400" w:type="dxa"/>
            <w:vAlign w:val="bottom"/>
          </w:tcPr>
          <w:p>
            <w:pPr>
              <w:ind w:left="1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1,122</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Due from insurance company</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184</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2"/>
        </w:trPr>
        <w:tc>
          <w:tcPr>
            <w:tcW w:w="440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106</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2"/>
        </w:trPr>
        <w:tc>
          <w:tcPr>
            <w:tcW w:w="440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current assets</w:t>
            </w:r>
          </w:p>
        </w:tc>
        <w:tc>
          <w:tcPr>
            <w:tcW w:w="29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52,637</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56,850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ind w:left="100"/>
              <w:spacing w:after="0" w:line="149" w:lineRule="exact"/>
              <w:rPr>
                <w:sz w:val="20"/>
                <w:szCs w:val="20"/>
                <w:color w:val="auto"/>
              </w:rPr>
            </w:pPr>
            <w:r>
              <w:rPr>
                <w:rFonts w:ascii="Arial" w:cs="Arial" w:eastAsia="Arial" w:hAnsi="Arial"/>
                <w:sz w:val="14"/>
                <w:szCs w:val="14"/>
                <w:color w:val="auto"/>
              </w:rPr>
              <w:t>Property, equipment and improvements, net</w:t>
            </w: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9,501</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9,812</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Goodwill</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16,427</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16,407</w:t>
            </w:r>
          </w:p>
        </w:tc>
        <w:tc>
          <w:tcPr>
            <w:tcW w:w="0" w:type="dxa"/>
            <w:vAlign w:val="bottom"/>
          </w:tcPr>
          <w:p>
            <w:pPr>
              <w:spacing w:after="0"/>
              <w:rPr>
                <w:sz w:val="1"/>
                <w:szCs w:val="1"/>
                <w:color w:val="auto"/>
              </w:rPr>
            </w:pPr>
          </w:p>
        </w:tc>
      </w:tr>
      <w:tr>
        <w:trPr>
          <w:trHeight w:val="149"/>
        </w:trPr>
        <w:tc>
          <w:tcPr>
            <w:tcW w:w="4400" w:type="dxa"/>
            <w:vAlign w:val="bottom"/>
          </w:tcPr>
          <w:p>
            <w:pPr>
              <w:ind w:left="100"/>
              <w:spacing w:after="0" w:line="149" w:lineRule="exact"/>
              <w:rPr>
                <w:sz w:val="20"/>
                <w:szCs w:val="20"/>
                <w:color w:val="auto"/>
              </w:rPr>
            </w:pPr>
            <w:r>
              <w:rPr>
                <w:rFonts w:ascii="Arial" w:cs="Arial" w:eastAsia="Arial" w:hAnsi="Arial"/>
                <w:sz w:val="14"/>
                <w:szCs w:val="14"/>
                <w:color w:val="auto"/>
              </w:rPr>
              <w:t>Other intangible assets, net</w:t>
            </w: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4,219</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4,338</w:t>
            </w: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Security deposits and other non-current assets</w:t>
            </w: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151</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tcPr>
          <w:p>
            <w:pPr>
              <w:ind w:left="460"/>
              <w:spacing w:after="0" w:line="155" w:lineRule="exact"/>
              <w:rPr>
                <w:sz w:val="20"/>
                <w:szCs w:val="20"/>
                <w:color w:val="auto"/>
              </w:rPr>
            </w:pPr>
            <w:r>
              <w:rPr>
                <w:rFonts w:ascii="Arial" w:cs="Arial" w:eastAsia="Arial" w:hAnsi="Arial"/>
                <w:sz w:val="14"/>
                <w:szCs w:val="14"/>
                <w:color w:val="auto"/>
              </w:rPr>
              <w:t>Total assets</w:t>
            </w:r>
          </w:p>
        </w:tc>
        <w:tc>
          <w:tcPr>
            <w:tcW w:w="29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82,935</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87,642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400" w:type="dxa"/>
            <w:vAlign w:val="bottom"/>
            <w:shd w:val="clear" w:color="auto" w:fill="CCEEFF"/>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40" w:type="dxa"/>
            <w:vAlign w:val="bottom"/>
            <w:gridSpan w:val="3"/>
          </w:tcPr>
          <w:p>
            <w:pPr>
              <w:ind w:left="170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liabilities:</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ind w:left="160"/>
              <w:spacing w:after="0" w:line="149" w:lineRule="exact"/>
              <w:rPr>
                <w:sz w:val="20"/>
                <w:szCs w:val="20"/>
                <w:color w:val="auto"/>
              </w:rPr>
            </w:pPr>
            <w:r>
              <w:rPr>
                <w:rFonts w:ascii="Arial" w:cs="Arial" w:eastAsia="Arial" w:hAnsi="Arial"/>
                <w:sz w:val="14"/>
                <w:szCs w:val="14"/>
                <w:color w:val="auto"/>
              </w:rPr>
              <w:t>Accounts payable</w:t>
            </w:r>
          </w:p>
        </w:tc>
        <w:tc>
          <w:tcPr>
            <w:tcW w:w="32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6,353</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6,996</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Accrued compensation and related benefits</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2,388</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149"/>
        </w:trPr>
        <w:tc>
          <w:tcPr>
            <w:tcW w:w="4400" w:type="dxa"/>
            <w:vAlign w:val="bottom"/>
          </w:tcPr>
          <w:p>
            <w:pPr>
              <w:ind w:left="1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1,738</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2,421</w:t>
            </w: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4400" w:type="dxa"/>
            <w:vAlign w:val="bottom"/>
          </w:tcPr>
          <w:p>
            <w:pPr>
              <w:ind w:left="500"/>
              <w:spacing w:after="0" w:line="142" w:lineRule="exact"/>
              <w:rPr>
                <w:sz w:val="20"/>
                <w:szCs w:val="20"/>
                <w:color w:val="auto"/>
              </w:rPr>
            </w:pPr>
            <w:r>
              <w:rPr>
                <w:rFonts w:ascii="Arial" w:cs="Arial" w:eastAsia="Arial" w:hAnsi="Arial"/>
                <w:sz w:val="14"/>
                <w:szCs w:val="14"/>
                <w:color w:val="auto"/>
              </w:rPr>
              <w:t>Total current liabilities</w:t>
            </w:r>
          </w:p>
        </w:tc>
        <w:tc>
          <w:tcPr>
            <w:tcW w:w="29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10,606</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11,211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4,572</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4,462</w:t>
            </w:r>
          </w:p>
        </w:tc>
        <w:tc>
          <w:tcPr>
            <w:tcW w:w="0" w:type="dxa"/>
            <w:vAlign w:val="bottom"/>
          </w:tcPr>
          <w:p>
            <w:pPr>
              <w:spacing w:after="0"/>
              <w:rPr>
                <w:sz w:val="1"/>
                <w:szCs w:val="1"/>
                <w:color w:val="auto"/>
              </w:rPr>
            </w:pPr>
          </w:p>
        </w:tc>
      </w:tr>
      <w:tr>
        <w:trPr>
          <w:trHeight w:val="162"/>
        </w:trPr>
        <w:tc>
          <w:tcPr>
            <w:tcW w:w="4400" w:type="dxa"/>
            <w:vAlign w:val="bottom"/>
          </w:tcPr>
          <w:p>
            <w:pPr>
              <w:ind w:left="100"/>
              <w:spacing w:after="0"/>
              <w:rPr>
                <w:sz w:val="20"/>
                <w:szCs w:val="20"/>
                <w:color w:val="auto"/>
              </w:rPr>
            </w:pPr>
            <w:r>
              <w:rPr>
                <w:rFonts w:ascii="Arial" w:cs="Arial" w:eastAsia="Arial" w:hAnsi="Arial"/>
                <w:sz w:val="14"/>
                <w:szCs w:val="14"/>
                <w:color w:val="auto"/>
              </w:rPr>
              <w:t>Other non-current liabilities</w:t>
            </w: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56</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4400" w:type="dxa"/>
            <w:vAlign w:val="bottom"/>
            <w:tcBorders>
              <w:top w:val="single" w:sz="8" w:color="CCEEFF"/>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Total liabilities</w:t>
            </w:r>
          </w:p>
        </w:tc>
        <w:tc>
          <w:tcPr>
            <w:tcW w:w="29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15,234</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15,729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Commitments and contingencies (Note 10)</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Shareholders' equity:</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Preferred stock – par value $.10 per share; authorized 1,000,000 shares; none issued</w:t>
            </w: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0"/>
        </w:trPr>
        <w:tc>
          <w:tcPr>
            <w:tcW w:w="440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2"/>
              </w:rPr>
              <w:t>Common stock – par value $.10 per share; authorized 40,000,000 shares;</w:t>
            </w:r>
          </w:p>
        </w:tc>
        <w:tc>
          <w:tcPr>
            <w:tcW w:w="3240" w:type="dxa"/>
            <w:vAlign w:val="bottom"/>
            <w:gridSpan w:val="2"/>
            <w:shd w:val="clear" w:color="auto" w:fill="CCEEFF"/>
          </w:tcPr>
          <w:p>
            <w:pPr>
              <w:jc w:val="right"/>
              <w:ind w:right="1188"/>
              <w:spacing w:after="0" w:line="130" w:lineRule="exact"/>
              <w:rPr>
                <w:sz w:val="20"/>
                <w:szCs w:val="20"/>
                <w:color w:val="auto"/>
              </w:rPr>
            </w:pPr>
            <w:r>
              <w:rPr>
                <w:rFonts w:ascii="Arial" w:cs="Arial" w:eastAsia="Arial" w:hAnsi="Arial"/>
                <w:sz w:val="14"/>
                <w:szCs w:val="14"/>
                <w:color w:val="auto"/>
                <w:w w:val="89"/>
              </w:rPr>
              <w:t>issued - 18,974,211 shares at June</w:t>
            </w: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28, 2015 and 18,941,544 shares at December 31, 2014</w:t>
            </w: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1,897</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1,894</w:t>
            </w:r>
          </w:p>
        </w:tc>
        <w:tc>
          <w:tcPr>
            <w:tcW w:w="0" w:type="dxa"/>
            <w:vAlign w:val="bottom"/>
          </w:tcPr>
          <w:p>
            <w:pPr>
              <w:spacing w:after="0"/>
              <w:rPr>
                <w:sz w:val="1"/>
                <w:szCs w:val="1"/>
                <w:color w:val="auto"/>
              </w:rPr>
            </w:pPr>
          </w:p>
        </w:tc>
      </w:tr>
      <w:tr>
        <w:trPr>
          <w:trHeight w:val="149"/>
        </w:trPr>
        <w:tc>
          <w:tcPr>
            <w:tcW w:w="4400" w:type="dxa"/>
            <w:vAlign w:val="bottom"/>
          </w:tcPr>
          <w:p>
            <w:pPr>
              <w:ind w:left="180"/>
              <w:spacing w:after="0" w:line="149" w:lineRule="exact"/>
              <w:rPr>
                <w:sz w:val="20"/>
                <w:szCs w:val="20"/>
                <w:color w:val="auto"/>
              </w:rPr>
            </w:pPr>
            <w:r>
              <w:rPr>
                <w:rFonts w:ascii="Arial" w:cs="Arial" w:eastAsia="Arial" w:hAnsi="Arial"/>
                <w:sz w:val="14"/>
                <w:szCs w:val="14"/>
                <w:color w:val="auto"/>
              </w:rPr>
              <w:t>Capital in excess of par value</w:t>
            </w: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176,249</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175,940</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Accumulated deficit</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(95,599)</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(96,920)</w:t>
            </w:r>
          </w:p>
        </w:tc>
        <w:tc>
          <w:tcPr>
            <w:tcW w:w="0" w:type="dxa"/>
            <w:vAlign w:val="bottom"/>
          </w:tcPr>
          <w:p>
            <w:pPr>
              <w:spacing w:after="0"/>
              <w:rPr>
                <w:sz w:val="1"/>
                <w:szCs w:val="1"/>
                <w:color w:val="auto"/>
              </w:rPr>
            </w:pPr>
          </w:p>
        </w:tc>
      </w:tr>
      <w:tr>
        <w:trPr>
          <w:trHeight w:val="149"/>
        </w:trPr>
        <w:tc>
          <w:tcPr>
            <w:tcW w:w="4400" w:type="dxa"/>
            <w:vAlign w:val="bottom"/>
          </w:tcPr>
          <w:p>
            <w:pPr>
              <w:ind w:left="160"/>
              <w:spacing w:after="0" w:line="149" w:lineRule="exact"/>
              <w:rPr>
                <w:sz w:val="20"/>
                <w:szCs w:val="20"/>
                <w:color w:val="auto"/>
              </w:rPr>
            </w:pPr>
            <w:r>
              <w:rPr>
                <w:rFonts w:ascii="Arial" w:cs="Arial" w:eastAsia="Arial" w:hAnsi="Arial"/>
                <w:sz w:val="14"/>
                <w:szCs w:val="14"/>
                <w:color w:val="auto"/>
              </w:rPr>
              <w:t>Accumulated other comprehensive loss</w:t>
            </w: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(401)</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1"/>
              </w:rPr>
              <w:t>Treasury stock - at cost; 3,090,225 shares at June 28, 2015 and 1,600,731</w:t>
            </w: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300"/>
              <w:spacing w:after="0"/>
              <w:rPr>
                <w:sz w:val="20"/>
                <w:szCs w:val="20"/>
                <w:color w:val="auto"/>
              </w:rPr>
            </w:pPr>
            <w:r>
              <w:rPr>
                <w:rFonts w:ascii="Arial" w:cs="Arial" w:eastAsia="Arial" w:hAnsi="Arial"/>
                <w:sz w:val="14"/>
                <w:szCs w:val="14"/>
                <w:color w:val="auto"/>
              </w:rPr>
              <w:t>shares at December 31, 2014</w:t>
            </w: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(14,307)</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(8,420)</w:t>
            </w:r>
          </w:p>
        </w:tc>
        <w:tc>
          <w:tcPr>
            <w:tcW w:w="0" w:type="dxa"/>
            <w:vAlign w:val="bottom"/>
          </w:tcPr>
          <w:p>
            <w:pPr>
              <w:spacing w:after="0"/>
              <w:rPr>
                <w:sz w:val="1"/>
                <w:szCs w:val="1"/>
                <w:color w:val="auto"/>
              </w:rPr>
            </w:pPr>
          </w:p>
        </w:tc>
      </w:tr>
      <w:tr>
        <w:trPr>
          <w:trHeight w:val="142"/>
        </w:trPr>
        <w:tc>
          <w:tcPr>
            <w:tcW w:w="440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Ultralife equity</w:t>
            </w:r>
          </w:p>
        </w:tc>
        <w:tc>
          <w:tcPr>
            <w:tcW w:w="29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67,839</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72,027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180"/>
              <w:spacing w:after="0"/>
              <w:rPr>
                <w:sz w:val="20"/>
                <w:szCs w:val="20"/>
                <w:color w:val="auto"/>
              </w:rPr>
            </w:pPr>
            <w:r>
              <w:rPr>
                <w:rFonts w:ascii="Arial" w:cs="Arial" w:eastAsia="Arial" w:hAnsi="Arial"/>
                <w:sz w:val="14"/>
                <w:szCs w:val="14"/>
                <w:color w:val="auto"/>
              </w:rPr>
              <w:t>Noncontrolling interest</w:t>
            </w: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(138)</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2"/>
        </w:trPr>
        <w:tc>
          <w:tcPr>
            <w:tcW w:w="440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shareholders’ equity</w:t>
            </w:r>
          </w:p>
        </w:tc>
        <w:tc>
          <w:tcPr>
            <w:tcW w:w="29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67,701</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71,913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liabilities and shareholders' equity</w:t>
            </w:r>
          </w:p>
        </w:tc>
        <w:tc>
          <w:tcPr>
            <w:tcW w:w="32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82,935</w:t>
            </w:r>
          </w:p>
        </w:tc>
        <w:tc>
          <w:tcPr>
            <w:tcW w:w="11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87,642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3</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ULTRALIFE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 AND</w:t>
      </w:r>
    </w:p>
    <w:p>
      <w:pPr>
        <w:jc w:val="center"/>
        <w:spacing w:after="0" w:line="222" w:lineRule="auto"/>
        <w:rPr>
          <w:sz w:val="20"/>
          <w:szCs w:val="20"/>
          <w:color w:val="auto"/>
        </w:rPr>
      </w:pPr>
      <w:r>
        <w:rPr>
          <w:rFonts w:ascii="Arial" w:cs="Arial" w:eastAsia="Arial" w:hAnsi="Arial"/>
          <w:sz w:val="14"/>
          <w:szCs w:val="14"/>
          <w:b w:val="1"/>
          <w:bCs w:val="1"/>
          <w:color w:val="auto"/>
        </w:rPr>
        <w:t>COMPREHENSIVE INCOME (LOSS)</w:t>
      </w:r>
    </w:p>
    <w:p>
      <w:pPr>
        <w:jc w:val="center"/>
        <w:spacing w:after="0" w:line="221" w:lineRule="auto"/>
        <w:rPr>
          <w:sz w:val="20"/>
          <w:szCs w:val="20"/>
          <w:color w:val="auto"/>
        </w:rPr>
      </w:pPr>
      <w:r>
        <w:rPr>
          <w:rFonts w:ascii="Arial" w:cs="Arial" w:eastAsia="Arial" w:hAnsi="Arial"/>
          <w:sz w:val="14"/>
          <w:szCs w:val="14"/>
          <w:b w:val="1"/>
          <w:bCs w:val="1"/>
          <w:color w:val="auto"/>
        </w:rPr>
        <w:t>(In Thousands except per share amounts)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7"/>
          </w:tcPr>
          <w:p>
            <w:pPr>
              <w:jc w:val="right"/>
              <w:ind w:right="659"/>
              <w:spacing w:after="0"/>
              <w:rPr>
                <w:sz w:val="20"/>
                <w:szCs w:val="20"/>
                <w:color w:val="auto"/>
              </w:rPr>
            </w:pPr>
            <w:r>
              <w:rPr>
                <w:rFonts w:ascii="Arial" w:cs="Arial" w:eastAsia="Arial" w:hAnsi="Arial"/>
                <w:sz w:val="14"/>
                <w:szCs w:val="14"/>
                <w:b w:val="1"/>
                <w:bCs w:val="1"/>
                <w:color w:val="auto"/>
              </w:rPr>
              <w:t>Three month periods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6"/>
          </w:tcPr>
          <w:p>
            <w:pPr>
              <w:jc w:val="right"/>
              <w:ind w:right="719"/>
              <w:spacing w:after="0"/>
              <w:rPr>
                <w:sz w:val="20"/>
                <w:szCs w:val="20"/>
                <w:color w:val="auto"/>
              </w:rPr>
            </w:pPr>
            <w:r>
              <w:rPr>
                <w:rFonts w:ascii="Arial" w:cs="Arial" w:eastAsia="Arial" w:hAnsi="Arial"/>
                <w:sz w:val="14"/>
                <w:szCs w:val="14"/>
                <w:b w:val="1"/>
                <w:bCs w:val="1"/>
                <w:color w:val="auto"/>
              </w:rPr>
              <w:t>Six month periods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28,</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28,</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Revenues</w:t>
            </w:r>
          </w:p>
        </w:tc>
        <w:tc>
          <w:tcPr>
            <w:tcW w:w="1060" w:type="dxa"/>
            <w:vAlign w:val="bottom"/>
            <w:gridSpan w:val="2"/>
            <w:shd w:val="clear" w:color="auto" w:fill="CCEEFF"/>
          </w:tcPr>
          <w:p>
            <w:pPr>
              <w:jc w:val="right"/>
              <w:ind w:right="738"/>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8"/>
              </w:rPr>
              <w:t>18,955</w:t>
            </w:r>
          </w:p>
        </w:tc>
        <w:tc>
          <w:tcPr>
            <w:tcW w:w="6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15,199</w:t>
            </w:r>
          </w:p>
        </w:tc>
        <w:tc>
          <w:tcPr>
            <w:tcW w:w="5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38,132</w:t>
            </w:r>
          </w:p>
        </w:tc>
        <w:tc>
          <w:tcPr>
            <w:tcW w:w="5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30,484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Arial" w:cs="Arial" w:eastAsia="Arial" w:hAnsi="Arial"/>
                <w:sz w:val="14"/>
                <w:szCs w:val="14"/>
                <w:b w:val="1"/>
                <w:bCs w:val="1"/>
                <w:color w:val="auto"/>
              </w:rPr>
              <w:t>Cost of products sold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w w:val="88"/>
              </w:rPr>
              <w:t>13,096</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4"/>
                <w:szCs w:val="14"/>
                <w:color w:val="auto"/>
              </w:rPr>
              <w:t>10,987</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26,266</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4"/>
                <w:szCs w:val="14"/>
                <w:color w:val="auto"/>
              </w:rPr>
              <w:t>21,937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Gross profit</w:t>
            </w: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5,859</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4,212</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11,866</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8,547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Operating expenses:</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160"/>
              <w:spacing w:after="0" w:line="149" w:lineRule="exact"/>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1,560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2,693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3,708</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3,976</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7,534</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7,971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ind w:left="260"/>
              <w:spacing w:after="0" w:line="142" w:lineRule="exact"/>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5,042</w:t>
            </w: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5,536</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10,227</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10,967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Operating income (loss)</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817</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(1,324)</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Other (expense) income: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160"/>
              <w:spacing w:after="0" w:line="149" w:lineRule="exact"/>
              <w:rPr>
                <w:sz w:val="20"/>
                <w:szCs w:val="20"/>
                <w:color w:val="auto"/>
              </w:rPr>
            </w:pPr>
            <w:r>
              <w:rPr>
                <w:rFonts w:ascii="Arial" w:cs="Arial" w:eastAsia="Arial" w:hAnsi="Arial"/>
                <w:sz w:val="14"/>
                <w:szCs w:val="14"/>
                <w:color w:val="auto"/>
              </w:rPr>
              <w:t>Interest and financing expense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(41)</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Miscellaneous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Income (loss) from continuing operations before income taxes</w:t>
            </w: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845</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(1,319)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1,479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Income tax provision</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182</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Net income (loss) from continuing operations</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774</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(1,376)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1,297</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(2,595)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Arial" w:cs="Arial" w:eastAsia="Arial" w:hAnsi="Arial"/>
                <w:sz w:val="14"/>
                <w:szCs w:val="14"/>
                <w:color w:val="auto"/>
              </w:rPr>
              <w:t>Loss from discontinued operations, net of tax</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Net income (loss)</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(1,376)</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Arial" w:cs="Arial" w:eastAsia="Arial" w:hAnsi="Arial"/>
                <w:sz w:val="14"/>
                <w:szCs w:val="14"/>
                <w:color w:val="auto"/>
              </w:rPr>
              <w:t>Net loss attributable to non-controlling interest</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14</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24</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Net income (loss) attributable to Ultralife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(1,360)</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(2,646)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Other comprehensive income: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Comprehensive income (loss) attributable to Ultralife</w:t>
            </w:r>
          </w:p>
        </w:tc>
        <w:tc>
          <w:tcPr>
            <w:tcW w:w="1060" w:type="dxa"/>
            <w:vAlign w:val="bottom"/>
            <w:gridSpan w:val="2"/>
            <w:shd w:val="clear" w:color="auto" w:fill="CCEEFF"/>
          </w:tcPr>
          <w:p>
            <w:pPr>
              <w:jc w:val="right"/>
              <w:ind w:right="73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832</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9"/>
              <w:spacing w:after="0" w:line="176" w:lineRule="exact"/>
              <w:rPr>
                <w:sz w:val="20"/>
                <w:szCs w:val="20"/>
                <w:color w:val="auto"/>
              </w:rPr>
            </w:pPr>
            <w:r>
              <w:rPr>
                <w:rFonts w:ascii="Arial" w:cs="Arial" w:eastAsia="Arial" w:hAnsi="Arial"/>
                <w:sz w:val="12"/>
                <w:szCs w:val="12"/>
                <w:color w:val="auto"/>
              </w:rPr>
              <w:t>(1,291</w:t>
            </w:r>
            <w:r>
              <w:rPr>
                <w:rFonts w:ascii="Arial" w:cs="Arial" w:eastAsia="Arial" w:hAnsi="Arial"/>
                <w:sz w:val="20"/>
                <w:szCs w:val="20"/>
                <w:color w:val="auto"/>
                <w:vertAlign w:val="superscript"/>
              </w:rPr>
              <w:t>)</w:t>
            </w: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1,387</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9"/>
              <w:spacing w:after="0" w:line="176" w:lineRule="exact"/>
              <w:rPr>
                <w:sz w:val="20"/>
                <w:szCs w:val="20"/>
                <w:color w:val="auto"/>
              </w:rPr>
            </w:pPr>
            <w:r>
              <w:rPr>
                <w:rFonts w:ascii="Arial" w:cs="Arial" w:eastAsia="Arial" w:hAnsi="Arial"/>
                <w:sz w:val="12"/>
                <w:szCs w:val="12"/>
                <w:color w:val="auto"/>
              </w:rPr>
              <w:t>(2,511</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7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5"/>
              </w:rPr>
              <w:t>Net income (loss) per share attributable to Ultralife common shareholders</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 basic:</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380"/>
              <w:spacing w:after="0" w:line="149" w:lineRule="exact"/>
              <w:rPr>
                <w:sz w:val="20"/>
                <w:szCs w:val="20"/>
                <w:color w:val="auto"/>
              </w:rPr>
            </w:pPr>
            <w:r>
              <w:rPr>
                <w:rFonts w:ascii="Arial" w:cs="Arial" w:eastAsia="Arial" w:hAnsi="Arial"/>
                <w:sz w:val="14"/>
                <w:szCs w:val="14"/>
                <w:color w:val="auto"/>
              </w:rPr>
              <w:t>Continuing operations</w:t>
            </w:r>
          </w:p>
        </w:tc>
        <w:tc>
          <w:tcPr>
            <w:tcW w:w="1060" w:type="dxa"/>
            <w:vAlign w:val="bottom"/>
            <w:gridSpan w:val="2"/>
          </w:tcPr>
          <w:p>
            <w:pPr>
              <w:jc w:val="right"/>
              <w:ind w:right="738"/>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6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(.08)</w:t>
            </w:r>
          </w:p>
        </w:tc>
        <w:tc>
          <w:tcPr>
            <w:tcW w:w="5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5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Discontinued operations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bottom w:val="single" w:sz="8" w:color="CCEEFF"/>
            </w:tcBorders>
          </w:tcPr>
          <w:p>
            <w:pPr>
              <w:ind w:left="440"/>
              <w:spacing w:after="0" w:line="155" w:lineRule="exact"/>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3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720" w:type="dxa"/>
            <w:vAlign w:val="bottom"/>
          </w:tcPr>
          <w:p>
            <w:pPr>
              <w:spacing w:after="0" w:line="126" w:lineRule="exact"/>
              <w:rPr>
                <w:sz w:val="20"/>
                <w:szCs w:val="20"/>
                <w:color w:val="auto"/>
              </w:rPr>
            </w:pPr>
            <w:r>
              <w:rPr>
                <w:rFonts w:ascii="Arial" w:cs="Arial" w:eastAsia="Arial" w:hAnsi="Arial"/>
                <w:sz w:val="14"/>
                <w:szCs w:val="14"/>
                <w:b w:val="1"/>
                <w:bCs w:val="1"/>
                <w:color w:val="auto"/>
              </w:rPr>
              <w:t>Net income per share attributable to Ultralife common shareholders –</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ind w:left="160"/>
              <w:spacing w:after="0"/>
              <w:rPr>
                <w:sz w:val="20"/>
                <w:szCs w:val="20"/>
                <w:color w:val="auto"/>
              </w:rPr>
            </w:pPr>
            <w:r>
              <w:rPr>
                <w:rFonts w:ascii="Arial" w:cs="Arial" w:eastAsia="Arial" w:hAnsi="Arial"/>
                <w:sz w:val="14"/>
                <w:szCs w:val="14"/>
                <w:b w:val="1"/>
                <w:bCs w:val="1"/>
                <w:color w:val="auto"/>
              </w:rPr>
              <w:t>diluted: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Continuing operations</w:t>
            </w:r>
          </w:p>
        </w:tc>
        <w:tc>
          <w:tcPr>
            <w:tcW w:w="1060" w:type="dxa"/>
            <w:vAlign w:val="bottom"/>
            <w:gridSpan w:val="2"/>
            <w:shd w:val="clear" w:color="auto" w:fill="CCEEFF"/>
          </w:tcPr>
          <w:p>
            <w:pPr>
              <w:jc w:val="right"/>
              <w:ind w:right="738"/>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380"/>
              <w:spacing w:after="0"/>
              <w:rPr>
                <w:sz w:val="20"/>
                <w:szCs w:val="20"/>
                <w:color w:val="auto"/>
              </w:rPr>
            </w:pPr>
            <w:r>
              <w:rPr>
                <w:rFonts w:ascii="Arial" w:cs="Arial" w:eastAsia="Arial" w:hAnsi="Arial"/>
                <w:sz w:val="14"/>
                <w:szCs w:val="14"/>
                <w:color w:val="auto"/>
              </w:rPr>
              <w:t>Discontinued operations</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Borders>
              <w:top w:val="single" w:sz="8" w:color="CCEEFF"/>
              <w:bottom w:val="single" w:sz="8" w:color="CCEEFF"/>
            </w:tcBorders>
            <w:shd w:val="clear" w:color="auto" w:fill="CCEEFF"/>
          </w:tcPr>
          <w:p>
            <w:pPr>
              <w:ind w:left="440"/>
              <w:spacing w:after="0" w:line="155" w:lineRule="exact"/>
              <w:rPr>
                <w:sz w:val="20"/>
                <w:szCs w:val="20"/>
                <w:color w:val="auto"/>
              </w:rPr>
            </w:pPr>
            <w:r>
              <w:rPr>
                <w:rFonts w:ascii="Arial" w:cs="Arial" w:eastAsia="Arial" w:hAnsi="Arial"/>
                <w:sz w:val="14"/>
                <w:szCs w:val="14"/>
                <w:color w:val="auto"/>
              </w:rPr>
              <w:t>Total</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Weighted average shares outstanding – basic</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8"/>
              </w:rPr>
              <w:t>16,557</w:t>
            </w: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17,533</w:t>
            </w: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16,945</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4"/>
                <w:szCs w:val="14"/>
                <w:color w:val="auto"/>
              </w:rPr>
              <w:t>Potential common shares</w:t>
            </w: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4"/>
                <w:szCs w:val="14"/>
                <w:color w:val="auto"/>
              </w:rPr>
              <w:t>40</w:t>
            </w: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4"/>
                <w:szCs w:val="14"/>
                <w:color w:val="auto"/>
              </w:rPr>
              <w:t>32</w:t>
            </w: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Borders>
              <w:top w:val="single" w:sz="8" w:color="CCEEFF"/>
              <w:bottom w:val="single" w:sz="8" w:color="CCEEFF"/>
            </w:tcBorders>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Weighted average shares outstanding - diluted</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8"/>
              </w:rPr>
              <w:t>16,597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16,977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24"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4</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5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580" w:type="dxa"/>
            <w:vAlign w:val="bottom"/>
            <w:gridSpan w:val="2"/>
          </w:tcPr>
          <w:p>
            <w:pPr>
              <w:jc w:val="center"/>
              <w:ind w:right="728"/>
              <w:spacing w:after="0"/>
              <w:rPr>
                <w:sz w:val="20"/>
                <w:szCs w:val="20"/>
                <w:color w:val="auto"/>
              </w:rPr>
            </w:pPr>
            <w:r>
              <w:rPr>
                <w:rFonts w:ascii="Arial" w:cs="Arial" w:eastAsia="Arial" w:hAnsi="Arial"/>
                <w:sz w:val="14"/>
                <w:szCs w:val="14"/>
                <w:b w:val="1"/>
                <w:bCs w:val="1"/>
                <w:color w:val="auto"/>
              </w:rPr>
              <w:t>ULTRALIFE CORPORATION AND SUBSIDIARIES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4580" w:type="dxa"/>
            <w:vAlign w:val="bottom"/>
            <w:gridSpan w:val="2"/>
          </w:tcPr>
          <w:p>
            <w:pPr>
              <w:jc w:val="center"/>
              <w:ind w:right="768"/>
              <w:spacing w:after="0" w:line="149" w:lineRule="exact"/>
              <w:rPr>
                <w:sz w:val="20"/>
                <w:szCs w:val="20"/>
                <w:color w:val="auto"/>
              </w:rPr>
            </w:pPr>
            <w:r>
              <w:rPr>
                <w:rFonts w:ascii="Arial" w:cs="Arial" w:eastAsia="Arial" w:hAnsi="Arial"/>
                <w:sz w:val="14"/>
                <w:szCs w:val="14"/>
                <w:b w:val="1"/>
                <w:bCs w:val="1"/>
                <w:color w:val="auto"/>
              </w:rPr>
              <w:t>CONSOLIDATED STATEMENTS OF CASH FLOWS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4580" w:type="dxa"/>
            <w:vAlign w:val="bottom"/>
            <w:gridSpan w:val="2"/>
          </w:tcPr>
          <w:p>
            <w:pPr>
              <w:jc w:val="center"/>
              <w:ind w:right="728"/>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4580" w:type="dxa"/>
            <w:vAlign w:val="bottom"/>
            <w:gridSpan w:val="2"/>
          </w:tcPr>
          <w:p>
            <w:pPr>
              <w:jc w:val="center"/>
              <w:ind w:right="708"/>
              <w:spacing w:after="0"/>
              <w:rPr>
                <w:sz w:val="20"/>
                <w:szCs w:val="20"/>
                <w:color w:val="auto"/>
              </w:rPr>
            </w:pPr>
            <w:r>
              <w:rPr>
                <w:rFonts w:ascii="Arial" w:cs="Arial" w:eastAsia="Arial" w:hAnsi="Arial"/>
                <w:sz w:val="14"/>
                <w:szCs w:val="14"/>
                <w:b w:val="1"/>
                <w:bCs w:val="1"/>
                <w:color w:val="auto"/>
                <w:w w:val="94"/>
              </w:rPr>
              <w:t>(unaudited)</w:t>
            </w:r>
          </w:p>
        </w:tc>
        <w:tc>
          <w:tcPr>
            <w:tcW w:w="18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w w:val="96"/>
              </w:rPr>
              <w:t>Six month periods ended</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28,</w:t>
            </w:r>
          </w:p>
        </w:tc>
        <w:tc>
          <w:tcPr>
            <w:tcW w:w="1860" w:type="dxa"/>
            <w:vAlign w:val="bottom"/>
            <w:gridSpan w:val="5"/>
            <w:vMerge w:val="continue"/>
          </w:tcPr>
          <w:p>
            <w:pPr>
              <w:spacing w:after="0"/>
              <w:rPr>
                <w:sz w:val="12"/>
                <w:szCs w:val="12"/>
                <w:color w:val="auto"/>
              </w:rPr>
            </w:pPr>
          </w:p>
        </w:tc>
        <w:tc>
          <w:tcPr>
            <w:tcW w:w="11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45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OPERATING ACTIVITIES:</w:t>
            </w:r>
          </w:p>
        </w:tc>
        <w:tc>
          <w:tcPr>
            <w:tcW w:w="35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180"/>
              <w:spacing w:after="0" w:line="149" w:lineRule="exact"/>
              <w:rPr>
                <w:sz w:val="20"/>
                <w:szCs w:val="20"/>
                <w:color w:val="auto"/>
              </w:rPr>
            </w:pPr>
            <w:r>
              <w:rPr>
                <w:rFonts w:ascii="Arial" w:cs="Arial" w:eastAsia="Arial" w:hAnsi="Arial"/>
                <w:sz w:val="14"/>
                <w:szCs w:val="14"/>
                <w:color w:val="auto"/>
              </w:rPr>
              <w:t>Net income (loss)</w:t>
            </w:r>
          </w:p>
        </w:tc>
        <w:tc>
          <w:tcPr>
            <w:tcW w:w="4580" w:type="dxa"/>
            <w:vAlign w:val="bottom"/>
            <w:gridSpan w:val="2"/>
          </w:tcPr>
          <w:p>
            <w:pPr>
              <w:jc w:val="right"/>
              <w:ind w:right="928"/>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1,297</w:t>
            </w:r>
          </w:p>
        </w:tc>
        <w:tc>
          <w:tcPr>
            <w:tcW w:w="900" w:type="dxa"/>
            <w:vAlign w:val="bottom"/>
          </w:tcPr>
          <w:p>
            <w:pPr>
              <w:spacing w:after="0"/>
              <w:rPr>
                <w:sz w:val="12"/>
                <w:szCs w:val="12"/>
                <w:color w:val="auto"/>
              </w:rPr>
            </w:pPr>
          </w:p>
        </w:tc>
        <w:tc>
          <w:tcPr>
            <w:tcW w:w="420" w:type="dxa"/>
            <w:vAlign w:val="bottom"/>
            <w:gridSpan w:val="2"/>
          </w:tcPr>
          <w:p>
            <w:pPr>
              <w:jc w:val="right"/>
              <w:ind w:right="289"/>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(2,656)</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3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Adjustments to reconcile net income (loss) from continuing operations to net cash</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provided by operating activities:</w:t>
            </w:r>
          </w:p>
        </w:tc>
        <w:tc>
          <w:tcPr>
            <w:tcW w:w="3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400"/>
              <w:spacing w:after="0" w:line="149" w:lineRule="exact"/>
              <w:rPr>
                <w:sz w:val="20"/>
                <w:szCs w:val="20"/>
                <w:color w:val="auto"/>
              </w:rPr>
            </w:pPr>
            <w:r>
              <w:rPr>
                <w:rFonts w:ascii="Arial" w:cs="Arial" w:eastAsia="Arial" w:hAnsi="Arial"/>
                <w:sz w:val="14"/>
                <w:szCs w:val="14"/>
                <w:color w:val="auto"/>
              </w:rPr>
              <w:t>Depreciation and amortization of financing fees</w:t>
            </w:r>
          </w:p>
        </w:tc>
        <w:tc>
          <w:tcPr>
            <w:tcW w:w="3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1,196</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Amortization of intangible assets</w:t>
            </w:r>
          </w:p>
        </w:tc>
        <w:tc>
          <w:tcPr>
            <w:tcW w:w="3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119</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400"/>
              <w:spacing w:after="0" w:line="149" w:lineRule="exact"/>
              <w:rPr>
                <w:sz w:val="20"/>
                <w:szCs w:val="20"/>
                <w:color w:val="auto"/>
              </w:rPr>
            </w:pPr>
            <w:r>
              <w:rPr>
                <w:rFonts w:ascii="Arial" w:cs="Arial" w:eastAsia="Arial" w:hAnsi="Arial"/>
                <w:sz w:val="14"/>
                <w:szCs w:val="14"/>
                <w:color w:val="auto"/>
              </w:rPr>
              <w:t>Stock-based compensation</w:t>
            </w:r>
          </w:p>
        </w:tc>
        <w:tc>
          <w:tcPr>
            <w:tcW w:w="3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304</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Loss on long-lived asset disposals</w:t>
            </w:r>
          </w:p>
        </w:tc>
        <w:tc>
          <w:tcPr>
            <w:tcW w:w="3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ind w:left="400"/>
              <w:spacing w:after="0" w:line="149" w:lineRule="exact"/>
              <w:rPr>
                <w:sz w:val="20"/>
                <w:szCs w:val="20"/>
                <w:color w:val="auto"/>
              </w:rPr>
            </w:pPr>
            <w:r>
              <w:rPr>
                <w:rFonts w:ascii="Arial" w:cs="Arial" w:eastAsia="Arial" w:hAnsi="Arial"/>
                <w:sz w:val="14"/>
                <w:szCs w:val="14"/>
                <w:color w:val="auto"/>
              </w:rPr>
              <w:t>Changes in deferred income taxes</w:t>
            </w:r>
          </w:p>
        </w:tc>
        <w:tc>
          <w:tcPr>
            <w:tcW w:w="3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110</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3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500"/>
              <w:spacing w:after="0" w:line="149" w:lineRule="exact"/>
              <w:rPr>
                <w:sz w:val="20"/>
                <w:szCs w:val="20"/>
                <w:color w:val="auto"/>
              </w:rPr>
            </w:pPr>
            <w:r>
              <w:rPr>
                <w:rFonts w:ascii="Arial" w:cs="Arial" w:eastAsia="Arial" w:hAnsi="Arial"/>
                <w:sz w:val="14"/>
                <w:szCs w:val="14"/>
                <w:color w:val="auto"/>
              </w:rPr>
              <w:t>Accounts receivable</w:t>
            </w:r>
          </w:p>
        </w:tc>
        <w:tc>
          <w:tcPr>
            <w:tcW w:w="3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22</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Inventories</w:t>
            </w:r>
          </w:p>
        </w:tc>
        <w:tc>
          <w:tcPr>
            <w:tcW w:w="3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2,331</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49"/>
        </w:trPr>
        <w:tc>
          <w:tcPr>
            <w:tcW w:w="3820" w:type="dxa"/>
            <w:vAlign w:val="bottom"/>
          </w:tcPr>
          <w:p>
            <w:pPr>
              <w:ind w:left="500"/>
              <w:spacing w:after="0" w:line="149" w:lineRule="exact"/>
              <w:rPr>
                <w:sz w:val="20"/>
                <w:szCs w:val="20"/>
                <w:color w:val="auto"/>
              </w:rPr>
            </w:pPr>
            <w:r>
              <w:rPr>
                <w:rFonts w:ascii="Arial" w:cs="Arial" w:eastAsia="Arial" w:hAnsi="Arial"/>
                <w:sz w:val="14"/>
                <w:szCs w:val="14"/>
                <w:color w:val="auto"/>
              </w:rPr>
              <w:t>Prepaid expenses and other assets</w:t>
            </w:r>
          </w:p>
        </w:tc>
        <w:tc>
          <w:tcPr>
            <w:tcW w:w="3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193</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other liabilities</w:t>
            </w:r>
          </w:p>
        </w:tc>
        <w:tc>
          <w:tcPr>
            <w:tcW w:w="3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142"/>
        </w:trPr>
        <w:tc>
          <w:tcPr>
            <w:tcW w:w="382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350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4,745</w:t>
            </w: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INVESTING ACTIVITIES:</w:t>
            </w:r>
          </w:p>
        </w:tc>
        <w:tc>
          <w:tcPr>
            <w:tcW w:w="3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paid for property, equipment and improvements</w:t>
            </w:r>
          </w:p>
        </w:tc>
        <w:tc>
          <w:tcPr>
            <w:tcW w:w="3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62"/>
        </w:trPr>
        <w:tc>
          <w:tcPr>
            <w:tcW w:w="3820" w:type="dxa"/>
            <w:vAlign w:val="bottom"/>
          </w:tcPr>
          <w:p>
            <w:pPr>
              <w:ind w:left="180"/>
              <w:spacing w:after="0"/>
              <w:rPr>
                <w:sz w:val="20"/>
                <w:szCs w:val="20"/>
                <w:color w:val="auto"/>
              </w:rPr>
            </w:pPr>
            <w:r>
              <w:rPr>
                <w:rFonts w:ascii="Arial" w:cs="Arial" w:eastAsia="Arial" w:hAnsi="Arial"/>
                <w:sz w:val="14"/>
                <w:szCs w:val="14"/>
                <w:color w:val="auto"/>
              </w:rPr>
              <w:t>Change in restricted cash</w:t>
            </w:r>
          </w:p>
        </w:tc>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gridSpan w:val="2"/>
          </w:tcPr>
          <w:p>
            <w:pPr>
              <w:jc w:val="right"/>
              <w:ind w:right="48"/>
              <w:spacing w:after="0"/>
              <w:rPr>
                <w:sz w:val="20"/>
                <w:szCs w:val="20"/>
                <w:color w:val="auto"/>
              </w:rPr>
            </w:pPr>
            <w:r>
              <w:rPr>
                <w:rFonts w:ascii="Arial" w:cs="Arial" w:eastAsia="Arial" w:hAnsi="Arial"/>
                <w:sz w:val="14"/>
                <w:szCs w:val="14"/>
                <w:color w:val="auto"/>
              </w:rPr>
              <w:t>12</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used in investing activities</w:t>
            </w:r>
          </w:p>
        </w:tc>
        <w:tc>
          <w:tcPr>
            <w:tcW w:w="35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(872</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(398</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FINANCING ACTIVITIES:</w:t>
            </w:r>
          </w:p>
        </w:tc>
        <w:tc>
          <w:tcPr>
            <w:tcW w:w="3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180"/>
              <w:spacing w:after="0" w:line="149" w:lineRule="exact"/>
              <w:rPr>
                <w:sz w:val="20"/>
                <w:szCs w:val="20"/>
                <w:color w:val="auto"/>
              </w:rPr>
            </w:pPr>
            <w:r>
              <w:rPr>
                <w:rFonts w:ascii="Arial" w:cs="Arial" w:eastAsia="Arial" w:hAnsi="Arial"/>
                <w:sz w:val="14"/>
                <w:szCs w:val="14"/>
                <w:color w:val="auto"/>
              </w:rPr>
              <w:t>Cash paid to repurchase treasury stock</w:t>
            </w:r>
          </w:p>
        </w:tc>
        <w:tc>
          <w:tcPr>
            <w:tcW w:w="3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(5,887)</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Return of security deposit</w:t>
            </w:r>
          </w:p>
        </w:tc>
        <w:tc>
          <w:tcPr>
            <w:tcW w:w="3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66</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20" w:type="dxa"/>
            <w:vAlign w:val="bottom"/>
          </w:tcPr>
          <w:p>
            <w:pPr>
              <w:ind w:left="180"/>
              <w:spacing w:after="0"/>
              <w:rPr>
                <w:sz w:val="20"/>
                <w:szCs w:val="20"/>
                <w:color w:val="auto"/>
              </w:rPr>
            </w:pPr>
            <w:r>
              <w:rPr>
                <w:rFonts w:ascii="Arial" w:cs="Arial" w:eastAsia="Arial" w:hAnsi="Arial"/>
                <w:sz w:val="14"/>
                <w:szCs w:val="14"/>
                <w:color w:val="auto"/>
              </w:rPr>
              <w:t>Proceeds from issuance of common stock</w:t>
            </w:r>
          </w:p>
        </w:tc>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gridSpan w:val="2"/>
          </w:tcPr>
          <w:p>
            <w:pPr>
              <w:jc w:val="right"/>
              <w:ind w:right="48"/>
              <w:spacing w:after="0"/>
              <w:rPr>
                <w:sz w:val="20"/>
                <w:szCs w:val="20"/>
                <w:color w:val="auto"/>
              </w:rPr>
            </w:pPr>
            <w:r>
              <w:rPr>
                <w:rFonts w:ascii="Arial" w:cs="Arial" w:eastAsia="Arial" w:hAnsi="Arial"/>
                <w:sz w:val="14"/>
                <w:szCs w:val="14"/>
                <w:color w:val="auto"/>
              </w:rPr>
              <w:t>8</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used in financing activities</w:t>
            </w:r>
          </w:p>
        </w:tc>
        <w:tc>
          <w:tcPr>
            <w:tcW w:w="35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(5,813</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5"/>
              </w:rPr>
              <w:t>Effect of exchange rate changes on cash and cash equivalents</w:t>
            </w:r>
          </w:p>
        </w:tc>
        <w:tc>
          <w:tcPr>
            <w:tcW w:w="3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(DECREASE) INCREASE IN CASH AND CASH EQUIVALENTS</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(1,922)</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3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93"/>
              </w:rPr>
              <w:t>17,711</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16,489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CCEEFF"/>
            </w:tcBorders>
          </w:tcPr>
          <w:p>
            <w:pPr>
              <w:ind w:left="100"/>
              <w:spacing w:after="0" w:line="155" w:lineRule="exact"/>
              <w:rPr>
                <w:sz w:val="20"/>
                <w:szCs w:val="20"/>
                <w:color w:val="auto"/>
              </w:rPr>
            </w:pPr>
            <w:r>
              <w:rPr>
                <w:rFonts w:ascii="Arial" w:cs="Arial" w:eastAsia="Arial" w:hAnsi="Arial"/>
                <w:sz w:val="14"/>
                <w:szCs w:val="14"/>
                <w:color w:val="auto"/>
              </w:rPr>
              <w:t>Cash and cash equivalents, end of period</w:t>
            </w:r>
          </w:p>
        </w:tc>
        <w:tc>
          <w:tcPr>
            <w:tcW w:w="35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92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15,789</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17,160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820" w:type="dxa"/>
            <w:vAlign w:val="bottom"/>
            <w:shd w:val="clear" w:color="auto" w:fill="CCEEFF"/>
          </w:tcPr>
          <w:p>
            <w:pPr>
              <w:spacing w:after="0"/>
              <w:rPr>
                <w:sz w:val="11"/>
                <w:szCs w:val="11"/>
                <w:color w:val="auto"/>
              </w:rPr>
            </w:pPr>
          </w:p>
        </w:tc>
        <w:tc>
          <w:tcPr>
            <w:tcW w:w="35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NON-CASH ITEMS:</w:t>
            </w:r>
          </w:p>
        </w:tc>
        <w:tc>
          <w:tcPr>
            <w:tcW w:w="3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40"/>
              <w:spacing w:after="0"/>
              <w:rPr>
                <w:sz w:val="20"/>
                <w:szCs w:val="20"/>
                <w:color w:val="auto"/>
              </w:rPr>
            </w:pPr>
            <w:r>
              <w:rPr>
                <w:rFonts w:ascii="Arial" w:cs="Arial" w:eastAsia="Arial" w:hAnsi="Arial"/>
                <w:sz w:val="14"/>
                <w:szCs w:val="14"/>
                <w:color w:val="auto"/>
              </w:rPr>
              <w:t>Construction in progress in accounts payable</w:t>
            </w:r>
          </w:p>
        </w:tc>
        <w:tc>
          <w:tcPr>
            <w:tcW w:w="458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144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89"/>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8"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5</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4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Ultralife Corporation (the “Company”)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Condensed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2014.</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December 31, 2014 condensed consolidated balance sheet data was derived from audited financial statements, but does not include all disclosures required by GAAP.</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quarters end on the last Sunday of the third month in the quarter, as opposed to a calendar month-based cycle for each fiscal quarter. While the actual dates for the quarter-ends will change slightly each year, we believe that there are not any material differences when making quarterly comparisons.</w:t>
      </w:r>
    </w:p>
    <w:p>
      <w:pPr>
        <w:spacing w:after="0" w:line="34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under which the Company was authorized to repurchase up to 1.8 million shares of its outstanding common stock over a period not to exceed twelve months.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28, 2015, the Board of Directors authorized an extension of the Share Repurchase Program for an additional twelve month period beginning May 1, 2015 and ending April 30, 2016, subject, for the entire period as extended, to the 1.8 million share aggregate limit established in the initial authorization.</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2, 2015, the Board of Directors approved an expansion and extension of the Share Repurchase Program, authorizing the repurchase of up to an additional 1.6 million shares through June 2, 2016.</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Share repurchases under this program are made in accordance with SEC Rule 10b-18 using a variety of methods, which may include open market purchases, privately negotiated transactions and block trades, or any combination of such methods, in compliance with applicable insider trading and other securities laws and regulations. With the exception of repurchases made during stock trading black-out periods under a 10b5-1 Plan, the timing, manner, price and amount of any repurchase are determined at the Company’s discretion. The Share Repurchase Program may be suspended, terminated or modified by the Company at any time and for any reason. The Share Repurchase Program does not obligate the Company to repurchase any specific number of shares.</w:t>
      </w:r>
    </w:p>
    <w:p>
      <w:pPr>
        <w:spacing w:after="0" w:line="374" w:lineRule="exact"/>
        <w:rPr>
          <w:sz w:val="20"/>
          <w:szCs w:val="20"/>
          <w:color w:val="auto"/>
        </w:rPr>
      </w:pPr>
    </w:p>
    <w:p>
      <w:pPr>
        <w:jc w:val="both"/>
        <w:ind w:left="568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6</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61" w:right="239" w:bottom="1440" w:gutter="0" w:footer="0" w:header="0"/>
        </w:sectPr>
      </w:pPr>
    </w:p>
    <w:bookmarkStart w:id="6" w:name="page7"/>
    <w:bookmarkEnd w:id="6"/>
    <w:p>
      <w:pPr>
        <w:jc w:val="both"/>
        <w:ind w:firstLine="324"/>
        <w:spacing w:after="0" w:line="276" w:lineRule="auto"/>
        <w:rPr>
          <w:sz w:val="20"/>
          <w:szCs w:val="20"/>
          <w:color w:val="auto"/>
        </w:rPr>
      </w:pPr>
      <w:r>
        <w:rPr>
          <w:rFonts w:ascii="Arial" w:cs="Arial" w:eastAsia="Arial" w:hAnsi="Arial"/>
          <w:sz w:val="17"/>
          <w:szCs w:val="17"/>
          <w:color w:val="auto"/>
        </w:rPr>
        <w:t>During the three month period ended June 28, 2015, the Company repurchased 1,398,454 shares under this program for a total cost (excluding fees and commissions) of $5,509. During the six month period ended June 28, 2015, the Company repurchased 1,476,855 shares under this program for a total cost (excluding fees and commissions) of $5,805. From the inception of the Share Repurchase Program on May 1, 2014 through July 29, 2015, the Company has repurchased 1,941,691 shares for an aggregate cost (excluding fees and commissions) of $7,525. The total remaining balance of shares authorized for repurchase under the Share Repurchase Program is 1,458,309 shares as of July 29, 2015.</w:t>
      </w:r>
    </w:p>
    <w:p>
      <w:pPr>
        <w:spacing w:after="0" w:line="38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CHINA FACILITY RELOCATION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we were informed by local government authorities in Shenzhen, China that the lease for our facility there would not be extended, and we commenced a search for an alternate site to relocate our facility. In July 2014, our subsidiary in China entered into a lease for a replacement facility, also located in Shenzhen. During the fourth quarter of 2014, our subsidiary in China vacated its former facility premises and substantially completed a move and transition to this new facility.</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received compensation from the local government authorities for leasehold improvements and moving-related costs totaling $815, of which $596 was recognized as a reduction of expenses incurred during 2014, which were $841. It is the Company’s policy to recognize this compensation as a reduction of expenses as the expenses are recognized. Additional amounts totaling $158 and $219 of this government compensation were recognized as reductions of expenses during the three- and six-month periods ended June 28, 2015, respectively. The related expenses incurred during the three- and six-month periods ended June 28, 2015 were $112 and $221, respectively. The relocation payments were complete as of June 28, 2015.</w:t>
      </w:r>
    </w:p>
    <w:p>
      <w:pPr>
        <w:spacing w:after="0" w:line="37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Inventories are stated at the lower of cost or market with cost determined under the first-in, first-out (FIFO) method. The composition of inventories was: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88"/>
              </w:rPr>
              <w:t>June 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13,595</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15,100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1,814</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18"/>
                <w:szCs w:val="18"/>
                <w:color w:val="auto"/>
              </w:rPr>
            </w:pPr>
          </w:p>
        </w:tc>
      </w:tr>
      <w:tr>
        <w:trPr>
          <w:trHeight w:val="23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8,591</w:t>
            </w: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9,497</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EQUIPMENT AND IMPROVEMENTS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Major classes of property, equipment and improvements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28,</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4460" w:type="dxa"/>
            <w:vAlign w:val="bottom"/>
            <w:tcBorders>
              <w:bottom w:val="single" w:sz="8" w:color="CCEEFF"/>
            </w:tcBorders>
          </w:tcPr>
          <w:p>
            <w:pPr>
              <w:spacing w:after="0"/>
              <w:rPr>
                <w:sz w:val="20"/>
                <w:szCs w:val="20"/>
                <w:color w:val="auto"/>
              </w:rPr>
            </w:pPr>
          </w:p>
        </w:tc>
        <w:tc>
          <w:tcPr>
            <w:tcW w:w="28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r>
      <w:tr>
        <w:trPr>
          <w:trHeight w:val="210"/>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28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Buildings and leasehold improvements</w:t>
            </w: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7,475</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7,437</w:t>
            </w: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and equipment</w:t>
            </w:r>
          </w:p>
        </w:tc>
        <w:tc>
          <w:tcPr>
            <w:tcW w:w="2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48,395</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48,054</w:t>
            </w: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Furniture and fixtures</w:t>
            </w: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1,993</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1,811</w:t>
            </w: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Computer hardware and software</w:t>
            </w:r>
          </w:p>
        </w:tc>
        <w:tc>
          <w:tcPr>
            <w:tcW w:w="2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4,525</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r>
      <w:tr>
        <w:trPr>
          <w:trHeight w:val="230"/>
        </w:trPr>
        <w:tc>
          <w:tcPr>
            <w:tcW w:w="4460" w:type="dxa"/>
            <w:vAlign w:val="bottom"/>
          </w:tcPr>
          <w:p>
            <w:pPr>
              <w:ind w:left="100"/>
              <w:spacing w:after="0"/>
              <w:rPr>
                <w:sz w:val="20"/>
                <w:szCs w:val="20"/>
                <w:color w:val="auto"/>
              </w:rPr>
            </w:pPr>
            <w:r>
              <w:rPr>
                <w:rFonts w:ascii="Arial" w:cs="Arial" w:eastAsia="Arial" w:hAnsi="Arial"/>
                <w:sz w:val="18"/>
                <w:szCs w:val="18"/>
                <w:color w:val="auto"/>
              </w:rPr>
              <w:t>Construction in process</w:t>
            </w:r>
          </w:p>
        </w:tc>
        <w:tc>
          <w:tcPr>
            <w:tcW w:w="2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1,390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1,351</w:t>
            </w:r>
          </w:p>
        </w:tc>
      </w:tr>
      <w:tr>
        <w:trPr>
          <w:trHeight w:val="210"/>
        </w:trPr>
        <w:tc>
          <w:tcPr>
            <w:tcW w:w="446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63,901</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460" w:type="dxa"/>
            <w:vAlign w:val="bottom"/>
          </w:tcPr>
          <w:p>
            <w:pPr>
              <w:ind w:left="100"/>
              <w:spacing w:after="0"/>
              <w:rPr>
                <w:sz w:val="20"/>
                <w:szCs w:val="20"/>
                <w:color w:val="auto"/>
              </w:rPr>
            </w:pPr>
            <w:r>
              <w:rPr>
                <w:rFonts w:ascii="Arial" w:cs="Arial" w:eastAsia="Arial" w:hAnsi="Arial"/>
                <w:sz w:val="18"/>
                <w:szCs w:val="18"/>
                <w:color w:val="auto"/>
              </w:rPr>
              <w:t>Less-accumulated depreciation</w:t>
            </w:r>
          </w:p>
        </w:tc>
        <w:tc>
          <w:tcPr>
            <w:tcW w:w="2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(54,400)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(53,416)</w:t>
            </w:r>
          </w:p>
        </w:tc>
      </w:tr>
      <w:tr>
        <w:trPr>
          <w:trHeight w:val="223"/>
        </w:trPr>
        <w:tc>
          <w:tcPr>
            <w:tcW w:w="44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property, equipment and improvements</w:t>
            </w: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460" w:type="dxa"/>
            <w:vAlign w:val="bottom"/>
          </w:tcPr>
          <w:p>
            <w:pPr>
              <w:spacing w:after="0"/>
              <w:rPr>
                <w:sz w:val="24"/>
                <w:szCs w:val="24"/>
                <w:color w:val="auto"/>
              </w:rPr>
            </w:pPr>
          </w:p>
        </w:tc>
        <w:tc>
          <w:tcPr>
            <w:tcW w:w="2860" w:type="dxa"/>
            <w:vAlign w:val="bottom"/>
          </w:tcPr>
          <w:p>
            <w:pPr>
              <w:jc w:val="right"/>
              <w:ind w:right="147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Borders>
              <w:bottom w:val="single" w:sz="8" w:color="0000EE"/>
            </w:tcBorders>
            <w:gridSpan w:val="2"/>
          </w:tcPr>
          <w:p>
            <w:pPr>
              <w:jc w:val="right"/>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r>
    </w:tbl>
    <w:p>
      <w:pPr>
        <w:sectPr>
          <w:pgSz w:w="11900" w:h="16838" w:orient="portrait"/>
          <w:cols w:equalWidth="0" w:num="1">
            <w:col w:w="11420"/>
          </w:cols>
          <w:pgMar w:left="240" w:top="881" w:right="239" w:bottom="1440" w:gutter="0" w:footer="0" w:header="0"/>
        </w:sectPr>
      </w:pPr>
    </w:p>
    <w:bookmarkStart w:id="7" w:name="page8"/>
    <w:bookmarkEnd w:id="7"/>
    <w:p>
      <w:pPr>
        <w:ind w:left="260"/>
        <w:spacing w:after="0"/>
        <w:rPr>
          <w:sz w:val="20"/>
          <w:szCs w:val="20"/>
          <w:color w:val="auto"/>
        </w:rPr>
      </w:pPr>
      <w:r>
        <w:rPr>
          <w:rFonts w:ascii="Arial" w:cs="Arial" w:eastAsia="Arial" w:hAnsi="Arial"/>
          <w:sz w:val="18"/>
          <w:szCs w:val="18"/>
          <w:color w:val="auto"/>
        </w:rPr>
        <w:t>Depreciation expense for property, equipment and improvements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4740" w:type="dxa"/>
            <w:vAlign w:val="bottom"/>
            <w:gridSpan w:val="6"/>
          </w:tcPr>
          <w:p>
            <w:pPr>
              <w:ind w:left="1640"/>
              <w:spacing w:after="0"/>
              <w:rPr>
                <w:sz w:val="20"/>
                <w:szCs w:val="20"/>
                <w:color w:val="auto"/>
              </w:rPr>
            </w:pPr>
            <w:r>
              <w:rPr>
                <w:rFonts w:ascii="Arial" w:cs="Arial" w:eastAsia="Arial" w:hAnsi="Arial"/>
                <w:sz w:val="18"/>
                <w:szCs w:val="18"/>
                <w:b w:val="1"/>
                <w:bCs w:val="1"/>
                <w:color w:val="auto"/>
              </w:rPr>
              <w:t>Three-month periods ended</w:t>
            </w:r>
          </w:p>
        </w:tc>
        <w:tc>
          <w:tcPr>
            <w:tcW w:w="2320" w:type="dxa"/>
            <w:vAlign w:val="bottom"/>
            <w:gridSpan w:val="5"/>
          </w:tcPr>
          <w:p>
            <w:pPr>
              <w:ind w:left="340"/>
              <w:spacing w:after="0"/>
              <w:rPr>
                <w:sz w:val="20"/>
                <w:szCs w:val="20"/>
                <w:color w:val="auto"/>
              </w:rPr>
            </w:pPr>
            <w:r>
              <w:rPr>
                <w:rFonts w:ascii="Arial" w:cs="Arial" w:eastAsia="Arial" w:hAnsi="Arial"/>
                <w:sz w:val="18"/>
                <w:szCs w:val="18"/>
                <w:b w:val="1"/>
                <w:bCs w:val="1"/>
                <w:color w:val="auto"/>
                <w:w w:val="90"/>
              </w:rPr>
              <w:t>Six-month periods ended</w:t>
            </w:r>
          </w:p>
        </w:tc>
        <w:tc>
          <w:tcPr>
            <w:tcW w:w="1060" w:type="dxa"/>
            <w:vAlign w:val="bottom"/>
          </w:tcPr>
          <w:p>
            <w:pPr>
              <w:spacing w:after="0"/>
              <w:rPr>
                <w:sz w:val="18"/>
                <w:szCs w:val="18"/>
                <w:color w:val="auto"/>
              </w:rPr>
            </w:pPr>
          </w:p>
        </w:tc>
      </w:tr>
      <w:tr>
        <w:trPr>
          <w:trHeight w:val="230"/>
        </w:trPr>
        <w:tc>
          <w:tcPr>
            <w:tcW w:w="3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June 28,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June 29,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June 28,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29,</w:t>
            </w:r>
          </w:p>
        </w:tc>
      </w:tr>
      <w:tr>
        <w:trPr>
          <w:trHeight w:val="234"/>
        </w:trPr>
        <w:tc>
          <w:tcPr>
            <w:tcW w:w="330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0"/>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expense</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1,465</w:t>
            </w:r>
          </w:p>
        </w:tc>
      </w:tr>
    </w:tbl>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INTANGIBLE ASSETS AND LONG TERM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Goodwill</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goodwill activity by segment for the six-month periods ended June 28, 2015 and June 29,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7"/>
              </w:rPr>
              <w:t>Battery &amp;</w:t>
            </w:r>
          </w:p>
        </w:tc>
        <w:tc>
          <w:tcPr>
            <w:tcW w:w="200" w:type="dxa"/>
            <w:vAlign w:val="bottom"/>
          </w:tcPr>
          <w:p>
            <w:pPr>
              <w:spacing w:after="0"/>
              <w:rPr>
                <w:sz w:val="18"/>
                <w:szCs w:val="18"/>
                <w:color w:val="auto"/>
              </w:rPr>
            </w:pPr>
          </w:p>
        </w:tc>
        <w:tc>
          <w:tcPr>
            <w:tcW w:w="184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4"/>
              </w:rPr>
              <w:t>Communi-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1"/>
              </w:rPr>
              <w:t>Energy</w:t>
            </w:r>
          </w:p>
        </w:tc>
        <w:tc>
          <w:tcPr>
            <w:tcW w:w="200" w:type="dxa"/>
            <w:vAlign w:val="bottom"/>
          </w:tcPr>
          <w:p>
            <w:pPr>
              <w:spacing w:after="0"/>
              <w:rPr>
                <w:sz w:val="19"/>
                <w:szCs w:val="19"/>
                <w:color w:val="auto"/>
              </w:rPr>
            </w:pPr>
          </w:p>
        </w:tc>
        <w:tc>
          <w:tcPr>
            <w:tcW w:w="18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5"/>
              </w:rPr>
              <w:t>cations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Products</w:t>
            </w:r>
          </w:p>
        </w:tc>
        <w:tc>
          <w:tcPr>
            <w:tcW w:w="200" w:type="dxa"/>
            <w:vAlign w:val="bottom"/>
          </w:tcPr>
          <w:p>
            <w:pPr>
              <w:spacing w:after="0"/>
              <w:rPr>
                <w:sz w:val="20"/>
                <w:szCs w:val="20"/>
                <w:color w:val="auto"/>
              </w:rPr>
            </w:pPr>
          </w:p>
        </w:tc>
        <w:tc>
          <w:tcPr>
            <w:tcW w:w="18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3"/>
              </w:rPr>
              <w:t>Systems</w:t>
            </w:r>
          </w:p>
        </w:tc>
        <w:tc>
          <w:tcPr>
            <w:tcW w:w="3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2013</w:t>
            </w: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11,493</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29, 2014</w:t>
            </w:r>
          </w:p>
        </w:tc>
        <w:tc>
          <w:tcPr>
            <w:tcW w:w="1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28, 2015</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81" w:right="239" w:bottom="1440"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Intangible Assets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composition of intangible assets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Patents and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Distributor relationships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at June 28,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3"/>
          </w:tcPr>
          <w:p>
            <w:pPr>
              <w:ind w:left="60"/>
              <w:spacing w:after="0" w:line="205" w:lineRule="exact"/>
              <w:rPr>
                <w:sz w:val="20"/>
                <w:szCs w:val="20"/>
                <w:color w:val="auto"/>
              </w:rPr>
            </w:pPr>
            <w:r>
              <w:rPr>
                <w:rFonts w:ascii="Arial" w:cs="Arial" w:eastAsia="Arial" w:hAnsi="Arial"/>
                <w:sz w:val="18"/>
                <w:szCs w:val="18"/>
                <w:b w:val="1"/>
                <w:bCs w:val="1"/>
                <w:color w:val="auto"/>
              </w:rPr>
              <w:t>Accumulated</w:t>
            </w: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9"/>
              </w:rPr>
              <w:t>amortization</w:t>
            </w:r>
          </w:p>
        </w:tc>
        <w:tc>
          <w:tcPr>
            <w:tcW w:w="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100" w:type="dxa"/>
            <w:vAlign w:val="bottom"/>
            <w:tcBorders>
              <w:bottom w:val="single" w:sz="8" w:color="auto"/>
            </w:tcBorders>
          </w:tcPr>
          <w:p>
            <w:pPr>
              <w:spacing w:after="0"/>
              <w:rPr>
                <w:sz w:val="20"/>
                <w:szCs w:val="20"/>
                <w:color w:val="auto"/>
              </w:rPr>
            </w:pPr>
          </w:p>
        </w:tc>
      </w:tr>
      <w:tr>
        <w:trPr>
          <w:trHeight w:val="411"/>
        </w:trPr>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(4,184)</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(3,738)</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-736600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-462280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-179705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580"/>
          </w:cols>
          <w:pgMar w:left="240" w:top="881"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gridSpan w:val="5"/>
            <w:shd w:val="clear" w:color="auto" w:fill="CCEEFF"/>
          </w:tcPr>
          <w:p>
            <w:pPr>
              <w:ind w:left="520"/>
              <w:spacing w:after="0"/>
              <w:rPr>
                <w:sz w:val="20"/>
                <w:szCs w:val="20"/>
                <w:color w:val="auto"/>
              </w:rPr>
            </w:pPr>
            <w:r>
              <w:rPr>
                <w:rFonts w:ascii="Arial" w:cs="Arial" w:eastAsia="Arial" w:hAnsi="Arial"/>
                <w:sz w:val="18"/>
                <w:szCs w:val="18"/>
                <w:b w:val="1"/>
                <w:bCs w:val="1"/>
                <w:color w:val="auto"/>
              </w:rPr>
              <w:t>at December 31, 2014</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3"/>
          </w:tcPr>
          <w:p>
            <w:pPr>
              <w:ind w:left="60"/>
              <w:spacing w:after="0" w:line="205" w:lineRule="exact"/>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Patents and technology</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(4,114)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320"/>
              <w:spacing w:after="0"/>
              <w:rPr>
                <w:sz w:val="20"/>
                <w:szCs w:val="20"/>
                <w:color w:val="auto"/>
              </w:rPr>
            </w:pPr>
            <w:r>
              <w:rPr>
                <w:rFonts w:ascii="Arial" w:cs="Arial" w:eastAsia="Arial" w:hAnsi="Arial"/>
                <w:sz w:val="18"/>
                <w:szCs w:val="18"/>
                <w:color w:val="auto"/>
              </w:rPr>
              <w:t>Amortization expense for intangible assets was as follows:</w:t>
            </w: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bottom w:val="single" w:sz="8" w:color="0000EE"/>
            </w:tcBorders>
            <w:gridSpan w:val="2"/>
          </w:tcPr>
          <w:p>
            <w:pPr>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80" w:type="dxa"/>
            <w:vAlign w:val="bottom"/>
            <w:gridSpan w:val="5"/>
          </w:tcPr>
          <w:p>
            <w:pPr>
              <w:jc w:val="right"/>
              <w:ind w:right="77"/>
              <w:spacing w:after="0"/>
              <w:rPr>
                <w:sz w:val="20"/>
                <w:szCs w:val="20"/>
                <w:color w:val="auto"/>
              </w:rPr>
            </w:pPr>
            <w:r>
              <w:rPr>
                <w:rFonts w:ascii="Arial" w:cs="Arial" w:eastAsia="Arial" w:hAnsi="Arial"/>
                <w:sz w:val="18"/>
                <w:szCs w:val="18"/>
                <w:b w:val="1"/>
                <w:bCs w:val="1"/>
                <w:color w:val="auto"/>
              </w:rPr>
              <w:t>Three-month periods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8"/>
          </w:tcPr>
          <w:p>
            <w:pPr>
              <w:ind w:left="340"/>
              <w:spacing w:after="0"/>
              <w:rPr>
                <w:sz w:val="20"/>
                <w:szCs w:val="20"/>
                <w:color w:val="auto"/>
              </w:rPr>
            </w:pPr>
            <w:r>
              <w:rPr>
                <w:rFonts w:ascii="Arial" w:cs="Arial" w:eastAsia="Arial" w:hAnsi="Arial"/>
                <w:sz w:val="18"/>
                <w:szCs w:val="18"/>
                <w:b w:val="1"/>
                <w:bCs w:val="1"/>
                <w:color w:val="auto"/>
              </w:rPr>
              <w:t>Six-month periods ended</w:t>
            </w:r>
          </w:p>
        </w:tc>
      </w:tr>
      <w:tr>
        <w:trPr>
          <w:trHeight w:val="230"/>
        </w:trPr>
        <w:tc>
          <w:tcPr>
            <w:tcW w:w="3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June 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June 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b w:val="1"/>
                <w:bCs w:val="1"/>
                <w:color w:val="auto"/>
              </w:rPr>
              <w:t>June 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29,</w:t>
            </w:r>
          </w:p>
        </w:tc>
      </w:tr>
      <w:tr>
        <w:trPr>
          <w:trHeight w:val="234"/>
        </w:trPr>
        <w:tc>
          <w:tcPr>
            <w:tcW w:w="3840" w:type="dxa"/>
            <w:vAlign w:val="bottom"/>
          </w:tcPr>
          <w:p>
            <w:pPr>
              <w:spacing w:after="0"/>
              <w:rPr>
                <w:sz w:val="20"/>
                <w:szCs w:val="20"/>
                <w:color w:val="auto"/>
              </w:rPr>
            </w:pPr>
          </w:p>
        </w:tc>
        <w:tc>
          <w:tcPr>
            <w:tcW w:w="2160" w:type="dxa"/>
            <w:vAlign w:val="bottom"/>
            <w:gridSpan w:val="2"/>
          </w:tcPr>
          <w:p>
            <w:pPr>
              <w:jc w:val="right"/>
              <w:ind w:right="95"/>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97"/>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Amortization included in:</w:t>
            </w:r>
          </w:p>
        </w:tc>
        <w:tc>
          <w:tcPr>
            <w:tcW w:w="1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38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160" w:type="dxa"/>
            <w:vAlign w:val="bottom"/>
            <w:gridSpan w:val="2"/>
          </w:tcPr>
          <w:p>
            <w:pPr>
              <w:jc w:val="right"/>
              <w:ind w:right="895"/>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33</w:t>
            </w:r>
          </w:p>
        </w:tc>
        <w:tc>
          <w:tcPr>
            <w:tcW w:w="140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6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r>
      <w:tr>
        <w:trPr>
          <w:trHeight w:val="230"/>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r>
      <w:tr>
        <w:trPr>
          <w:trHeight w:val="223"/>
        </w:trPr>
        <w:tc>
          <w:tcPr>
            <w:tcW w:w="3840" w:type="dxa"/>
            <w:vAlign w:val="bottom"/>
          </w:tcPr>
          <w:p>
            <w:pPr>
              <w:ind w:left="320"/>
              <w:spacing w:after="0"/>
              <w:rPr>
                <w:sz w:val="20"/>
                <w:szCs w:val="20"/>
                <w:color w:val="auto"/>
              </w:rPr>
            </w:pPr>
            <w:r>
              <w:rPr>
                <w:rFonts w:ascii="Arial" w:cs="Arial" w:eastAsia="Arial" w:hAnsi="Arial"/>
                <w:sz w:val="18"/>
                <w:szCs w:val="18"/>
                <w:color w:val="auto"/>
              </w:rPr>
              <w:t>Total amortization expense</w:t>
            </w:r>
          </w:p>
        </w:tc>
        <w:tc>
          <w:tcPr>
            <w:tcW w:w="1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9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 in the cost value of total intangible assets from December 31, 2014 to June 28, 2015 is a result of the effect of foreign currency translations.</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financing through a Revolving Credit, Guaranty and Security Agreement, dated as of May 24, 2013, (the “Credit Agreement”) and related security agreements with PNC Bank, National Association (“PNC”), which provides a $20 million secured asset-based revolving credit facility that includes a $1 million letter of credit sub-facility (the “Credit Facility”). The Credit Agreement provides that the Credit Facility may be increased with PNC’s concurrence to an amount not to exceed $35 million, provided such increase must occur prior to the last six months of the term, which expires on May 24, 2017.</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28, 2015, we had approximately $11,409 of borrowing capacity in addition to our cash on hand of $15,789, and we had no outstanding borrowings or outstanding letters of credit under the Credit Facility at either June 28, 2015 or December 31, 2014.</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5, 2015, the Company and PNC entered into a Fourth Amendment to the Credit Agreement, permitting the expansion and extension of the Company’s Share Repurchase Program, described in Note 2 above, subject to the same terms and conditions set forth in the previous amendments to the Credit Agreement.</w:t>
      </w:r>
    </w:p>
    <w:p>
      <w:pPr>
        <w:spacing w:after="0" w:line="39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SHAREHOLDERS’ EQUITY</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recorded non-cash stock compensation expense in each period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Three-month periods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7"/>
          </w:tcPr>
          <w:p>
            <w:pPr>
              <w:ind w:left="340"/>
              <w:spacing w:after="0"/>
              <w:rPr>
                <w:sz w:val="20"/>
                <w:szCs w:val="20"/>
                <w:color w:val="auto"/>
              </w:rPr>
            </w:pPr>
            <w:r>
              <w:rPr>
                <w:rFonts w:ascii="Arial" w:cs="Arial" w:eastAsia="Arial" w:hAnsi="Arial"/>
                <w:sz w:val="18"/>
                <w:szCs w:val="18"/>
                <w:b w:val="1"/>
                <w:bCs w:val="1"/>
                <w:color w:val="auto"/>
              </w:rPr>
              <w:t>Six-month periods ended</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29,</w:t>
            </w:r>
          </w:p>
        </w:tc>
        <w:tc>
          <w:tcPr>
            <w:tcW w:w="0" w:type="dxa"/>
            <w:vAlign w:val="bottom"/>
          </w:tcPr>
          <w:p>
            <w:pPr>
              <w:spacing w:after="0"/>
              <w:rPr>
                <w:sz w:val="1"/>
                <w:szCs w:val="1"/>
                <w:color w:val="auto"/>
              </w:rPr>
            </w:pPr>
          </w:p>
        </w:tc>
      </w:tr>
      <w:tr>
        <w:trPr>
          <w:trHeight w:val="234"/>
        </w:trPr>
        <w:tc>
          <w:tcPr>
            <w:tcW w:w="416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rPr>
                <w:sz w:val="20"/>
                <w:szCs w:val="20"/>
                <w:color w:val="auto"/>
              </w:rPr>
            </w:pPr>
            <w:r>
              <w:rPr>
                <w:rFonts w:ascii="Arial" w:cs="Arial" w:eastAsia="Arial" w:hAnsi="Arial"/>
                <w:sz w:val="18"/>
                <w:szCs w:val="18"/>
                <w:color w:val="auto"/>
              </w:rPr>
              <w:t>Restricted stock grants: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40"/>
              <w:spacing w:after="0"/>
              <w:rPr>
                <w:sz w:val="20"/>
                <w:szCs w:val="20"/>
                <w:color w:val="auto"/>
              </w:rPr>
            </w:pPr>
            <w:r>
              <w:rPr>
                <w:rFonts w:ascii="Arial" w:cs="Arial" w:eastAsia="Arial" w:hAnsi="Arial"/>
                <w:sz w:val="18"/>
                <w:szCs w:val="18"/>
                <w:color w:val="auto"/>
              </w:rPr>
              <w:t>President and CEO</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Board of Directors compensation –</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stock grant</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79"/>
              </w:rPr>
              <w:t>160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79"/>
              </w:rPr>
              <w:t>304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340"/>
              <w:spacing w:after="0"/>
              <w:rPr>
                <w:sz w:val="20"/>
                <w:szCs w:val="20"/>
                <w:color w:val="auto"/>
              </w:rPr>
            </w:pPr>
            <w:r>
              <w:rPr>
                <w:rFonts w:ascii="Arial" w:cs="Arial" w:eastAsia="Arial" w:hAnsi="Arial"/>
                <w:sz w:val="18"/>
                <w:szCs w:val="18"/>
                <w:color w:val="auto"/>
              </w:rPr>
              <w:t>These are more fully discussed as follows:</w:t>
            </w: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ind w:left="5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0000EE"/>
            </w:tcBorders>
            <w:gridSpan w:val="3"/>
          </w:tcPr>
          <w:p>
            <w:pPr>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a. Stock Options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June 28, 2015, there was $461 of total unrecognized compensation cost related to outstanding stock options, which is expected to be recognized over a weighted average period of 1.2 years.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six-month period ended June 28,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Weighted</w:t>
            </w:r>
          </w:p>
        </w:tc>
        <w:tc>
          <w:tcPr>
            <w:tcW w:w="16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7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7"/>
              </w:rPr>
              <w:t>Average Exercise</w:t>
            </w:r>
          </w:p>
        </w:tc>
        <w:tc>
          <w:tcPr>
            <w:tcW w:w="16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Contractual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ind w:left="20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6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Term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January 1, 2015</w:t>
            </w:r>
          </w:p>
        </w:tc>
        <w:tc>
          <w:tcPr>
            <w:tcW w:w="13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2,056,122</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277,000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00"/>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(67,499)</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June 28, 2015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2,262,956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 and expected to vest at June 28, 2015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2,115,226</w:t>
            </w: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Exercisable at June 28, 2015</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1,337,295</w:t>
            </w:r>
          </w:p>
        </w:tc>
        <w:tc>
          <w:tcPr>
            <w:tcW w:w="1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5.16</w:t>
            </w:r>
          </w:p>
        </w:tc>
        <w:tc>
          <w:tcPr>
            <w:tcW w:w="1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w:t>
            </w:r>
          </w:p>
        </w:tc>
        <w:tc>
          <w:tcPr>
            <w:tcW w:w="1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June 28, 2015 and June 29, 2014 was $0 and $11, respectively. Cash received from stock option exercises for the six-month periods ended June 28, 2015 and June 29, 2014 was $9 and $11,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Restricted Stock Awards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President and Chief Executive Officer holds 60,000 unearned, unvested restricted stock units at June 28, 2015. In addition, 49,200 shares of restricted stock were awarded to certain of our employees in September, 2014. There is $82 of unrecognized compensation cost related to these restricted shares at June 28, 2015.</w:t>
      </w:r>
    </w:p>
    <w:p>
      <w:pPr>
        <w:spacing w:after="0" w:line="39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03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the asset and liability method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three-month periods ended June 28, 2015 and June 29, 2014, we recorded $71 and $57, respectively, in income tax expense. For the six-month periods ended June 28, 2015 and June 29, 2014, we recorded $182 and $117, respectively, in income tax expense. These are detailed as follows:</w:t>
      </w:r>
    </w:p>
    <w:p>
      <w:pPr>
        <w:spacing w:after="0" w:line="124"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10</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00" w:type="dxa"/>
            <w:vAlign w:val="bottom"/>
            <w:gridSpan w:val="7"/>
          </w:tcPr>
          <w:p>
            <w:pPr>
              <w:ind w:left="480"/>
              <w:spacing w:after="0"/>
              <w:rPr>
                <w:sz w:val="20"/>
                <w:szCs w:val="20"/>
                <w:color w:val="auto"/>
              </w:rPr>
            </w:pPr>
            <w:r>
              <w:rPr>
                <w:rFonts w:ascii="Arial" w:cs="Arial" w:eastAsia="Arial" w:hAnsi="Arial"/>
                <w:sz w:val="18"/>
                <w:szCs w:val="18"/>
                <w:b w:val="1"/>
                <w:bCs w:val="1"/>
                <w:color w:val="auto"/>
              </w:rPr>
              <w:t>Three-month periods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8"/>
          </w:tcPr>
          <w:p>
            <w:pPr>
              <w:ind w:left="340"/>
              <w:spacing w:after="0"/>
              <w:rPr>
                <w:sz w:val="20"/>
                <w:szCs w:val="20"/>
                <w:color w:val="auto"/>
              </w:rPr>
            </w:pPr>
            <w:r>
              <w:rPr>
                <w:rFonts w:ascii="Arial" w:cs="Arial" w:eastAsia="Arial" w:hAnsi="Arial"/>
                <w:sz w:val="18"/>
                <w:szCs w:val="18"/>
                <w:b w:val="1"/>
                <w:bCs w:val="1"/>
                <w:color w:val="auto"/>
              </w:rPr>
              <w:t>Six-month periods ended</w:t>
            </w:r>
          </w:p>
        </w:tc>
      </w:tr>
      <w:tr>
        <w:trPr>
          <w:trHeight w:val="230"/>
        </w:trPr>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June 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b w:val="1"/>
                <w:bCs w:val="1"/>
                <w:color w:val="auto"/>
              </w:rPr>
              <w:t>June 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29,</w:t>
            </w:r>
          </w:p>
        </w:tc>
      </w:tr>
      <w:tr>
        <w:trPr>
          <w:trHeight w:val="234"/>
        </w:trPr>
        <w:tc>
          <w:tcPr>
            <w:tcW w:w="3620" w:type="dxa"/>
            <w:vAlign w:val="bottom"/>
          </w:tcPr>
          <w:p>
            <w:pPr>
              <w:spacing w:after="0"/>
              <w:rPr>
                <w:sz w:val="20"/>
                <w:szCs w:val="20"/>
                <w:color w:val="auto"/>
              </w:rPr>
            </w:pPr>
          </w:p>
        </w:tc>
        <w:tc>
          <w:tcPr>
            <w:tcW w:w="2380" w:type="dxa"/>
            <w:vAlign w:val="bottom"/>
            <w:gridSpan w:val="2"/>
          </w:tcPr>
          <w:p>
            <w:pPr>
              <w:jc w:val="right"/>
              <w:ind w:right="95"/>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6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income tax provision:</w:t>
            </w:r>
          </w:p>
        </w:tc>
        <w:tc>
          <w:tcPr>
            <w:tcW w:w="1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3620" w:type="dxa"/>
            <w:vAlign w:val="bottom"/>
          </w:tcPr>
          <w:p>
            <w:pPr>
              <w:ind w:left="240"/>
              <w:spacing w:after="0"/>
              <w:rPr>
                <w:sz w:val="20"/>
                <w:szCs w:val="20"/>
                <w:color w:val="auto"/>
              </w:rPr>
            </w:pPr>
            <w:r>
              <w:rPr>
                <w:rFonts w:ascii="Arial" w:cs="Arial" w:eastAsia="Arial" w:hAnsi="Arial"/>
                <w:sz w:val="18"/>
                <w:szCs w:val="18"/>
                <w:color w:val="auto"/>
              </w:rPr>
              <w:t>Foreign</w:t>
            </w:r>
          </w:p>
        </w:tc>
        <w:tc>
          <w:tcPr>
            <w:tcW w:w="2380" w:type="dxa"/>
            <w:vAlign w:val="bottom"/>
            <w:gridSpan w:val="2"/>
          </w:tcPr>
          <w:p>
            <w:pPr>
              <w:jc w:val="right"/>
              <w:ind w:right="895"/>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5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tcPr>
          <w:p>
            <w:pPr>
              <w:ind w:left="240"/>
              <w:spacing w:after="0"/>
              <w:rPr>
                <w:sz w:val="20"/>
                <w:szCs w:val="20"/>
                <w:color w:val="auto"/>
              </w:rPr>
            </w:pPr>
            <w:r>
              <w:rPr>
                <w:rFonts w:ascii="Arial" w:cs="Arial" w:eastAsia="Arial" w:hAnsi="Arial"/>
                <w:sz w:val="18"/>
                <w:szCs w:val="18"/>
                <w:color w:val="auto"/>
              </w:rPr>
              <w:t>State</w:t>
            </w: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920"/>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18"/>
                <w:szCs w:val="18"/>
                <w:color w:val="auto"/>
              </w:rPr>
            </w:pPr>
          </w:p>
        </w:tc>
      </w:tr>
      <w:tr>
        <w:trPr>
          <w:trHeight w:val="230"/>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 provision</w:t>
            </w:r>
          </w:p>
        </w:tc>
        <w:tc>
          <w:tcPr>
            <w:tcW w:w="1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55</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3"/>
              </w:rPr>
              <w:t>110</w:t>
            </w:r>
          </w:p>
        </w:tc>
        <w:tc>
          <w:tcPr>
            <w:tcW w:w="80" w:type="dxa"/>
            <w:vAlign w:val="bottom"/>
            <w:shd w:val="clear" w:color="auto" w:fill="CCEEFF"/>
          </w:tcPr>
          <w:p>
            <w:pPr>
              <w:spacing w:after="0"/>
              <w:rPr>
                <w:sz w:val="19"/>
                <w:szCs w:val="19"/>
                <w:color w:val="auto"/>
              </w:rPr>
            </w:pPr>
          </w:p>
        </w:tc>
      </w:tr>
      <w:tr>
        <w:trPr>
          <w:trHeight w:val="223"/>
        </w:trPr>
        <w:tc>
          <w:tcPr>
            <w:tcW w:w="362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9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6"/>
              </w:rPr>
              <w:t>117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Deferred income tax provision is primarily due to the recognition of deferred tax liabilities generated from goodwill and certain intangible assets that cannot be predicted to reverse for book purposes during our loss carryforward periods. The remaining expense in 2014 was due to state income taxes, and in 2015 was primarily due to the income reported for our China operations during the period.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our U.K. subsidiary, as management does not believe, at this time, that it is more likely than not that we will realize the benefit of these losses. Our tax rate for the six-month period ended June 28, 2015 was 12.3%, which was different from the federal statutory rate due to the effect of the utilization of fully reserved net operating loss carryforwards (“NOL”) as well as the effect of differing foreign income tax rates, principally in China. Our tax rate for the six-month period ended June 29, 2014 was (4.7%), which was different from the federal statutory rate due to the loss incurred and our full reserve against our NOLs, and the effect of differing foreign income tax rates, principally in China.</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substantial NOLs available to offset taxable income in the United States. However, we remain subject to the alternative minimum tax in the United States. The alternative minimum tax limits the amount of NOL available to offset taxable income to 90% of the current year income. We recorded a provision of $22 for U.S. alternative minimum tax for both the three and six months ended June 30, 2015, and no alternative minimum tax in either the three or six months ended June 29, 2014. The payment of the alternative minimum tax normally results in the establishment of a deferred tax asset; however, we have established a full valuation allowance for this related deferred tax asset.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28, 2015, we have foreign and domestic NOL and credit carryforwards totaling approximately $86,200 and $1,400 available to reduce future taxable income. Included in our NOL carryforwards are foreign loss carryforwards of approximately $12,400 that can be carried forward indefinitely. The domestic NOL carryforward of $73,800 expires from 2019 through 2035. The domestic NOL carryforward includes approximately $2,900 for which a benefit will be recorded in capital in excess of par value when realized.</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unrecognized tax benefits related to uncertain tax positions at June 28, 2015 pertain to foreign tax jurisdictions. The following table summarizes the activity related to our unrecognized tax benefits:</w:t>
      </w:r>
    </w:p>
    <w:p>
      <w:pPr>
        <w:spacing w:after="0" w:line="170"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11</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7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6"/>
          </w:tcPr>
          <w:p>
            <w:pPr>
              <w:ind w:left="800"/>
              <w:spacing w:after="0"/>
              <w:rPr>
                <w:sz w:val="20"/>
                <w:szCs w:val="20"/>
                <w:color w:val="auto"/>
              </w:rPr>
            </w:pPr>
            <w:r>
              <w:rPr>
                <w:rFonts w:ascii="Arial" w:cs="Arial" w:eastAsia="Arial" w:hAnsi="Arial"/>
                <w:sz w:val="18"/>
                <w:szCs w:val="18"/>
                <w:b w:val="1"/>
                <w:bCs w:val="1"/>
                <w:color w:val="auto"/>
              </w:rPr>
              <w:t>Six month periods ended</w:t>
            </w:r>
          </w:p>
        </w:tc>
      </w:tr>
      <w:tr>
        <w:trPr>
          <w:trHeight w:val="230"/>
        </w:trPr>
        <w:tc>
          <w:tcPr>
            <w:tcW w:w="5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28,</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29,</w:t>
            </w:r>
          </w:p>
        </w:tc>
      </w:tr>
      <w:tr>
        <w:trPr>
          <w:trHeight w:val="234"/>
        </w:trPr>
        <w:tc>
          <w:tcPr>
            <w:tcW w:w="5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r>
      <w:tr>
        <w:trPr>
          <w:trHeight w:val="210"/>
        </w:trPr>
        <w:tc>
          <w:tcPr>
            <w:tcW w:w="5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 beginning of period</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7,296</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7,296</w:t>
            </w: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Increases related to current year tax positions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Increases related to prior year tax positions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Decreases related to prior year tax positions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Expiration of statute of limitations for assessment of taxes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Pr>
          <w:p>
            <w:pPr>
              <w:ind w:left="100"/>
              <w:spacing w:after="0"/>
              <w:rPr>
                <w:sz w:val="20"/>
                <w:szCs w:val="20"/>
                <w:color w:val="auto"/>
              </w:rPr>
            </w:pPr>
            <w:r>
              <w:rPr>
                <w:rFonts w:ascii="Arial" w:cs="Arial" w:eastAsia="Arial" w:hAnsi="Arial"/>
                <w:sz w:val="18"/>
                <w:szCs w:val="18"/>
                <w:color w:val="auto"/>
              </w:rPr>
              <w:t>Settlements of examinations</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(6,778)</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end of period</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9"/>
              </w:rPr>
              <w:t>518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7,296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release of uncertain tax positions in 2015 relates to the successful conclusion of a federal tax examination, resulting in a $19.9 million increase in the amount of our reported domestic NOL carryforward.</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file income tax returns in various jurisdictions including U.S. federal, U.S. state and foreign jurisdictions. We are routinely subject to examination by taxing authorities in these various jurisdictions. Our U.S. tax matters for the years 2000 through 2014 remain subject to examination by the Internal Revenue Service (“IRS”) and by various state and local tax jurisdictions due to our NOL carryforwards. Our tax matters for the years 2007 through 2014 remain subject to examination by the respective foreign tax jurisdiction authorities. The IRS has now completed its examination of our 2011, 2012 and 2013 U.S. federal income tax returns, with no resulting material effect to our financial position or results of operations.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EARNINGS PER SHARE</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June 28, 2015, 358,034 stock options and 34,200 restricted stock units were included in the calculation of Diluted EPS as such securities are dilutive. Inclusion of these securities resulted in 39,426 additional shares in the calculation of fully diluted earnings per share. For the six-month period ended June 28, 2015, 257,534 stock options and 34,200 restricted stock units were included in the calculation of Diluted EPS as such securities are dilutive. Inclusion of these securities resulted in 31,903 additional shares in the calculation of fully diluted earnings per share. Due to our net losses in both the three-month and six-month periods ended June 29, 2014, no dilutive securities were considered.</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were 1,904,922 and 2,271,923 outstanding stock options for the three-month periods ended June 28, 2015 and June 29, 2014, respectively, that were not included in EPS as the effect would be anti-dilutive. There were 2,005,422 and 2,271,923 outstanding stock options for the six-month periods ended June 28, 2015 and June 29, 2014, respectively, that were not included in EPS as the effect would be anti-dilutive.</w:t>
      </w:r>
    </w:p>
    <w:p>
      <w:pPr>
        <w:spacing w:after="0" w:line="38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CONTINGENCIES AND SUBSEQUENT EVENT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28, 2015, we have made commitments to purchase approximately $338 of production machinery and equipment.</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12</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877"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six months of 2015 and 2014 were as follows:</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Accrued warranty obligations – beginning</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Accruals for warranties issued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Settlements made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Accrued warranty obligations – ending</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 Contingencies and Legal Matters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7"/>
          </w:tcPr>
          <w:p>
            <w:pPr>
              <w:jc w:val="right"/>
              <w:ind w:right="1100"/>
              <w:spacing w:after="0"/>
              <w:rPr>
                <w:sz w:val="20"/>
                <w:szCs w:val="20"/>
                <w:color w:val="auto"/>
              </w:rPr>
            </w:pPr>
            <w:r>
              <w:rPr>
                <w:rFonts w:ascii="Arial" w:cs="Arial" w:eastAsia="Arial" w:hAnsi="Arial"/>
                <w:sz w:val="18"/>
                <w:szCs w:val="18"/>
                <w:b w:val="1"/>
                <w:bCs w:val="1"/>
                <w:color w:val="auto"/>
              </w:rPr>
              <w:t>Six month periods ended</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28, 2015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June 29, 2014</w:t>
            </w:r>
          </w:p>
        </w:tc>
      </w:tr>
      <w:tr>
        <w:trPr>
          <w:trHeight w:val="195"/>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2"/>
          </w:tcPr>
          <w:p>
            <w:pPr>
              <w:jc w:val="right"/>
              <w:ind w:right="120"/>
              <w:spacing w:after="0" w:line="195" w:lineRule="exact"/>
              <w:rPr>
                <w:sz w:val="20"/>
                <w:szCs w:val="20"/>
                <w:color w:val="auto"/>
              </w:rPr>
            </w:pPr>
            <w:r>
              <w:rPr>
                <w:rFonts w:ascii="Arial" w:cs="Arial" w:eastAsia="Arial" w:hAnsi="Arial"/>
                <w:sz w:val="18"/>
                <w:szCs w:val="18"/>
                <w:color w:val="auto"/>
              </w:rPr>
              <w:t>376</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513</w:t>
            </w:r>
          </w:p>
        </w:tc>
        <w:tc>
          <w:tcPr>
            <w:tcW w:w="10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-608330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-325120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97" w:lineRule="exact"/>
        <w:rPr>
          <w:sz w:val="20"/>
          <w:szCs w:val="20"/>
          <w:color w:val="auto"/>
        </w:rPr>
      </w:pPr>
    </w:p>
    <w:p>
      <w:pPr>
        <w:sectPr>
          <w:pgSz w:w="11900" w:h="16838" w:orient="portrait"/>
          <w:cols w:equalWidth="0" w:num="2">
            <w:col w:w="6600" w:space="720"/>
            <w:col w:w="4100"/>
          </w:cols>
          <w:pgMar w:left="240" w:top="665" w:right="239" w:bottom="1440" w:gutter="0" w:footer="0" w:header="0"/>
          <w:type w:val="continuous"/>
        </w:sectPr>
      </w:pPr>
    </w:p>
    <w:p>
      <w:pPr>
        <w:spacing w:after="0" w:line="3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While a final report has not been issued by the regulatory authorities, preliminary findings indicate that the fire may have been caused by circumstances related to the plane’s emergency locator transmitter (“ELT”) manufactured by another company. We continue to provide support and comment as required to the ongoing investigation.</w:t>
      </w:r>
    </w:p>
    <w:p>
      <w:pPr>
        <w:spacing w:after="0" w:line="1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USD 42 million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this time, we believe that there is not a reasonable possibility that this incident will result in a material financial exposure to the Company.</w:t>
      </w:r>
    </w:p>
    <w:p>
      <w:pPr>
        <w:spacing w:after="0" w:line="237"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13</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65" w:right="239" w:bottom="1440" w:gutter="0" w:footer="0" w:header="0"/>
          <w:type w:val="continuous"/>
        </w:sectPr>
      </w:pPr>
    </w:p>
    <w:bookmarkStart w:id="13" w:name="page14"/>
    <w:bookmarkEnd w:id="13"/>
    <w:p>
      <w:pPr>
        <w:ind w:left="34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September 2011, we initiated an action against Arista Power, Inc. (“Arista”) and our former employee, David Modeen (“Modeen”), in the State of New York Supreme Court, County of Wayne, in which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As more fully disclosed in our Annual Report on Form 10-K for the year ended December 31, 2014, we allege that both Arista and Modeen breached agreements with us, that Arista’s employment of Modeen will inevitably lead to the disclosure and use of our trade secrets by Arista. We seek damages as determined at trial and preliminary and permanent injunctive relief. The defendants answered the allegations set forth in the Complaint and asserted claims against us</w:t>
      </w:r>
      <w:r>
        <w:rPr>
          <w:rFonts w:ascii="Arial" w:cs="Arial" w:eastAsia="Arial" w:hAnsi="Arial"/>
          <w:sz w:val="17"/>
          <w:szCs w:val="17"/>
          <w:color w:val="1F497D"/>
        </w:rPr>
        <w:t>,</w:t>
      </w:r>
      <w:r>
        <w:rPr>
          <w:rFonts w:ascii="Arial" w:cs="Arial" w:eastAsia="Arial" w:hAnsi="Arial"/>
          <w:sz w:val="17"/>
          <w:szCs w:val="17"/>
          <w:color w:val="auto"/>
        </w:rPr>
        <w:t xml:space="preserve"> which have since been dropped.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initiated the September 2011 Complaint against Arista Power to protect our shareholders, customers and employees from the unauthorized use and theft of our investments in intellectual property, trade secrets and confidential information by Arista and its employees. Protecting our intellectual property and know-how, developed and obtained at great cost to us to form our competitive position in the marketplace and create value for our shareholders and stakeholders, is a fundamental responsibility of all our employees.</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Discovery in this action is ongoing, and we plan to continue to pursue our complaint against Arista. It is not possible to predict the outcome of this action, whether we will be granted the injunctive relief we seek, nor the monetary amount, if any, which we may be awarded should we prevail.</w:t>
      </w:r>
    </w:p>
    <w:p>
      <w:pPr>
        <w:spacing w:after="0" w:line="363" w:lineRule="exact"/>
        <w:rPr>
          <w:sz w:val="20"/>
          <w:szCs w:val="20"/>
          <w:color w:val="auto"/>
        </w:rPr>
      </w:pPr>
    </w:p>
    <w:p>
      <w:pPr>
        <w:ind w:left="780" w:hanging="772"/>
        <w:spacing w:after="0"/>
        <w:tabs>
          <w:tab w:leader="none" w:pos="7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SEGMENT INFORMATION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segment performance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Three-Month Period Ended June 28, 2015:</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2,983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18,955</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817</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attributable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to Ultralife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788</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37,084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27,906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17,945</w:t>
            </w:r>
          </w:p>
        </w:tc>
        <w:tc>
          <w:tcPr>
            <w:tcW w:w="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82,935</w:t>
            </w:r>
          </w:p>
        </w:tc>
      </w:tr>
      <w:tr>
        <w:trPr>
          <w:trHeight w:val="608"/>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bottom w:val="single" w:sz="8" w:color="0000EE"/>
            </w:tcBorders>
            <w:gridSpan w:val="3"/>
          </w:tcPr>
          <w:p>
            <w:pPr>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r>
    </w:tbl>
    <w:p>
      <w:pPr>
        <w:sectPr>
          <w:pgSz w:w="11900" w:h="16838" w:orient="portrait"/>
          <w:cols w:equalWidth="0" w:num="1">
            <w:col w:w="11420"/>
          </w:cols>
          <w:pgMar w:left="240" w:top="665"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Three-Month Period Ended June 29, 2014:</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12,165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15,199</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Net loss attributable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 Ultralife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37,586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29,866</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19,479</w:t>
            </w:r>
          </w:p>
        </w:tc>
        <w:tc>
          <w:tcPr>
            <w:tcW w:w="4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86,931</w:t>
            </w:r>
          </w:p>
        </w:tc>
      </w:tr>
      <w:tr>
        <w:trPr>
          <w:trHeight w:val="418"/>
        </w:trPr>
        <w:tc>
          <w:tcPr>
            <w:tcW w:w="4240" w:type="dxa"/>
            <w:vAlign w:val="bottom"/>
          </w:tcPr>
          <w:p>
            <w:pPr>
              <w:spacing w:after="0"/>
              <w:rPr>
                <w:sz w:val="20"/>
                <w:szCs w:val="20"/>
                <w:color w:val="auto"/>
              </w:rPr>
            </w:pPr>
            <w:r>
              <w:rPr>
                <w:rFonts w:ascii="Arial" w:cs="Arial" w:eastAsia="Arial" w:hAnsi="Arial"/>
                <w:sz w:val="18"/>
                <w:szCs w:val="18"/>
                <w:b w:val="1"/>
                <w:bCs w:val="1"/>
                <w:color w:val="auto"/>
              </w:rPr>
              <w:t>Six-Month Period Ended June 28, 2015:</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4"/>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32,248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5,884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38,132</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9,326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2,540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1,639</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Net income attributable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 Ultralife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1,321</w:t>
            </w:r>
          </w:p>
        </w:tc>
      </w:tr>
      <w:tr>
        <w:trPr>
          <w:trHeight w:val="432"/>
        </w:trPr>
        <w:tc>
          <w:tcPr>
            <w:tcW w:w="4240" w:type="dxa"/>
            <w:vAlign w:val="bottom"/>
          </w:tcPr>
          <w:p>
            <w:pPr>
              <w:spacing w:after="0"/>
              <w:rPr>
                <w:sz w:val="20"/>
                <w:szCs w:val="20"/>
                <w:color w:val="auto"/>
              </w:rPr>
            </w:pPr>
            <w:r>
              <w:rPr>
                <w:rFonts w:ascii="Arial" w:cs="Arial" w:eastAsia="Arial" w:hAnsi="Arial"/>
                <w:sz w:val="18"/>
                <w:szCs w:val="18"/>
                <w:b w:val="1"/>
                <w:bCs w:val="1"/>
                <w:color w:val="auto"/>
              </w:rPr>
              <w:t>Six-Month Period Ended June 29, 2014:</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4"/>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4,397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30,484</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(2,420)</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attributable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240" w:type="dxa"/>
            <w:vAlign w:val="bottom"/>
          </w:tcPr>
          <w:p>
            <w:pPr>
              <w:ind w:left="240"/>
              <w:spacing w:after="0"/>
              <w:rPr>
                <w:sz w:val="20"/>
                <w:szCs w:val="20"/>
                <w:color w:val="auto"/>
              </w:rPr>
            </w:pPr>
            <w:r>
              <w:rPr>
                <w:rFonts w:ascii="Arial" w:cs="Arial" w:eastAsia="Arial" w:hAnsi="Arial"/>
                <w:sz w:val="18"/>
                <w:szCs w:val="18"/>
                <w:color w:val="auto"/>
              </w:rPr>
              <w:t>to Ultralife</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(2,646)</w:t>
            </w:r>
          </w:p>
        </w:tc>
      </w:tr>
      <w:tr>
        <w:trPr>
          <w:trHeight w:val="593"/>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bottom w:val="single" w:sz="8" w:color="0000EE"/>
            </w:tcBorders>
            <w:gridSpan w:val="3"/>
          </w:tcPr>
          <w:p>
            <w:pPr>
              <w:spacing w:after="0"/>
              <w:rPr>
                <w:rFonts w:ascii="Arial" w:cs="Arial" w:eastAsia="Arial" w:hAnsi="Arial"/>
                <w:sz w:val="18"/>
                <w:szCs w:val="18"/>
                <w:i w:val="1"/>
                <w:iCs w:val="1"/>
                <w:color w:val="0000EE"/>
                <w:w w:val="87"/>
              </w:rPr>
            </w:pPr>
            <w:hyperlink w:anchor="page2">
              <w:r>
                <w:rPr>
                  <w:rFonts w:ascii="Arial" w:cs="Arial" w:eastAsia="Arial" w:hAnsi="Arial"/>
                  <w:sz w:val="18"/>
                  <w:szCs w:val="18"/>
                  <w:i w:val="1"/>
                  <w:iCs w:val="1"/>
                  <w:color w:val="0000EE"/>
                  <w:w w:val="87"/>
                </w:rPr>
                <w:t>Table of Contents</w:t>
              </w:r>
            </w:hyperlink>
          </w:p>
        </w:tc>
      </w:tr>
    </w:tbl>
    <w:p>
      <w:pPr>
        <w:sectPr>
          <w:pgSz w:w="11900" w:h="16838" w:orient="portrait"/>
          <w:cols w:equalWidth="0" w:num="1">
            <w:col w:w="11420"/>
          </w:cols>
          <w:pgMar w:left="240" w:top="661" w:right="239" w:bottom="1440" w:gutter="0" w:footer="0" w:header="0"/>
        </w:sectPr>
      </w:pPr>
    </w:p>
    <w:bookmarkStart w:id="15" w:name="page16"/>
    <w:bookmarkEnd w:id="15"/>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June 28, 2015 and December 31, 2014. The fair value of cash, trade accounts receivable, trade accounts payable and accrued liabilities approximates carrying value due to the short-term nature of these instruments.</w:t>
      </w:r>
    </w:p>
    <w:p>
      <w:pPr>
        <w:spacing w:after="0" w:line="200" w:lineRule="exact"/>
        <w:rPr>
          <w:sz w:val="20"/>
          <w:szCs w:val="20"/>
          <w:color w:val="auto"/>
        </w:rPr>
      </w:pPr>
    </w:p>
    <w:p>
      <w:pPr>
        <w:spacing w:after="0" w:line="20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FIRE AT MANUFACTURING FACILITY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2011, we experienced a fire that damaged certain inventory and machinery and equipment at our facility in China. The total amount of the loss pertaining to assets and the related expenses was approximately $1,589. We have pursued a claim against our insurance policy, with the majority of our insurance claim related to the recovery of damaged inventory. We have received payments in June 2012 and April 2013 totaling approximately $1,286 as a partial payment on our insurance claim, which resulted in no gain or loss being recognized. As of June 28, 2015 and December 31, 2014, we reflect a receivable from the insurance company relating to this claim of $184, which is net of our deductible of approximately $132, and represents additional proceeds expected to be received.</w:t>
      </w:r>
    </w:p>
    <w:p>
      <w:pPr>
        <w:spacing w:after="0" w:line="19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 ACCOUNTING PRONOUNCEMENTS AND DEVELOPMENTS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In April 2015, the FASB proposed a one year delay in the effective date of ASU 2014-09. This standard currently becomes effective for the Company on January 1, 2017, and the one-year delay, if promulgated as proposed, will make this standard effective for the Company on January 1, 2018. The Company is currently evaluating the potential impact of this new guidance as well as the available transition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16</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9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a certain key customer; possible reduced or further delayed U.S. and foreign defense spending, including the uncertainty of government budget approvals; possible delays or lack of success in our efforts to develop new commercial applications for our products; possible declines in demand for products using our batteries or communications systems; general domestic and global economic conditions; variability in our quarterly and annual results and price of our common stock; the unique risks associated with our Chinese operations; the possibility of impairment of our intangible assets; potential breaches in security and other disruptions; the possibility that our resources could be overwhelmed by our growth prospects; residual effects of negative news related to our industries; potential significant costs from our warranties; loss of top management; possible disruptions in our supply of raw materials and components; failure of customers to meet the volume expectations in our supply agreements; our inability to adequately protect our proprietary and intellectual property; the possibility that our ability to use our NOL carryforwards in the future may be limited; possible adverse effects from violations of the U.S. Foreign Corrupt Practices Act and other anti-corruption laws; variability of foreign currencies; the process of U.S. defense procurement; possible effects of audits of our contracts by the U.S. and foreign governments; our compliance with the regulations for the shipment of our products; business disruptions and other safety risks including those caused by fires; government and environmental regulations;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2014.</w:t>
      </w:r>
    </w:p>
    <w:p>
      <w:pPr>
        <w:spacing w:after="0" w:line="19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2014 to reflect new information or risks, future events or other developments.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Condensed Consolidated Financial Statements and Notes thereto appearing elsewhere in this Form 10-Q and the Risk Factors and our Consolidated Financial Statements and Notes thereto contained in our Form 10-K for the year ended December 31, 2014.</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24"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17</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110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continually evaluate ways to grow and broaden the scope of our products and services,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systems kits and communications and electronics systems design. We believe that reporting performance at the gross profit level is the best indicator of segment performance. As such, we report segment performance at the gross profit level and operating expenses as Corporate charges. (See Note 12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Consolidated revenues of $18,955 for the three-month period ended June 28, 2015, increased by $3,756 or 24.7%, from $15,199 during the three-month period ended June 29, 2014, due primarily to increased orders from U.S. government and defense customers for our Battery &amp; Energy Products business.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Gross profit for the three-month period ended June 28, 2015 was $5,859, or 30.9% of revenues, compared to $4,212, or 27.7% of revenues, for the same quarter a year ago. The 320 basis points improvement is due primarily to favorable product mix, higher production volume increasing the absorption of factory overhead and continued productivity improvements.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expenses decreased to $5,042 during the three-month period ended June 28, 2015, compared to $5,536 during the three-month period ended June 29, 2014, resulting primarily from continued actions to reduce discretionary spending while focusing on the development of new products and revenue growth.</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increased revenue and resulting leverage on gross profit along with lower operating expenses resulted in an operating profit of $817 for the three-month period ended June 28, 2015, compared to an operating loss of $1,324 for the three-month period ended June 29, 2014. The year-over-year improvement in operating profit of $2,141 resulted from the 24.7% increase in sales that contributed $1,041 to the improvement of operating profit, the 320 basis point improvement in gross margin which contributed $606 and the lower operating expenses which contributed $494.</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income was $774, or $0.05 per share, for the three-month period ended June 28, 2015, compared to a net loss of $(1,376), or $(0.08) per share, for the three-month period ended June 29, 2014.</w:t>
      </w:r>
    </w:p>
    <w:p>
      <w:pPr>
        <w:spacing w:after="0" w:line="170"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18</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18" w:name="page19"/>
    <w:bookmarkEnd w:id="18"/>
    <w:p>
      <w:pPr>
        <w:jc w:val="both"/>
        <w:ind w:firstLine="324"/>
        <w:spacing w:after="0" w:line="259" w:lineRule="auto"/>
        <w:rPr>
          <w:sz w:val="20"/>
          <w:szCs w:val="20"/>
          <w:color w:val="auto"/>
        </w:rPr>
      </w:pPr>
      <w:r>
        <w:rPr>
          <w:rFonts w:ascii="Arial" w:cs="Arial" w:eastAsia="Arial" w:hAnsi="Arial"/>
          <w:sz w:val="18"/>
          <w:szCs w:val="18"/>
          <w:color w:val="auto"/>
        </w:rPr>
        <w:t>Adjusted EBITDA from continuing operations, defined as net income (loss) attributable to Ultralife before net interest expense, provision (benefit) for income taxes, depreciation and amortization, amounted to $1,725 in the second quarter of 2015 compared to $(174) in the second quarter of 2014. See the section “Adjusted EBITDA from continuing operations” beginning on Page 22 for a reconciliation of Adjusted EBITDA from continuing operations to net income (loss) attributable to Ultralife.</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careful working capital management and cash generated from operations, our liquidity remains solid with no debt, and cash and cash equivalents of $15,789, a $1,922 or 10.9% decrease from our cash position of $17,711 at December 31, 2014. The decrease in cash and cash equivalents from year-end 2014 is primarily attributable to our purchases of stock under our Share Repurchase Program which totaled $5,849 inclusive of fees and commissions related to such purchases, partially offset by cash generated from our operating results and an 8.0% inventory reduction.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the mid-point of the year with revenue growth of 25.1% and EPS improvement of $0.23 over the first half of 2014, we have increasing confidence in our outlook for top-line growth and profitable results in 2015.</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June 28, 2015 and June 29, 2014</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June 28, 2015 amounted to $18,955, an increase of $3,756, or 24.7%,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$15,199 reported for the three-month period ended June 29, 2014.</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Battery &amp; Energy Products revenues increased $3,807, or 31.3%, from $12,165 for the three-month period ended June 29, 2014 to $15,972 for the three-month period ended June 28, 2015. The increase was primarily attributable to higher shipments of batteries to U.S. government and defense customers, which helped to increase government and defense shipments by 94.1% over the 2014 period, and now comprise 42% of total Battery &amp; Energy Products sales versus 28% for the second quarter of 2014. Commercial revenues for the second quarter of 2015 increased 6.7% over the year-earlier period due to higher shipments of 9-Volt batteries to large global smoke detector OEM’s and rechargeable batteries into medical channels.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Communications Systems revenues decreased $51, or 1.7%, from $3,034 in the three-month period ended June 29, 2014 to $2,983 for the three-month period ended June 28, 2015. The second quarter of 2014 benefitted from the fulfillment of a $1,895 order for Universal Vehicle Adaptors shortly after its market launch. Nevertheless, for the 2015 period, we experienced more broad-based sales as well as increases in our order flow reflecting increased demand from system integrators in support of U.S. Department of Defense program and international projects.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Cost of Products Sold. </w:t>
      </w:r>
      <w:r>
        <w:rPr>
          <w:rFonts w:ascii="Arial" w:cs="Arial" w:eastAsia="Arial" w:hAnsi="Arial"/>
          <w:sz w:val="17"/>
          <w:szCs w:val="17"/>
          <w:color w:val="auto"/>
        </w:rPr>
        <w:t>Cost of products sold totaled $13,096 for the quarter ended June 28, 2015, an increase of $2,109, or 19.2%%, from the $10,987</w:t>
      </w:r>
      <w:r>
        <w:rPr>
          <w:rFonts w:ascii="Arial" w:cs="Arial" w:eastAsia="Arial" w:hAnsi="Arial"/>
          <w:sz w:val="17"/>
          <w:szCs w:val="17"/>
          <w:b w:val="1"/>
          <w:bCs w:val="1"/>
          <w:color w:val="auto"/>
        </w:rPr>
        <w:t xml:space="preserve"> </w:t>
      </w:r>
      <w:r>
        <w:rPr>
          <w:rFonts w:ascii="Arial" w:cs="Arial" w:eastAsia="Arial" w:hAnsi="Arial"/>
          <w:sz w:val="17"/>
          <w:szCs w:val="17"/>
          <w:color w:val="auto"/>
        </w:rPr>
        <w:t>reported for the same quarter a year ago. Consolidated cost of products sold as a percentage of total revenue decreased from 72.3% for the three-month period ended June 29, 2014 to 69.1% for the three-month period ended June 28, 2015. Correspondingly, consolidated gross margin was 30.9% for the three-month period ended June 28, 2015, compared with 27.7% for the three-month period ended June 29, 2014, reflecting favorable product mix, higher production volume increasing the absorption of factory overhead and continued productivity improvements.</w:t>
      </w:r>
    </w:p>
    <w:p>
      <w:pPr>
        <w:spacing w:after="0" w:line="389"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19</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95" w:right="239" w:bottom="1440" w:gutter="0" w:footer="0" w:header="0"/>
        </w:sectPr>
      </w:pPr>
    </w:p>
    <w:bookmarkStart w:id="19" w:name="page20"/>
    <w:bookmarkEnd w:id="19"/>
    <w:p>
      <w:pPr>
        <w:jc w:val="both"/>
        <w:ind w:firstLine="324"/>
        <w:spacing w:after="0" w:line="257" w:lineRule="auto"/>
        <w:rPr>
          <w:sz w:val="20"/>
          <w:szCs w:val="20"/>
          <w:color w:val="auto"/>
        </w:rPr>
      </w:pPr>
      <w:r>
        <w:rPr>
          <w:rFonts w:ascii="Arial" w:cs="Arial" w:eastAsia="Arial" w:hAnsi="Arial"/>
          <w:sz w:val="18"/>
          <w:szCs w:val="18"/>
          <w:color w:val="auto"/>
        </w:rPr>
        <w:t>In our Battery &amp; Energy Products segment, the cost of products sold increased $2,141, from $9,289 during the three-month period ended June 29, 2014 to $11,430 during the three-month period ended June 28, 2015. Battery &amp; Energy Products’ gross profit for the second quarter of 2015 was $4,542, or 28.4% of revenues, an increase of $1,666 from gross profit of $2,876, or 23.6% of revenues, for the second quarter of 2014. Battery &amp; Energy Products’ gross margin as a percentage of revenues increased for the three-month period ended June 28, 2015 by 480 basis points, reflecting favorable mix, higher production volume and ongoing productivity improvements through the Lean process.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our Communications Systems segment, the cost of products sold decreased by $32 or 1.9% from $1,698 during the three-month period ended June 29, 2014 to $1,666 during the three-month period ended June 28, 2015. Communications Systems’ gross profit for the second quarter of 2015 was $1,317, or 44.2% of revenues, a decrease of $19 from gross profit of $1,336, or 44.0% of revenues, for the second quarter of 2014. The 20 basis points increase in gross margin as a percentage of revenue during 2015 is driven primarily by product mix.</w:t>
      </w:r>
    </w:p>
    <w:p>
      <w:pPr>
        <w:spacing w:after="0" w:line="196" w:lineRule="exact"/>
        <w:rPr>
          <w:sz w:val="20"/>
          <w:szCs w:val="20"/>
          <w:color w:val="auto"/>
        </w:rPr>
      </w:pPr>
    </w:p>
    <w:p>
      <w:pPr>
        <w:jc w:val="both"/>
        <w:ind w:right="20" w:firstLine="324"/>
        <w:spacing w:after="0" w:line="313" w:lineRule="auto"/>
        <w:rPr>
          <w:sz w:val="20"/>
          <w:szCs w:val="20"/>
          <w:color w:val="auto"/>
        </w:rPr>
      </w:pPr>
      <w:r>
        <w:rPr>
          <w:rFonts w:ascii="Arial" w:cs="Arial" w:eastAsia="Arial" w:hAnsi="Arial"/>
          <w:sz w:val="17"/>
          <w:szCs w:val="17"/>
          <w:b w:val="1"/>
          <w:bCs w:val="1"/>
          <w:color w:val="auto"/>
        </w:rPr>
        <w:t xml:space="preserve">Operating Expenses. </w:t>
      </w:r>
      <w:r>
        <w:rPr>
          <w:rFonts w:ascii="Arial" w:cs="Arial" w:eastAsia="Arial" w:hAnsi="Arial"/>
          <w:sz w:val="17"/>
          <w:szCs w:val="17"/>
          <w:color w:val="auto"/>
        </w:rPr>
        <w:t>Operating expenses for the three-month period ended June 28, 2015 totaled $5,042, a decrease of $494 or 8.9% from the $5,536</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during the three-month period ended June 290, 2014, resulting primarily from continued tight control over all discretionary spending.</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Overall, operating expenses as a percentage of revenues were 26.6% for the quarter ended June 28, 2015 compared to 36.4% for the quarter ended June 29, 2014. Amortization expense associated with intangible assets related to our acquisitions was $59 for the second quarter of 2015 ($26 in selling, general and administrative expenses and $33 in research and development costs), compared with $80 for the second quarter of 2014 ($35 in selling, general, and administrative expenses and $45 in research and development costs). Research and development costs were $1,334 for the three-month period ended June 28, 2015, a decrease of $226, or 14.5%, from $1,560 for the three-months ended June 29, 2014, as we continued to focus our spending on the development of new products with the highest estimated return on investment. Selling, general, and administrative expenses decreased $268, or 6.7%, to $3,708 during the second quarter of 2015 from $3,976 during the second quarter of 2014, reflecting continued actions to reduce discretionary expenses.</w:t>
      </w:r>
    </w:p>
    <w:p>
      <w:pPr>
        <w:spacing w:after="0" w:line="16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$28 for the three-month period ended June 28, 2015 compared to $5 for the three-month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June 29, 2014. Interest and financing expense, net of interest income, increased $23, to $64 for the second quarter of 2015 from $41 for the comparable period in 2014, as a result of costs to insure certain non-U.S. accounts receivable consistent with our Credit Agreement with PNC Bank. Miscellaneous income (expense) amounted to $92 for the second quarter of 2015 compared with $46 for the second quarter of 2014, primarily due to transactions impacted by changes in foreign currencies relative to the U.S. dollar.</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$71 for the second quarter of 2015, an increase of $14 as compared to the $57 provision reported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2014, primarily as a result of estimated U.S. federal minimum taxes.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in the Notes to Condensed Consolidated Financial Statements for additional information regarding our income taxes.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Certain of our NOL carryforwards are subject to U.S. alternative minimum tax such that carryforwards can offset only 90% of alternative minimum taxable income. This limitation resulted in an estimated minimum income tax provision for the second quarter of 2015 but did not have an impact on income taxes determined for the second quarter of 2014. The use of our U.K. NOL carryforwards may be limited due to the change in the U.K. operation during 2008 from a manufacturing and assembly center to primarily a distribution and service center and its subsequent change to a sales center in 2012.</w:t>
      </w:r>
    </w:p>
    <w:p>
      <w:pPr>
        <w:spacing w:after="0" w:line="154"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20</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65" w:right="239" w:bottom="1440" w:gutter="0" w:footer="0" w:header="0"/>
        </w:sectPr>
      </w:pPr>
    </w:p>
    <w:bookmarkStart w:id="20" w:name="page21"/>
    <w:bookmarkEnd w:id="20"/>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Net Income (Loss) Attributable to Ultralife. </w:t>
      </w:r>
      <w:r>
        <w:rPr>
          <w:rFonts w:ascii="Arial" w:cs="Arial" w:eastAsia="Arial" w:hAnsi="Arial"/>
          <w:sz w:val="16"/>
          <w:szCs w:val="16"/>
          <w:color w:val="auto"/>
        </w:rPr>
        <w:t>Net income (loss) attributable to Ultralife and income (loss) attributable to Ultralife common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per diluted share was $788 and $0.05, respectively, for the three months ended June 28, 2015, compared to ($1,360) and $(0.08), respectively, for the three months ended June 29, 2014. Average common shares outstanding used to compute diluted earnings per share decreased from 17,533,000 in the second quarter of 2014 to 16,597,000 in the second quarter of 2015 due to the repurchase of stock under our Share Repurchase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periods ended June 28, 2015 and June 29, 2014</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six-month period ended June 28, 2015 amounted to $38,132, an increase of $7,648 or 25.1%, from the $30,484</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six-month period ended June 29, 2014.</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Battery &amp; Energy Products revenues increased $6,161, or 23.6%, from $26,087 for the six-month period ended June 29, 2014 to $32,248 for the six-month period ended June 28, 2015. Government and defense sales of this business increased 63.8% over the 2014 six-month period and now comprise 45.8% of total segment sales versus 34.5% last year. The year-over-year growth was driven by higher shipments of batteries and chargers to a large international prime defense supplier and shipments of primary batteries to the U.S. Government’s Defense Logistics Agency. Commercial sales increased 2.4% over the 2014 period reflecting higher shipments of 9-Volt batteries to global smoke-detector OEM’s and rechargeable batteries into medical channels.</w:t>
      </w:r>
    </w:p>
    <w:p>
      <w:pPr>
        <w:spacing w:after="0" w:line="1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Communications Systems revenues increased $1,487, or 33.8%, from $4,397 during the six-month period ended June 29, 2014 to $5,884 for the six-month period ended June 28, 2015, reflecting increased demand from system integrators in support of U.S. Department of Defense programs and international projects.</w:t>
      </w:r>
    </w:p>
    <w:p>
      <w:pPr>
        <w:spacing w:after="0" w:line="39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Cost of Products Sold. </w:t>
      </w:r>
      <w:r>
        <w:rPr>
          <w:rFonts w:ascii="Arial" w:cs="Arial" w:eastAsia="Arial" w:hAnsi="Arial"/>
          <w:sz w:val="16"/>
          <w:szCs w:val="16"/>
          <w:color w:val="auto"/>
        </w:rPr>
        <w:t>Cost of products sold totaled $26,266 for the six-month period ended June 28, 2015, an increase of $4,329, or 19.7%,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$21,937 reported for the same six-month period a year ago. Consolidated cost of products sold as a percentage of total revenue decreased from 72.0% for the six-month period ended June 29, 2014 to 68.9% for the six-month period ended June 28, 2015. Correspondingly, consolidated gross margin was 31.1% for the six-month period ended June 28, 2015, compared with 28.0% for the six-month period ended June 29, 2014, reflecting favorable product mix, higher production volume increasing the absorption of factory overhead and continued productivity improvements through the Company’s Lean process.</w:t>
      </w:r>
    </w:p>
    <w:p>
      <w:pPr>
        <w:spacing w:after="0" w:line="1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our Battery &amp; Energy Products segment, the cost of products sold increased $3,512, from $19,410 during the six-month period ended June 29, 2014 to $22,922 during the six-month period ended June 28, 2015. Battery &amp; Energy Products’ gross profit for the 2015 six-month period was $9,326, or 28.9% of revenues, an increase of $2,649 from gross profit of $6,677, or 25.6% of revenues, for the 2014 six-month period. Battery &amp; Energy Products’ gross margin as a percentage of revenues increased for the six-month period ended June 28, 2015 by 330 basis points, reflecting favorable mix, higher production volumes and ongoing productivity improvements through the Lean process.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our Communications Systems segment, the cost of products sold increased by $817 or 32.3% from $2,527 during the six-month period ended June 29, 2014 to $3,344 during the six-month period ended June 28, 2015. Communications Systems’ gross profit for the first six months of 2015 was $2,540, or 43.2% of revenues, an increase of $670 from gross profit of $1,870, or 42.5% of revenues, for the second quarter of 2014. The 70 basis points increase in gross margin as a percentage of revenue during 2015 is due to a greater mix of higher-margin new products and increased manufacturing throughput.</w:t>
      </w:r>
    </w:p>
    <w:p>
      <w:pPr>
        <w:spacing w:after="0" w:line="164" w:lineRule="exact"/>
        <w:rPr>
          <w:sz w:val="20"/>
          <w:szCs w:val="20"/>
          <w:color w:val="auto"/>
        </w:rPr>
      </w:pPr>
    </w:p>
    <w:p>
      <w:pPr>
        <w:jc w:val="both"/>
        <w:ind w:firstLine="324"/>
        <w:spacing w:after="0" w:line="313" w:lineRule="auto"/>
        <w:rPr>
          <w:sz w:val="20"/>
          <w:szCs w:val="20"/>
          <w:color w:val="auto"/>
        </w:rPr>
      </w:pPr>
      <w:r>
        <w:rPr>
          <w:rFonts w:ascii="Arial" w:cs="Arial" w:eastAsia="Arial" w:hAnsi="Arial"/>
          <w:sz w:val="17"/>
          <w:szCs w:val="17"/>
          <w:b w:val="1"/>
          <w:bCs w:val="1"/>
          <w:color w:val="auto"/>
        </w:rPr>
        <w:t xml:space="preserve">Operating Expenses. </w:t>
      </w:r>
      <w:r>
        <w:rPr>
          <w:rFonts w:ascii="Arial" w:cs="Arial" w:eastAsia="Arial" w:hAnsi="Arial"/>
          <w:sz w:val="17"/>
          <w:szCs w:val="17"/>
          <w:color w:val="auto"/>
        </w:rPr>
        <w:t>Total operating expenses for the six-month period ended June 28, 2015 totaled $10,227, a decrease of $740 or 6.7%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$10,967 recorded during the six-month period ended June 29, 2014, resulting primarily from continued tight control over all discretionary spending.</w:t>
      </w:r>
    </w:p>
    <w:p>
      <w:pPr>
        <w:spacing w:after="0" w:line="358"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21</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77" w:right="239" w:bottom="1440" w:gutter="0" w:footer="0" w:header="0"/>
        </w:sectPr>
      </w:pPr>
    </w:p>
    <w:bookmarkStart w:id="21" w:name="page22"/>
    <w:bookmarkEnd w:id="21"/>
    <w:p>
      <w:pPr>
        <w:jc w:val="both"/>
        <w:ind w:firstLine="324"/>
        <w:spacing w:after="0" w:line="254" w:lineRule="auto"/>
        <w:rPr>
          <w:sz w:val="20"/>
          <w:szCs w:val="20"/>
          <w:color w:val="auto"/>
        </w:rPr>
      </w:pPr>
      <w:r>
        <w:rPr>
          <w:rFonts w:ascii="Arial" w:cs="Arial" w:eastAsia="Arial" w:hAnsi="Arial"/>
          <w:sz w:val="18"/>
          <w:szCs w:val="18"/>
          <w:color w:val="auto"/>
        </w:rPr>
        <w:t>Overall, operating expenses as a percentage of revenues were 26.8% for the six-month period ended June 28, 2015 compared to 36.0% for the comparable 2014 period. Amortization expense associated with intangible assets related to our acquisitions was $119 for the first six months of 2015 ($54 in selling, general and administrative expenses and $65 in research and development costs), compared with $154 for the first six months of 2014 ($67 in selling, general, and administrative expenses and $87 in research and development costs). Research and development costs were $2,693 for the six-month period ended June 28, 2015, a decrease of $303, or 10.1%, from $2,996 for the six-months ended June 29, 2014, as we continued to focus our spending on the development of new products with the highest estimated return on investment. Selling, general, and administrative expenses decreased $437, or 5.5%, from $7,971 during the first six months of 2014 to $7,534 during the first six months of 2015, reflecting continued actions to reduce discretionary general and administrative expenses.</w:t>
      </w:r>
    </w:p>
    <w:p>
      <w:pPr>
        <w:spacing w:after="0" w:line="20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(expense) totaled $(160) for the six-month period ended June 28, 2015 compared to $(58) for the three-month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29, 2014. Interest and financing expense, net of interest income, increased $42, to $130 for the 2015 period from $88 for the comparable period in 2014, as a result of costs to insure certain non-U.S. accounts receivable consistent withour Credit Agreement with PNC Bank. Miscellaneous income (expense) amounted to ($30) for the first six months of 2015 compared with $30 for the first six months of 2014, primarily due to transactions impacted by changes in foreign currencies relative to the U.S. dollar.</w:t>
      </w:r>
    </w:p>
    <w:p>
      <w:pPr>
        <w:spacing w:after="0" w:line="18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$182 for the first two quarters of 2015 compared with a tax provision of $117 for the first two quarters of</w:t>
      </w:r>
      <w:r>
        <w:rPr>
          <w:rFonts w:ascii="Arial" w:cs="Arial" w:eastAsia="Arial" w:hAnsi="Arial"/>
          <w:sz w:val="18"/>
          <w:szCs w:val="18"/>
          <w:b w:val="1"/>
          <w:bCs w:val="1"/>
          <w:color w:val="auto"/>
        </w:rPr>
        <w:t xml:space="preserve"> </w:t>
      </w:r>
      <w:r>
        <w:rPr>
          <w:rFonts w:ascii="Arial" w:cs="Arial" w:eastAsia="Arial" w:hAnsi="Arial"/>
          <w:sz w:val="18"/>
          <w:szCs w:val="18"/>
          <w:color w:val="auto"/>
        </w:rPr>
        <w:t>2014. The increase of $65, or 55.6% was due to estimated U.S. minimum taxes in 2015 and increased foreign tax liabilities. The effective consolidated tax rate for the six-month periods ended June 28, 2015 and June 29, 2014 were: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Six-month periods ended</w:t>
            </w:r>
          </w:p>
        </w:tc>
      </w:tr>
      <w:tr>
        <w:trPr>
          <w:trHeight w:val="230"/>
        </w:trPr>
        <w:tc>
          <w:tcPr>
            <w:tcW w:w="7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28,</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29,</w:t>
            </w:r>
          </w:p>
        </w:tc>
      </w:tr>
      <w:tr>
        <w:trPr>
          <w:trHeight w:val="234"/>
        </w:trPr>
        <w:tc>
          <w:tcPr>
            <w:tcW w:w="7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9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10"/>
        </w:trPr>
        <w:tc>
          <w:tcPr>
            <w:tcW w:w="7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(loss) income from continuing operations before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7200" w:type="dxa"/>
            <w:vAlign w:val="bottom"/>
          </w:tcPr>
          <w:p>
            <w:pPr>
              <w:ind w:left="240"/>
              <w:spacing w:after="0"/>
              <w:rPr>
                <w:sz w:val="20"/>
                <w:szCs w:val="20"/>
                <w:color w:val="auto"/>
              </w:rPr>
            </w:pPr>
            <w:r>
              <w:rPr>
                <w:rFonts w:ascii="Arial" w:cs="Arial" w:eastAsia="Arial" w:hAnsi="Arial"/>
                <w:sz w:val="18"/>
                <w:szCs w:val="18"/>
                <w:color w:val="auto"/>
              </w:rPr>
              <w:t>income taxes (a)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1,479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(2,478)</w:t>
            </w:r>
          </w:p>
        </w:tc>
      </w:tr>
      <w:tr>
        <w:trPr>
          <w:trHeight w:val="216"/>
        </w:trPr>
        <w:tc>
          <w:tcPr>
            <w:tcW w:w="7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7200" w:type="dxa"/>
            <w:vAlign w:val="bottom"/>
          </w:tcPr>
          <w:p>
            <w:pPr>
              <w:ind w:left="100"/>
              <w:spacing w:after="0"/>
              <w:rPr>
                <w:sz w:val="20"/>
                <w:szCs w:val="20"/>
                <w:color w:val="auto"/>
              </w:rPr>
            </w:pPr>
            <w:r>
              <w:rPr>
                <w:rFonts w:ascii="Arial" w:cs="Arial" w:eastAsia="Arial" w:hAnsi="Arial"/>
                <w:sz w:val="18"/>
                <w:szCs w:val="18"/>
                <w:color w:val="auto"/>
              </w:rPr>
              <w:t>Income tax provision (b)</w:t>
            </w:r>
          </w:p>
        </w:tc>
        <w:tc>
          <w:tcPr>
            <w:tcW w:w="30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182</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117</w:t>
            </w:r>
          </w:p>
        </w:tc>
      </w:tr>
      <w:tr>
        <w:trPr>
          <w:trHeight w:val="216"/>
        </w:trPr>
        <w:tc>
          <w:tcPr>
            <w:tcW w:w="7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7200" w:type="dxa"/>
            <w:vAlign w:val="bottom"/>
          </w:tcPr>
          <w:p>
            <w:pPr>
              <w:ind w:left="100"/>
              <w:spacing w:after="0"/>
              <w:rPr>
                <w:sz w:val="20"/>
                <w:szCs w:val="20"/>
                <w:color w:val="auto"/>
              </w:rPr>
            </w:pPr>
            <w:r>
              <w:rPr>
                <w:rFonts w:ascii="Arial" w:cs="Arial" w:eastAsia="Arial" w:hAnsi="Arial"/>
                <w:sz w:val="18"/>
                <w:szCs w:val="18"/>
                <w:color w:val="auto"/>
              </w:rPr>
              <w:t>Effective income tax rate (b/a)</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in the Notes to Condensed Consolidated Financial Statements for additional information regarding our income taxes.</w:t>
      </w:r>
    </w:p>
    <w:p>
      <w:pPr>
        <w:spacing w:after="0" w:line="23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Income (Loss) from discontinued operations, net of tax, totaled $0 for the first six months of 2015, compared to ($61)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period in 2014. The loss for the 2014 period reflects the final settlement of the sale of our RedBlack business.</w:t>
      </w:r>
    </w:p>
    <w:p>
      <w:pPr>
        <w:spacing w:after="0" w:line="16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Net Income (Loss) Attributable to Ultralife. </w:t>
      </w:r>
      <w:r>
        <w:rPr>
          <w:rFonts w:ascii="Arial" w:cs="Arial" w:eastAsia="Arial" w:hAnsi="Arial"/>
          <w:sz w:val="18"/>
          <w:szCs w:val="18"/>
          <w:color w:val="auto"/>
        </w:rPr>
        <w:t>Net income (loss) attributable to Ultralife and income (loss) attributable to Ultralife common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per diluted share was $1,321 and $0.08, respectively, for the six months ended June 28, 2015, compared to $($2,656) and $(0.15), respectively, for the six months ended June 29, 2014. Average common shares outstanding used to compute diluted earnings per share decreased from 17,523,000 in the 2014 period to 16,977,000 in the 2015 period, mainly due to the repurchase of stock under our Share Repurchase Plan, stock option exercises, vesting of restricted stock units and shares of common stock issued to our non-employee directors.</w:t>
      </w:r>
    </w:p>
    <w:p>
      <w:pPr>
        <w:spacing w:after="0" w:line="200" w:lineRule="exact"/>
        <w:rPr>
          <w:sz w:val="20"/>
          <w:szCs w:val="20"/>
          <w:color w:val="auto"/>
        </w:rPr>
      </w:pPr>
    </w:p>
    <w:p>
      <w:pPr>
        <w:spacing w:after="0" w:line="204"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22</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1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88" w:lineRule="exact"/>
        <w:rPr>
          <w:sz w:val="20"/>
          <w:szCs w:val="20"/>
          <w:color w:val="auto"/>
        </w:rPr>
      </w:pPr>
    </w:p>
    <w:p>
      <w:pPr>
        <w:jc w:val="both"/>
        <w:ind w:left="1080" w:hanging="316"/>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363"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23</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665" w:right="239" w:bottom="1440" w:gutter="0" w:footer="0" w:header="0"/>
        </w:sectPr>
      </w:pPr>
    </w:p>
    <w:bookmarkStart w:id="23" w:name="page24"/>
    <w:bookmarkEnd w:id="23"/>
    <w:p>
      <w:pPr>
        <w:jc w:val="both"/>
        <w:ind w:left="1080" w:hanging="316"/>
        <w:spacing w:after="0" w:line="26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181" w:lineRule="exact"/>
        <w:rPr>
          <w:rFonts w:ascii="Arial" w:cs="Arial" w:eastAsia="Arial" w:hAnsi="Arial"/>
          <w:sz w:val="18"/>
          <w:szCs w:val="18"/>
          <w:color w:val="auto"/>
        </w:rPr>
      </w:pPr>
    </w:p>
    <w:p>
      <w:pPr>
        <w:ind w:left="1080" w:right="20" w:hanging="316"/>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although discontinued operations does not reflect our current business operations, discontinued operations includes the costs we incurred by exiting our Energy Services and certain of our UK businesses and divesting our RedBlack Communications business; and</w:t>
      </w:r>
    </w:p>
    <w:p>
      <w:pPr>
        <w:spacing w:after="0" w:line="146" w:lineRule="exact"/>
        <w:rPr>
          <w:rFonts w:ascii="Arial" w:cs="Arial" w:eastAsia="Arial" w:hAnsi="Arial"/>
          <w:sz w:val="17"/>
          <w:szCs w:val="17"/>
          <w:color w:val="auto"/>
        </w:rPr>
      </w:pPr>
    </w:p>
    <w:p>
      <w:pPr>
        <w:ind w:left="1080" w:hanging="316"/>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may calculate Adjusted EBITDA from continuing operations differently than we do, limiting its usefulness as a comparative measure.</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9"/>
              </w:rPr>
              <w:t>Three-month periods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rPr>
              <w:t>Six-month periods ended</w:t>
            </w:r>
          </w:p>
        </w:tc>
      </w:tr>
      <w:tr>
        <w:trPr>
          <w:trHeight w:val="230"/>
        </w:trPr>
        <w:tc>
          <w:tcPr>
            <w:tcW w:w="4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June 28,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June 29,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b w:val="1"/>
                <w:bCs w:val="1"/>
                <w:color w:val="auto"/>
              </w:rPr>
              <w:t>June 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June 29,</w:t>
            </w:r>
          </w:p>
        </w:tc>
      </w:tr>
      <w:tr>
        <w:trPr>
          <w:trHeight w:val="234"/>
        </w:trPr>
        <w:tc>
          <w:tcPr>
            <w:tcW w:w="4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4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(loss) attributable to Ultralife</w:t>
            </w:r>
          </w:p>
        </w:tc>
        <w:tc>
          <w:tcPr>
            <w:tcW w:w="11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w:t>
            </w:r>
          </w:p>
        </w:tc>
        <w:tc>
          <w:tcPr>
            <w:tcW w:w="5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1,321</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(2,646)</w:t>
            </w:r>
          </w:p>
        </w:tc>
      </w:tr>
      <w:tr>
        <w:trPr>
          <w:trHeight w:val="216"/>
        </w:trPr>
        <w:tc>
          <w:tcPr>
            <w:tcW w:w="4020" w:type="dxa"/>
            <w:vAlign w:val="bottom"/>
          </w:tcPr>
          <w:p>
            <w:pPr>
              <w:ind w:left="100"/>
              <w:spacing w:after="0"/>
              <w:rPr>
                <w:sz w:val="20"/>
                <w:szCs w:val="20"/>
                <w:color w:val="auto"/>
              </w:rPr>
            </w:pPr>
            <w:r>
              <w:rPr>
                <w:rFonts w:ascii="Arial" w:cs="Arial" w:eastAsia="Arial" w:hAnsi="Arial"/>
                <w:sz w:val="18"/>
                <w:szCs w:val="18"/>
                <w:color w:val="auto"/>
              </w:rPr>
              <w:t>Add (subtract):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financing expense, net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Income tax provision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expense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r>
      <w:tr>
        <w:trPr>
          <w:trHeight w:val="216"/>
        </w:trPr>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Impairment of long-lived assets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from discontinued operations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r>
      <w:tr>
        <w:trPr>
          <w:trHeight w:val="223"/>
        </w:trPr>
        <w:tc>
          <w:tcPr>
            <w:tcW w:w="402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9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June 28, 2015, cash and cash equivalents totaled $15,789, a decrease of $1,922 from the beginning of the year. During the six-month period ended June 28, 2015, we generated $4,745 of cash from our operating activities as compared to cash generated totaling $986 during the six-month period ended June 29, 2014. Cash generated from operations in 2015 included our net income of $1,297 plus non-cash expenses (depreciation, amortization and stock-based compensation) totaling $1,655, and cash provided by a $2,331 decrease in inventories, offset partially by a decrease in accounts payable and other liabilities of $863. Cash generated from operations in 2014 was positive despite our net loss of $2,656, as the loss was largely offset by non-cash expenses totaling $2,178. Cash generated from operations in 2014 resulted primarily from a $4,128 decrease in accounts receivable, offset partially by our loss of $2,656, a decrease in accounts payable and other liabilities of $2,106 and an increase in inventories which totaled $1,042.</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Inventory turnover for the first six months of 2015 was an annualized rate of approximately 1.9 turns per year, a slight improvement over the 1.8 figure from the first six months of 2014.</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used $872 in cash for investing activities during the six month period ended June 28, 2015 compared with $398 in cash used for investing activities in the same period in 2014. In both periods, this spending was principally for the purchase of property, equipment and improvements.</w:t>
      </w:r>
    </w:p>
    <w:p>
      <w:pPr>
        <w:spacing w:after="0" w:line="363"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24</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665" w:right="239" w:bottom="1440" w:gutter="0" w:footer="0" w:header="0"/>
        </w:sectPr>
      </w:pPr>
    </w:p>
    <w:bookmarkStart w:id="24" w:name="page25"/>
    <w:bookmarkEnd w:id="24"/>
    <w:p>
      <w:pPr>
        <w:jc w:val="both"/>
        <w:ind w:firstLine="324"/>
        <w:spacing w:after="0" w:line="277" w:lineRule="auto"/>
        <w:rPr>
          <w:sz w:val="20"/>
          <w:szCs w:val="20"/>
          <w:color w:val="auto"/>
        </w:rPr>
      </w:pPr>
      <w:r>
        <w:rPr>
          <w:rFonts w:ascii="Arial" w:cs="Arial" w:eastAsia="Arial" w:hAnsi="Arial"/>
          <w:sz w:val="18"/>
          <w:szCs w:val="18"/>
          <w:color w:val="auto"/>
        </w:rPr>
        <w:t>As of June 28, 2015, we had made commitments to purchase approximately $338 of production machinery and equipment, which we expect to fund through operating cash flows or debt borrowings.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under which the Company was authorized to repurchase up to 1.8 million shares of its outstanding common stock over a period not to exceed twelve months.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28, 2015, the Board of Directors authorized an extension of the Share Repurchase Program for an additional twelve month period beginning May 1, 2015 and ending April 30, 2016, subject, for the entire period as extended, to the 1.8 million share aggregate limit established in the initial authorization.</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2, 2015, the Board of Directors approved an expansion and extension of the Share Repurchase Program, authorizing the repurchase of up to an additional 1.6 million shares through June 2, 2016.</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Share repurchases under this program are made in accordance with SEC Rule 10b-18 using a variety of methods, which may include open market purchases, privately negotiated transactions and block trades, or any combination of such methods, in compliance with applicable insider trading and other securities laws and regulations. With the exception of repurchases made during stock trading black-out periods under a 10b5-1 Plan, the timing, manner, price and amount of any repurchase are determined at the Company’s discretion. The Share Repurchase Program may be suspended, terminated or modified by the Company at any time and for any reason. The Share Repurchase Program does not obligate the Company to repurchase any specific number of shares.</w:t>
      </w:r>
    </w:p>
    <w:p>
      <w:pPr>
        <w:spacing w:after="0" w:line="1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three month period ended June 28, 2015, the Company repurchased 1,398,454 shares under this program for a total cost (excluding fees and commissions) of $5,509. During the six month period ended June 28, 2015, the Company repurchased 1,476,855 shares under this program for a total cost (excluding fees and commissions) of $5,805. From the inception of the Share Repurchase Program on May 1, 2014 through July 29, 2015, the Company has repurchased 1,941,691 shares for an aggregate cost (excluding fees and commissions) of $7,525. The total remaining balance of shares authorized for repurchase under the Share Repurchase Program is 1,458,309 shares as of July 29, 2015.</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financing through our Credit Facility with PNC Bank, which provides a $20 million secured asset-based revolving credit facility that includes a $1 million letter of credit sub-facility. As of June 28, 2015, we had approximately $11,409 of borrowing capacity under our $20 million Credit Facility with PNC Bank, in addition to our cash on hand of $15,789, and we had no outstanding borrowings or outstanding letters of credit under the Credit Facility at either June 28, 2015 or June 29, 2014.</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187" w:lineRule="exact"/>
        <w:rPr>
          <w:sz w:val="20"/>
          <w:szCs w:val="20"/>
          <w:color w:val="auto"/>
        </w:rPr>
      </w:pPr>
    </w:p>
    <w:p>
      <w:pPr>
        <w:ind w:left="5640"/>
        <w:spacing w:after="0"/>
        <w:tabs>
          <w:tab w:leader="none" w:pos="10140" w:val="left"/>
        </w:tabs>
        <w:rPr>
          <w:rFonts w:ascii="Arial" w:cs="Arial" w:eastAsia="Arial" w:hAnsi="Arial"/>
          <w:sz w:val="15"/>
          <w:szCs w:val="15"/>
          <w:i w:val="1"/>
          <w:iCs w:val="1"/>
          <w:u w:val="single" w:color="auto"/>
          <w:color w:val="0000EE"/>
        </w:rPr>
      </w:pPr>
      <w:r>
        <w:rPr>
          <w:rFonts w:ascii="Arial" w:cs="Arial" w:eastAsia="Arial" w:hAnsi="Arial"/>
          <w:sz w:val="15"/>
          <w:szCs w:val="15"/>
          <w:color w:val="auto"/>
        </w:rPr>
        <w:t>25</w:t>
      </w:r>
      <w:r>
        <w:rPr>
          <w:sz w:val="20"/>
          <w:szCs w:val="20"/>
          <w:color w:val="auto"/>
        </w:rPr>
        <w:tab/>
      </w:r>
      <w:hyperlink w:anchor="page2">
        <w:r>
          <w:rPr>
            <w:rFonts w:ascii="Arial" w:cs="Arial" w:eastAsia="Arial" w:hAnsi="Arial"/>
            <w:sz w:val="15"/>
            <w:szCs w:val="15"/>
            <w:i w:val="1"/>
            <w:iCs w:val="1"/>
            <w:u w:val="single" w:color="auto"/>
            <w:color w:val="0000EE"/>
          </w:rPr>
          <w:t>Table of Contents</w:t>
        </w:r>
      </w:hyperlink>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we were informed by local government authorities in Shenzhen, China that the lease for our facility there would not be extended, and we commenced a search for an alternate site to relocate our facility. In July 2014, our subsidiary in China entered into a lease for a replacement facility, also located in Shenzhen. During the fourth quarter of 2014, our subsidiary in China vacated its former facility premises and substantially completed a move and transition to this new facility.</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received compensation from the local government authorities for leasehold improvements and moving-related costs totaling $815, of which $596 was recognized as a reduction of expenses incurred during 2014, which were $841. It is the Company’s policy to recognize this compensation as a reduction of expenses as the expenses are recognized. An additional $158 and $61 of this government compensation were recognized as reductions of expenses during the three and six month periods ended June 28, 2015, respectively. The related expenses incurred during the three and six month periods ended June 28, 2015 were $103 and $212, respectively. The relocation payments were complete as of June 28, 2015.</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2014 Annual Report on Form 10-K should be reviewed for a greater understanding of how our financial performance is recorded and reported.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six months of 2015, there were no significant changes in the manner in which our significant accounting policies were applied or in which related assumptions and estimates were developed.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26</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While a final report has not been issued by the regulatory authorities, preliminary findings indicate that the fire may have been caused by circumstances related to the plane’s emergency locator transmitter (ELT) manufactured by another company. We continue to provide support and comment as required to the ongoing investigation.</w:t>
      </w:r>
    </w:p>
    <w:p>
      <w:pPr>
        <w:spacing w:after="0" w:line="1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USD 42 million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this time, we believe that there is not a reasonable possibility that this incident will result in a material financial exposure to the Company.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September 2011, we initiated an action against Arista Power, Inc. (“Arista”) and our former employee, David Modeen (“Modeen”), in the State of New York Supreme Court, County of Wayne, in which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As more fully disclosed in our Annual Report on Form 10-K, we allege that both Arista and Modeen breached agreements with us, that Arista’s employment of Modeen will inevitably lead to the disclosure and use of our trade secrets by Arista. We seek damages as determined at trial and preliminary and permanent injunctive relief. The defendants answered the allegations set forth in the Complaint and asserted claims against us</w:t>
      </w:r>
      <w:r>
        <w:rPr>
          <w:rFonts w:ascii="Arial" w:cs="Arial" w:eastAsia="Arial" w:hAnsi="Arial"/>
          <w:sz w:val="18"/>
          <w:szCs w:val="18"/>
          <w:color w:val="1F497D"/>
        </w:rPr>
        <w:t>,</w:t>
      </w:r>
      <w:r>
        <w:rPr>
          <w:rFonts w:ascii="Arial" w:cs="Arial" w:eastAsia="Arial" w:hAnsi="Arial"/>
          <w:sz w:val="18"/>
          <w:szCs w:val="18"/>
          <w:color w:val="auto"/>
        </w:rPr>
        <w:t xml:space="preserve"> which have since been dropped.</w:t>
      </w:r>
    </w:p>
    <w:p>
      <w:pPr>
        <w:spacing w:after="0" w:line="189"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27</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27" w:name="page28"/>
    <w:bookmarkEnd w:id="27"/>
    <w:p>
      <w:pPr>
        <w:jc w:val="both"/>
        <w:ind w:firstLine="324"/>
        <w:spacing w:after="0" w:line="259" w:lineRule="auto"/>
        <w:rPr>
          <w:sz w:val="20"/>
          <w:szCs w:val="20"/>
          <w:color w:val="auto"/>
        </w:rPr>
      </w:pPr>
      <w:r>
        <w:rPr>
          <w:rFonts w:ascii="Arial" w:cs="Arial" w:eastAsia="Arial" w:hAnsi="Arial"/>
          <w:sz w:val="18"/>
          <w:szCs w:val="18"/>
          <w:color w:val="auto"/>
        </w:rPr>
        <w:t>We initiated the September 2011 Complaint against Arista Power to protect our shareholders, customers and employees from the unauthorized use and theft of our investments in intellectual property, trade secrets and confidential information by Arista and its employees. Protecting our intellectual property and know-how, developed and obtained at great cost to us to form our competitive position in the marketplace and create value for our shareholders and stakeholders, is a fundamental responsibility of all our employees.</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Discovery in this action is ongoing, and we plan to continue to pursue our complaint against Arista. It is not possible to predict the outcome of this action, whether we will be granted the injunctive relief we seek, nor the monetary amount, if any, which we may be awarded should we prevail.</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2(c) Purchases of Equity Securities by the Issuer and Affiliated Purchasers</w:t>
      </w:r>
    </w:p>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sets forth information regarding second quarter 2015 purchases of common stock under the Company’s stock repurchase program. Under the repurchase program, the Board of Directors authorized the repurchase of up to 1.8 million shares of the Company’s Common Stock through April 30, 2015. The Board of Directors has since extended the program through June 2, 2016 and expanded the maximum number of shares authorized to be repurchased from 1.8 million shares to 3.4 million shares.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Since the commencement of this repurchase plan through June 28, 2015, the Company has repurchased 1,693,609 common shares under this plan for an aggregate dollar amount of $6,572.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Total Number of</w:t>
            </w: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Shares Purchased</w:t>
            </w: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22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Average Price Paid Per</w:t>
            </w:r>
          </w:p>
        </w:tc>
        <w:tc>
          <w:tcPr>
            <w:tcW w:w="2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as Part of Publicly</w:t>
            </w: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70"/>
        </w:trPr>
        <w:tc>
          <w:tcPr>
            <w:tcW w:w="1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3"/>
                <w:szCs w:val="23"/>
                <w:color w:val="auto"/>
              </w:rPr>
            </w:pPr>
          </w:p>
        </w:tc>
        <w:tc>
          <w:tcPr>
            <w:tcW w:w="2260" w:type="dxa"/>
            <w:vAlign w:val="bottom"/>
            <w:gridSpan w:val="3"/>
          </w:tcPr>
          <w:p>
            <w:pPr>
              <w:jc w:val="center"/>
              <w:ind w:right="440"/>
              <w:spacing w:after="0" w:line="269" w:lineRule="exact"/>
              <w:rPr>
                <w:sz w:val="20"/>
                <w:szCs w:val="20"/>
                <w:color w:val="auto"/>
              </w:rPr>
            </w:pPr>
            <w:r>
              <w:rPr>
                <w:rFonts w:ascii="Arial" w:cs="Arial" w:eastAsia="Arial" w:hAnsi="Arial"/>
                <w:sz w:val="18"/>
                <w:szCs w:val="18"/>
                <w:b w:val="1"/>
                <w:bCs w:val="1"/>
                <w:color w:val="auto"/>
                <w:w w:val="83"/>
              </w:rPr>
              <w:t>Share</w:t>
            </w:r>
            <w:r>
              <w:rPr>
                <w:rFonts w:ascii="Arial" w:cs="Arial" w:eastAsia="Arial" w:hAnsi="Arial"/>
                <w:sz w:val="30"/>
                <w:szCs w:val="30"/>
                <w:b w:val="1"/>
                <w:bCs w:val="1"/>
                <w:color w:val="auto"/>
                <w:w w:val="83"/>
                <w:vertAlign w:val="superscript"/>
              </w:rPr>
              <w:t>(2)</w:t>
            </w:r>
          </w:p>
        </w:tc>
        <w:tc>
          <w:tcPr>
            <w:tcW w:w="2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Announced Program</w:t>
            </w:r>
          </w:p>
        </w:tc>
        <w:tc>
          <w:tcPr>
            <w:tcW w:w="1920" w:type="dxa"/>
            <w:vAlign w:val="bottom"/>
            <w:gridSpan w:val="2"/>
          </w:tcPr>
          <w:p>
            <w:pPr>
              <w:jc w:val="center"/>
              <w:spacing w:after="0" w:line="269" w:lineRule="exact"/>
              <w:rPr>
                <w:sz w:val="20"/>
                <w:szCs w:val="20"/>
                <w:color w:val="auto"/>
              </w:rPr>
            </w:pPr>
            <w:r>
              <w:rPr>
                <w:rFonts w:ascii="Arial" w:cs="Arial" w:eastAsia="Arial" w:hAnsi="Arial"/>
                <w:sz w:val="18"/>
                <w:szCs w:val="18"/>
                <w:b w:val="1"/>
                <w:bCs w:val="1"/>
                <w:color w:val="auto"/>
                <w:w w:val="89"/>
              </w:rPr>
              <w:t>Under the Program</w:t>
            </w:r>
            <w:r>
              <w:rPr>
                <w:rFonts w:ascii="Arial" w:cs="Arial" w:eastAsia="Arial" w:hAnsi="Arial"/>
                <w:sz w:val="30"/>
                <w:szCs w:val="30"/>
                <w:b w:val="1"/>
                <w:bCs w:val="1"/>
                <w:color w:val="auto"/>
                <w:w w:val="89"/>
                <w:vertAlign w:val="superscript"/>
              </w:rPr>
              <w:t>(1)</w:t>
            </w: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440" w:type="dxa"/>
            <w:vAlign w:val="bottom"/>
            <w:gridSpan w:val="3"/>
          </w:tcPr>
          <w:p>
            <w:pPr>
              <w:jc w:val="right"/>
              <w:ind w:right="480"/>
              <w:spacing w:after="0"/>
              <w:rPr>
                <w:sz w:val="20"/>
                <w:szCs w:val="20"/>
                <w:color w:val="auto"/>
              </w:rPr>
            </w:pPr>
            <w:r>
              <w:rPr>
                <w:rFonts w:ascii="Arial" w:cs="Arial" w:eastAsia="Arial" w:hAnsi="Arial"/>
                <w:sz w:val="18"/>
                <w:szCs w:val="18"/>
                <w:color w:val="auto"/>
              </w:rPr>
              <w:t>March 30 – April 26</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38,406</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38,406</w:t>
            </w:r>
          </w:p>
        </w:tc>
        <w:tc>
          <w:tcPr>
            <w:tcW w:w="34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3,066,439</w:t>
            </w:r>
          </w:p>
        </w:tc>
      </w:tr>
      <w:tr>
        <w:trPr>
          <w:trHeight w:val="216"/>
        </w:trPr>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 May 24</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1,196,761</w:t>
            </w: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1,869,678</w:t>
            </w: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May 25</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 June 28</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163,287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163,287</w:t>
            </w:r>
          </w:p>
        </w:tc>
        <w:tc>
          <w:tcPr>
            <w:tcW w:w="34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1,706,391</w:t>
            </w:r>
          </w:p>
        </w:tc>
      </w:tr>
      <w:tr>
        <w:trPr>
          <w:trHeight w:val="223"/>
        </w:trPr>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1,398,454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820" w:right="100" w:hanging="161"/>
        <w:spacing w:after="0" w:line="21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April and May share figures have been retroactively adjusted to include 1.6 million share expansion of the share repurchase program approved on June 2, 2015.</w:t>
      </w:r>
    </w:p>
    <w:p>
      <w:pPr>
        <w:ind w:left="820" w:right="220" w:hanging="161"/>
        <w:spacing w:after="0" w:line="205" w:lineRule="auto"/>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Average Price Paid Per Share excludes fees and commissions related to such repurchases. Including these costs, the average price paid per share for all purchases under the Share Repurchase Program is $3.97.</w:t>
      </w:r>
    </w:p>
    <w:p>
      <w:pPr>
        <w:spacing w:after="0" w:line="200" w:lineRule="exact"/>
        <w:rPr>
          <w:sz w:val="20"/>
          <w:szCs w:val="20"/>
          <w:color w:val="auto"/>
        </w:rPr>
      </w:pPr>
    </w:p>
    <w:p>
      <w:pPr>
        <w:spacing w:after="0" w:line="219"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28</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8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740" w:type="dxa"/>
            <w:vAlign w:val="bottom"/>
          </w:tcPr>
          <w:p>
            <w:pPr>
              <w:spacing w:after="0"/>
              <w:rPr>
                <w:sz w:val="20"/>
                <w:szCs w:val="20"/>
                <w:color w:val="auto"/>
              </w:rPr>
            </w:pPr>
          </w:p>
        </w:tc>
      </w:tr>
      <w:tr>
        <w:trPr>
          <w:trHeight w:val="418"/>
        </w:trPr>
        <w:tc>
          <w:tcPr>
            <w:tcW w:w="1080" w:type="dxa"/>
            <w:vAlign w:val="bottom"/>
          </w:tcPr>
          <w:p>
            <w:pPr>
              <w:ind w:left="100"/>
              <w:spacing w:after="0"/>
              <w:rPr>
                <w:sz w:val="20"/>
                <w:szCs w:val="20"/>
                <w:color w:val="auto"/>
              </w:rPr>
            </w:pPr>
            <w:r>
              <w:rPr>
                <w:rFonts w:ascii="Arial" w:cs="Arial" w:eastAsia="Arial" w:hAnsi="Arial"/>
                <w:sz w:val="18"/>
                <w:szCs w:val="18"/>
                <w:color w:val="auto"/>
              </w:rPr>
              <w:t>Exhibit</w:t>
            </w:r>
          </w:p>
        </w:tc>
        <w:tc>
          <w:tcPr>
            <w:tcW w:w="53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0"/>
        </w:trPr>
        <w:tc>
          <w:tcPr>
            <w:tcW w:w="1080" w:type="dxa"/>
            <w:vAlign w:val="bottom"/>
          </w:tcPr>
          <w:p>
            <w:pPr>
              <w:ind w:left="100"/>
              <w:spacing w:after="0"/>
              <w:rPr>
                <w:sz w:val="20"/>
                <w:szCs w:val="20"/>
                <w:color w:val="auto"/>
              </w:rPr>
            </w:pPr>
            <w:r>
              <w:rPr>
                <w:rFonts w:ascii="Arial" w:cs="Arial" w:eastAsia="Arial" w:hAnsi="Arial"/>
                <w:sz w:val="18"/>
                <w:szCs w:val="18"/>
                <w:color w:val="auto"/>
              </w:rPr>
              <w:t>Index</w:t>
            </w:r>
          </w:p>
        </w:tc>
        <w:tc>
          <w:tcPr>
            <w:tcW w:w="5340" w:type="dxa"/>
            <w:vAlign w:val="bottom"/>
          </w:tcPr>
          <w:p>
            <w:pPr>
              <w:ind w:left="280"/>
              <w:spacing w:after="0"/>
              <w:rPr>
                <w:sz w:val="20"/>
                <w:szCs w:val="20"/>
                <w:color w:val="auto"/>
              </w:rPr>
            </w:pPr>
            <w:r>
              <w:rPr>
                <w:rFonts w:ascii="Arial" w:cs="Arial" w:eastAsia="Arial" w:hAnsi="Arial"/>
                <w:sz w:val="18"/>
                <w:szCs w:val="18"/>
                <w:color w:val="auto"/>
              </w:rPr>
              <w:t>Description of Document</w:t>
            </w:r>
          </w:p>
        </w:tc>
        <w:tc>
          <w:tcPr>
            <w:tcW w:w="3740" w:type="dxa"/>
            <w:vAlign w:val="bottom"/>
          </w:tcPr>
          <w:p>
            <w:pPr>
              <w:ind w:left="1340"/>
              <w:spacing w:after="0"/>
              <w:rPr>
                <w:sz w:val="20"/>
                <w:szCs w:val="20"/>
                <w:color w:val="auto"/>
              </w:rPr>
            </w:pPr>
            <w:r>
              <w:rPr>
                <w:rFonts w:ascii="Arial" w:cs="Arial" w:eastAsia="Arial" w:hAnsi="Arial"/>
                <w:sz w:val="18"/>
                <w:szCs w:val="18"/>
                <w:color w:val="auto"/>
                <w:w w:val="91"/>
              </w:rPr>
              <w:t>Incorporated By Reference from:</w:t>
            </w:r>
          </w:p>
        </w:tc>
      </w:tr>
      <w:tr>
        <w:trPr>
          <w:trHeight w:val="418"/>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5340" w:type="dxa"/>
            <w:vAlign w:val="bottom"/>
          </w:tcPr>
          <w:p>
            <w:pPr>
              <w:ind w:left="280"/>
              <w:spacing w:after="0"/>
              <w:rPr>
                <w:sz w:val="20"/>
                <w:szCs w:val="20"/>
                <w:color w:val="auto"/>
              </w:rPr>
            </w:pPr>
            <w:r>
              <w:rPr>
                <w:rFonts w:ascii="Arial" w:cs="Arial" w:eastAsia="Arial" w:hAnsi="Arial"/>
                <w:sz w:val="18"/>
                <w:szCs w:val="18"/>
                <w:color w:val="auto"/>
              </w:rPr>
              <w:t>Rule 13a-14(a) / 15d-14(a) CEO Certifications</w:t>
            </w:r>
          </w:p>
        </w:tc>
        <w:tc>
          <w:tcPr>
            <w:tcW w:w="3740" w:type="dxa"/>
            <w:vAlign w:val="bottom"/>
          </w:tcPr>
          <w:p>
            <w:pPr>
              <w:ind w:left="1340"/>
              <w:spacing w:after="0"/>
              <w:rPr>
                <w:sz w:val="20"/>
                <w:szCs w:val="20"/>
                <w:color w:val="auto"/>
              </w:rPr>
            </w:pPr>
            <w:r>
              <w:rPr>
                <w:rFonts w:ascii="Arial" w:cs="Arial" w:eastAsia="Arial" w:hAnsi="Arial"/>
                <w:sz w:val="18"/>
                <w:szCs w:val="18"/>
                <w:color w:val="auto"/>
              </w:rPr>
              <w:t>Filed herewith</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5340" w:type="dxa"/>
            <w:vAlign w:val="bottom"/>
          </w:tcPr>
          <w:p>
            <w:pPr>
              <w:ind w:left="280"/>
              <w:spacing w:after="0"/>
              <w:rPr>
                <w:sz w:val="20"/>
                <w:szCs w:val="20"/>
                <w:color w:val="auto"/>
              </w:rPr>
            </w:pPr>
            <w:r>
              <w:rPr>
                <w:rFonts w:ascii="Arial" w:cs="Arial" w:eastAsia="Arial" w:hAnsi="Arial"/>
                <w:sz w:val="18"/>
                <w:szCs w:val="18"/>
                <w:color w:val="auto"/>
              </w:rPr>
              <w:t>Rule 13a-14(a) / 15d-14(a) CFO Certifications</w:t>
            </w:r>
          </w:p>
        </w:tc>
        <w:tc>
          <w:tcPr>
            <w:tcW w:w="3740" w:type="dxa"/>
            <w:vAlign w:val="bottom"/>
          </w:tcPr>
          <w:p>
            <w:pPr>
              <w:ind w:left="1340"/>
              <w:spacing w:after="0"/>
              <w:rPr>
                <w:sz w:val="20"/>
                <w:szCs w:val="20"/>
                <w:color w:val="auto"/>
              </w:rPr>
            </w:pPr>
            <w:r>
              <w:rPr>
                <w:rFonts w:ascii="Arial" w:cs="Arial" w:eastAsia="Arial" w:hAnsi="Arial"/>
                <w:sz w:val="18"/>
                <w:szCs w:val="18"/>
                <w:color w:val="auto"/>
              </w:rPr>
              <w:t>Filed herewith</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32</w:t>
            </w:r>
          </w:p>
        </w:tc>
        <w:tc>
          <w:tcPr>
            <w:tcW w:w="5340" w:type="dxa"/>
            <w:vAlign w:val="bottom"/>
          </w:tcPr>
          <w:p>
            <w:pPr>
              <w:ind w:left="280"/>
              <w:spacing w:after="0"/>
              <w:rPr>
                <w:sz w:val="20"/>
                <w:szCs w:val="20"/>
                <w:color w:val="auto"/>
              </w:rPr>
            </w:pPr>
            <w:r>
              <w:rPr>
                <w:rFonts w:ascii="Arial" w:cs="Arial" w:eastAsia="Arial" w:hAnsi="Arial"/>
                <w:sz w:val="18"/>
                <w:szCs w:val="18"/>
                <w:color w:val="auto"/>
              </w:rPr>
              <w:t>Section 1350 Certifications</w:t>
            </w:r>
          </w:p>
        </w:tc>
        <w:tc>
          <w:tcPr>
            <w:tcW w:w="3740" w:type="dxa"/>
            <w:vAlign w:val="bottom"/>
          </w:tcPr>
          <w:p>
            <w:pPr>
              <w:ind w:left="1340"/>
              <w:spacing w:after="0"/>
              <w:rPr>
                <w:sz w:val="20"/>
                <w:szCs w:val="20"/>
                <w:color w:val="auto"/>
              </w:rPr>
            </w:pPr>
            <w:r>
              <w:rPr>
                <w:rFonts w:ascii="Arial" w:cs="Arial" w:eastAsia="Arial" w:hAnsi="Arial"/>
                <w:sz w:val="18"/>
                <w:szCs w:val="18"/>
                <w:color w:val="auto"/>
              </w:rPr>
              <w:t>Filed herewith</w:t>
            </w: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101.INS</w:t>
            </w:r>
          </w:p>
        </w:tc>
        <w:tc>
          <w:tcPr>
            <w:tcW w:w="5340" w:type="dxa"/>
            <w:vAlign w:val="bottom"/>
          </w:tcPr>
          <w:p>
            <w:pPr>
              <w:ind w:left="280"/>
              <w:spacing w:after="0"/>
              <w:rPr>
                <w:sz w:val="20"/>
                <w:szCs w:val="20"/>
                <w:color w:val="auto"/>
              </w:rPr>
            </w:pPr>
            <w:r>
              <w:rPr>
                <w:rFonts w:ascii="Arial" w:cs="Arial" w:eastAsia="Arial" w:hAnsi="Arial"/>
                <w:sz w:val="18"/>
                <w:szCs w:val="18"/>
                <w:color w:val="auto"/>
              </w:rPr>
              <w:t>XBRL Instance Document</w:t>
            </w:r>
          </w:p>
        </w:tc>
        <w:tc>
          <w:tcPr>
            <w:tcW w:w="3740" w:type="dxa"/>
            <w:vAlign w:val="bottom"/>
          </w:tcPr>
          <w:p>
            <w:pPr>
              <w:spacing w:after="0"/>
              <w:rPr>
                <w:sz w:val="18"/>
                <w:szCs w:val="18"/>
                <w:color w:val="auto"/>
              </w:rPr>
            </w:pP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101.SCH</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3740" w:type="dxa"/>
            <w:vAlign w:val="bottom"/>
          </w:tcPr>
          <w:p>
            <w:pPr>
              <w:spacing w:after="0"/>
              <w:rPr>
                <w:sz w:val="18"/>
                <w:szCs w:val="18"/>
                <w:color w:val="auto"/>
              </w:rPr>
            </w:pP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101.CAL</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Calculation Linkbase Document</w:t>
            </w:r>
          </w:p>
        </w:tc>
        <w:tc>
          <w:tcPr>
            <w:tcW w:w="3740" w:type="dxa"/>
            <w:vAlign w:val="bottom"/>
          </w:tcPr>
          <w:p>
            <w:pPr>
              <w:spacing w:after="0"/>
              <w:rPr>
                <w:sz w:val="18"/>
                <w:szCs w:val="18"/>
                <w:color w:val="auto"/>
              </w:rPr>
            </w:pP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101.LAB</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Label Linkbase Document</w:t>
            </w:r>
          </w:p>
        </w:tc>
        <w:tc>
          <w:tcPr>
            <w:tcW w:w="3740" w:type="dxa"/>
            <w:vAlign w:val="bottom"/>
          </w:tcPr>
          <w:p>
            <w:pPr>
              <w:spacing w:after="0"/>
              <w:rPr>
                <w:sz w:val="18"/>
                <w:szCs w:val="18"/>
                <w:color w:val="auto"/>
              </w:rPr>
            </w:pPr>
          </w:p>
        </w:tc>
      </w:t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101.PRE</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Presentation Linkbase Document</w:t>
            </w:r>
          </w:p>
        </w:tc>
        <w:tc>
          <w:tcPr>
            <w:tcW w:w="3740" w:type="dxa"/>
            <w:vAlign w:val="bottom"/>
          </w:tcPr>
          <w:p>
            <w:pPr>
              <w:spacing w:after="0"/>
              <w:rPr>
                <w:sz w:val="18"/>
                <w:szCs w:val="18"/>
                <w:color w:val="auto"/>
              </w:rPr>
            </w:pPr>
          </w:p>
        </w:tc>
      </w:tr>
      <w:tr>
        <w:trPr>
          <w:trHeight w:val="230"/>
        </w:trPr>
        <w:tc>
          <w:tcPr>
            <w:tcW w:w="1080" w:type="dxa"/>
            <w:vAlign w:val="bottom"/>
          </w:tcPr>
          <w:p>
            <w:pPr>
              <w:ind w:left="100"/>
              <w:spacing w:after="0"/>
              <w:rPr>
                <w:sz w:val="20"/>
                <w:szCs w:val="20"/>
                <w:color w:val="auto"/>
              </w:rPr>
            </w:pPr>
            <w:r>
              <w:rPr>
                <w:rFonts w:ascii="Arial" w:cs="Arial" w:eastAsia="Arial" w:hAnsi="Arial"/>
                <w:sz w:val="18"/>
                <w:szCs w:val="18"/>
                <w:color w:val="auto"/>
              </w:rPr>
              <w:t>101.DEF</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Definition Document</w:t>
            </w:r>
          </w:p>
        </w:tc>
        <w:tc>
          <w:tcPr>
            <w:tcW w:w="37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ULTRALIFE CORPORATION</w:t>
            </w:r>
          </w:p>
        </w:tc>
      </w:tr>
      <w:tr>
        <w:trPr>
          <w:trHeight w:val="237"/>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jc w:val="center"/>
              <w:ind w:right="650"/>
              <w:spacing w:after="0"/>
              <w:rPr>
                <w:sz w:val="20"/>
                <w:szCs w:val="20"/>
                <w:color w:val="auto"/>
              </w:rPr>
            </w:pPr>
            <w:r>
              <w:rPr>
                <w:rFonts w:ascii="Arial" w:cs="Arial" w:eastAsia="Arial" w:hAnsi="Arial"/>
                <w:sz w:val="18"/>
                <w:szCs w:val="18"/>
                <w:color w:val="auto"/>
                <w:w w:val="91"/>
              </w:rPr>
              <w:t>(Registrant)</w:t>
            </w:r>
          </w:p>
        </w:tc>
      </w:tr>
      <w:tr>
        <w:trPr>
          <w:trHeight w:val="392"/>
        </w:trPr>
        <w:tc>
          <w:tcPr>
            <w:tcW w:w="2760" w:type="dxa"/>
            <w:vAlign w:val="bottom"/>
            <w:gridSpan w:val="3"/>
          </w:tcPr>
          <w:p>
            <w:pPr>
              <w:spacing w:after="0"/>
              <w:rPr>
                <w:sz w:val="20"/>
                <w:szCs w:val="20"/>
                <w:color w:val="auto"/>
              </w:rPr>
            </w:pPr>
            <w:r>
              <w:rPr>
                <w:rFonts w:ascii="Arial" w:cs="Arial" w:eastAsia="Arial" w:hAnsi="Arial"/>
                <w:sz w:val="18"/>
                <w:szCs w:val="18"/>
                <w:color w:val="auto"/>
              </w:rPr>
              <w:t>Date: July 30, 2015</w:t>
            </w:r>
          </w:p>
        </w:tc>
        <w:tc>
          <w:tcPr>
            <w:tcW w:w="1700" w:type="dxa"/>
            <w:vAlign w:val="bottom"/>
          </w:tcPr>
          <w:p>
            <w:pPr>
              <w:ind w:left="1360"/>
              <w:spacing w:after="0"/>
              <w:rPr>
                <w:sz w:val="20"/>
                <w:szCs w:val="20"/>
                <w:color w:val="auto"/>
              </w:rPr>
            </w:pPr>
            <w:r>
              <w:rPr>
                <w:rFonts w:ascii="Arial" w:cs="Arial" w:eastAsia="Arial" w:hAnsi="Arial"/>
                <w:sz w:val="18"/>
                <w:szCs w:val="18"/>
                <w:color w:val="auto"/>
              </w:rPr>
              <w:t>By:</w:t>
            </w:r>
          </w:p>
        </w:tc>
        <w:tc>
          <w:tcPr>
            <w:tcW w:w="3680" w:type="dxa"/>
            <w:vAlign w:val="bottom"/>
            <w:gridSpan w:val="4"/>
          </w:tcPr>
          <w:p>
            <w:pPr>
              <w:ind w:left="60"/>
              <w:spacing w:after="0"/>
              <w:rPr>
                <w:sz w:val="20"/>
                <w:szCs w:val="20"/>
                <w:color w:val="auto"/>
              </w:rPr>
            </w:pPr>
            <w:r>
              <w:rPr>
                <w:rFonts w:ascii="Arial" w:cs="Arial" w:eastAsia="Arial" w:hAnsi="Arial"/>
                <w:sz w:val="18"/>
                <w:szCs w:val="18"/>
                <w:color w:val="auto"/>
              </w:rPr>
              <w:t>/s/ Michael D. Popielec</w:t>
            </w:r>
          </w:p>
        </w:tc>
      </w:tr>
      <w:tr>
        <w:trPr>
          <w:trHeight w:val="20"/>
        </w:trPr>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1680" w:type="dxa"/>
            <w:vAlign w:val="bottom"/>
            <w:tcBorders>
              <w:left w:val="single" w:sz="8" w:color="auto"/>
            </w:tcBorders>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380" w:type="dxa"/>
            <w:vAlign w:val="bottom"/>
            <w:gridSpan w:val="5"/>
          </w:tcPr>
          <w:p>
            <w:pPr>
              <w:ind w:left="1360"/>
              <w:spacing w:after="0"/>
              <w:rPr>
                <w:sz w:val="20"/>
                <w:szCs w:val="20"/>
                <w:color w:val="auto"/>
              </w:rPr>
            </w:pPr>
            <w:r>
              <w:rPr>
                <w:rFonts w:ascii="Arial" w:cs="Arial" w:eastAsia="Arial" w:hAnsi="Arial"/>
                <w:sz w:val="18"/>
                <w:szCs w:val="18"/>
                <w:color w:val="auto"/>
              </w:rPr>
              <w:t>Michael D. Popielec</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80" w:type="dxa"/>
            <w:vAlign w:val="bottom"/>
            <w:gridSpan w:val="5"/>
          </w:tcPr>
          <w:p>
            <w:pPr>
              <w:ind w:left="136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380" w:type="dxa"/>
            <w:vAlign w:val="bottom"/>
            <w:gridSpan w:val="5"/>
          </w:tcPr>
          <w:p>
            <w:pPr>
              <w:ind w:left="1360"/>
              <w:spacing w:after="0"/>
              <w:rPr>
                <w:sz w:val="20"/>
                <w:szCs w:val="20"/>
                <w:color w:val="auto"/>
              </w:rPr>
            </w:pPr>
            <w:r>
              <w:rPr>
                <w:rFonts w:ascii="Arial" w:cs="Arial" w:eastAsia="Arial" w:hAnsi="Arial"/>
                <w:sz w:val="18"/>
                <w:szCs w:val="18"/>
                <w:color w:val="auto"/>
              </w:rPr>
              <w:t>(Principal Executive Officer)</w:t>
            </w:r>
          </w:p>
        </w:tc>
      </w:tr>
      <w:tr>
        <w:trPr>
          <w:trHeight w:val="392"/>
        </w:trPr>
        <w:tc>
          <w:tcPr>
            <w:tcW w:w="2760" w:type="dxa"/>
            <w:vAlign w:val="bottom"/>
            <w:gridSpan w:val="3"/>
          </w:tcPr>
          <w:p>
            <w:pPr>
              <w:spacing w:after="0"/>
              <w:rPr>
                <w:sz w:val="20"/>
                <w:szCs w:val="20"/>
                <w:color w:val="auto"/>
              </w:rPr>
            </w:pPr>
            <w:r>
              <w:rPr>
                <w:rFonts w:ascii="Arial" w:cs="Arial" w:eastAsia="Arial" w:hAnsi="Arial"/>
                <w:sz w:val="18"/>
                <w:szCs w:val="18"/>
                <w:color w:val="auto"/>
              </w:rPr>
              <w:t>Date: July 30, 2015</w:t>
            </w:r>
          </w:p>
        </w:tc>
        <w:tc>
          <w:tcPr>
            <w:tcW w:w="1700" w:type="dxa"/>
            <w:vAlign w:val="bottom"/>
          </w:tcPr>
          <w:p>
            <w:pPr>
              <w:ind w:left="1360"/>
              <w:spacing w:after="0"/>
              <w:rPr>
                <w:sz w:val="20"/>
                <w:szCs w:val="20"/>
                <w:color w:val="auto"/>
              </w:rPr>
            </w:pPr>
            <w:r>
              <w:rPr>
                <w:rFonts w:ascii="Arial" w:cs="Arial" w:eastAsia="Arial" w:hAnsi="Arial"/>
                <w:sz w:val="18"/>
                <w:szCs w:val="18"/>
                <w:color w:val="auto"/>
              </w:rPr>
              <w:t>By:</w:t>
            </w:r>
          </w:p>
        </w:tc>
        <w:tc>
          <w:tcPr>
            <w:tcW w:w="3680" w:type="dxa"/>
            <w:vAlign w:val="bottom"/>
            <w:gridSpan w:val="4"/>
          </w:tcPr>
          <w:p>
            <w:pPr>
              <w:ind w:left="60"/>
              <w:spacing w:after="0"/>
              <w:rPr>
                <w:sz w:val="20"/>
                <w:szCs w:val="20"/>
                <w:color w:val="auto"/>
              </w:rPr>
            </w:pPr>
            <w:r>
              <w:rPr>
                <w:rFonts w:ascii="Arial" w:cs="Arial" w:eastAsia="Arial" w:hAnsi="Arial"/>
                <w:sz w:val="18"/>
                <w:szCs w:val="18"/>
                <w:color w:val="auto"/>
              </w:rPr>
              <w:t>/s/ Philip A. Fain</w:t>
            </w:r>
          </w:p>
        </w:tc>
      </w:tr>
      <w:tr>
        <w:trPr>
          <w:trHeight w:val="20"/>
        </w:trPr>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380" w:type="dxa"/>
            <w:vAlign w:val="bottom"/>
            <w:gridSpan w:val="5"/>
          </w:tcPr>
          <w:p>
            <w:pPr>
              <w:ind w:left="1360"/>
              <w:spacing w:after="0"/>
              <w:rPr>
                <w:sz w:val="20"/>
                <w:szCs w:val="20"/>
                <w:color w:val="auto"/>
              </w:rPr>
            </w:pPr>
            <w:r>
              <w:rPr>
                <w:rFonts w:ascii="Arial" w:cs="Arial" w:eastAsia="Arial" w:hAnsi="Arial"/>
                <w:sz w:val="18"/>
                <w:szCs w:val="18"/>
                <w:color w:val="auto"/>
              </w:rPr>
              <w:t>Philip A. Fain</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80" w:type="dxa"/>
            <w:vAlign w:val="bottom"/>
            <w:gridSpan w:val="5"/>
          </w:tcPr>
          <w:p>
            <w:pPr>
              <w:ind w:left="136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380" w:type="dxa"/>
            <w:vAlign w:val="bottom"/>
            <w:gridSpan w:val="5"/>
          </w:tcPr>
          <w:p>
            <w:pPr>
              <w:ind w:left="136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380" w:type="dxa"/>
            <w:vAlign w:val="bottom"/>
            <w:gridSpan w:val="5"/>
          </w:tcPr>
          <w:p>
            <w:pPr>
              <w:ind w:left="154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5640"/>
        <w:spacing w:after="0"/>
        <w:tabs>
          <w:tab w:leader="none" w:pos="10140" w:val="left"/>
        </w:tabs>
        <w:rPr>
          <w:rFonts w:ascii="Arial" w:cs="Arial" w:eastAsia="Arial" w:hAnsi="Arial"/>
          <w:sz w:val="18"/>
          <w:szCs w:val="18"/>
          <w:i w:val="1"/>
          <w:iCs w:val="1"/>
          <w:u w:val="single" w:color="auto"/>
          <w:color w:val="0000EE"/>
        </w:rPr>
      </w:pPr>
      <w:r>
        <w:rPr>
          <w:rFonts w:ascii="Arial" w:cs="Arial" w:eastAsia="Arial" w:hAnsi="Arial"/>
          <w:sz w:val="18"/>
          <w:szCs w:val="18"/>
          <w:color w:val="auto"/>
        </w:rPr>
        <w:t>29</w:t>
      </w:r>
      <w:r>
        <w:rPr>
          <w:sz w:val="20"/>
          <w:szCs w:val="20"/>
          <w:color w:val="auto"/>
        </w:rPr>
        <w:tab/>
      </w: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420"/>
          </w:cols>
          <w:pgMar w:left="240" w:top="87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9600" w:type="dxa"/>
            <w:vAlign w:val="bottom"/>
          </w:tcPr>
          <w:p>
            <w:pPr>
              <w:ind w:left="3620"/>
              <w:spacing w:after="0"/>
              <w:rPr>
                <w:sz w:val="20"/>
                <w:szCs w:val="20"/>
                <w:color w:val="auto"/>
              </w:rPr>
            </w:pPr>
            <w:r>
              <w:rPr>
                <w:rFonts w:ascii="Arial" w:cs="Arial" w:eastAsia="Arial" w:hAnsi="Arial"/>
                <w:sz w:val="18"/>
                <w:szCs w:val="18"/>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20"/>
          </w:cols>
          <w:pgMar w:left="900" w:top="881" w:right="57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color w:val="auto"/>
        </w:rPr>
        <w:t>Exhibit 31.1</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Michael D. Popielec, certify that:</w:t>
      </w:r>
    </w:p>
    <w:p>
      <w:pPr>
        <w:spacing w:after="0" w:line="229"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1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19"/>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1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1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1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1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1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560" w:type="dxa"/>
            <w:vAlign w:val="bottom"/>
            <w:gridSpan w:val="2"/>
          </w:tcPr>
          <w:p>
            <w:pPr>
              <w:spacing w:after="0"/>
              <w:rPr>
                <w:sz w:val="20"/>
                <w:szCs w:val="20"/>
                <w:color w:val="auto"/>
              </w:rPr>
            </w:pPr>
            <w:r>
              <w:rPr>
                <w:rFonts w:ascii="Arial" w:cs="Arial" w:eastAsia="Arial" w:hAnsi="Arial"/>
                <w:sz w:val="20"/>
                <w:szCs w:val="20"/>
                <w:color w:val="auto"/>
                <w:w w:val="89"/>
              </w:rPr>
              <w:t>Date: July 30, 2015</w:t>
            </w:r>
          </w:p>
        </w:tc>
        <w:tc>
          <w:tcPr>
            <w:tcW w:w="6220" w:type="dxa"/>
            <w:vAlign w:val="bottom"/>
            <w:gridSpan w:val="3"/>
          </w:tcPr>
          <w:p>
            <w:pPr>
              <w:ind w:left="2560"/>
              <w:spacing w:after="0"/>
              <w:rPr>
                <w:sz w:val="20"/>
                <w:szCs w:val="20"/>
                <w:color w:val="auto"/>
              </w:rPr>
            </w:pPr>
            <w:r>
              <w:rPr>
                <w:rFonts w:ascii="Arial" w:cs="Arial" w:eastAsia="Arial" w:hAnsi="Arial"/>
                <w:sz w:val="20"/>
                <w:szCs w:val="20"/>
                <w:color w:val="auto"/>
              </w:rPr>
              <w:t>By:  /s/ Michael D. Popielec</w:t>
            </w:r>
          </w:p>
        </w:tc>
      </w:tr>
      <w:tr>
        <w:trPr>
          <w:trHeight w:val="233"/>
        </w:trPr>
        <w:tc>
          <w:tcPr>
            <w:tcW w:w="4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270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Michael D. Popielec</w:t>
            </w:r>
          </w:p>
        </w:tc>
        <w:tc>
          <w:tcPr>
            <w:tcW w:w="52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220" w:type="dxa"/>
            <w:vAlign w:val="bottom"/>
            <w:gridSpan w:val="2"/>
          </w:tcPr>
          <w:p>
            <w:pPr>
              <w:ind w:left="200"/>
              <w:spacing w:after="0"/>
              <w:rPr>
                <w:sz w:val="20"/>
                <w:szCs w:val="20"/>
                <w:color w:val="auto"/>
              </w:rPr>
            </w:pPr>
            <w:r>
              <w:rPr>
                <w:rFonts w:ascii="Arial" w:cs="Arial" w:eastAsia="Arial" w:hAnsi="Arial"/>
                <w:sz w:val="20"/>
                <w:szCs w:val="20"/>
                <w:color w:val="auto"/>
                <w:w w:val="90"/>
              </w:rPr>
              <w:t>President and Chief Executive Officer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color w:val="auto"/>
        </w:rPr>
        <w:t>Exhibit 31.2</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Philip A. Fain, certify that:</w:t>
      </w:r>
    </w:p>
    <w:p>
      <w:pPr>
        <w:spacing w:after="0" w:line="229"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20"/>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2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2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2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2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560" w:type="dxa"/>
            <w:vAlign w:val="bottom"/>
            <w:gridSpan w:val="2"/>
          </w:tcPr>
          <w:p>
            <w:pPr>
              <w:spacing w:after="0"/>
              <w:rPr>
                <w:sz w:val="20"/>
                <w:szCs w:val="20"/>
                <w:color w:val="auto"/>
              </w:rPr>
            </w:pPr>
            <w:r>
              <w:rPr>
                <w:rFonts w:ascii="Arial" w:cs="Arial" w:eastAsia="Arial" w:hAnsi="Arial"/>
                <w:sz w:val="20"/>
                <w:szCs w:val="20"/>
                <w:color w:val="auto"/>
                <w:w w:val="89"/>
              </w:rPr>
              <w:t>Date: July 30, 2015</w:t>
            </w:r>
          </w:p>
        </w:tc>
        <w:tc>
          <w:tcPr>
            <w:tcW w:w="6140" w:type="dxa"/>
            <w:vAlign w:val="bottom"/>
            <w:gridSpan w:val="3"/>
          </w:tcPr>
          <w:p>
            <w:pPr>
              <w:ind w:left="2560"/>
              <w:spacing w:after="0"/>
              <w:rPr>
                <w:sz w:val="20"/>
                <w:szCs w:val="20"/>
                <w:color w:val="auto"/>
              </w:rPr>
            </w:pPr>
            <w:r>
              <w:rPr>
                <w:rFonts w:ascii="Arial" w:cs="Arial" w:eastAsia="Arial" w:hAnsi="Arial"/>
                <w:sz w:val="20"/>
                <w:szCs w:val="20"/>
                <w:color w:val="auto"/>
              </w:rPr>
              <w:t>By:  /s/ Philip A. Fain</w:t>
            </w:r>
          </w:p>
        </w:tc>
      </w:tr>
      <w:tr>
        <w:trPr>
          <w:trHeight w:val="233"/>
        </w:trPr>
        <w:tc>
          <w:tcPr>
            <w:tcW w:w="4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234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Philip A. Fain</w:t>
            </w:r>
          </w:p>
        </w:tc>
        <w:tc>
          <w:tcPr>
            <w:tcW w:w="80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140" w:type="dxa"/>
            <w:vAlign w:val="bottom"/>
            <w:gridSpan w:val="2"/>
          </w:tcPr>
          <w:p>
            <w:pPr>
              <w:ind w:left="160"/>
              <w:spacing w:after="0"/>
              <w:rPr>
                <w:sz w:val="20"/>
                <w:szCs w:val="20"/>
                <w:color w:val="auto"/>
              </w:rPr>
            </w:pPr>
            <w:r>
              <w:rPr>
                <w:rFonts w:ascii="Arial" w:cs="Arial" w:eastAsia="Arial" w:hAnsi="Arial"/>
                <w:sz w:val="20"/>
                <w:szCs w:val="20"/>
                <w:color w:val="auto"/>
                <w:w w:val="90"/>
              </w:rPr>
              <w:t>Chief Financial Officer and Treasurer</w:t>
            </w:r>
          </w:p>
        </w:tc>
      </w:tr>
    </w:tbl>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1350 Certification</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June 28, 2015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9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560" w:type="dxa"/>
            <w:vAlign w:val="bottom"/>
            <w:gridSpan w:val="2"/>
          </w:tcPr>
          <w:p>
            <w:pPr>
              <w:spacing w:after="0"/>
              <w:rPr>
                <w:sz w:val="20"/>
                <w:szCs w:val="20"/>
                <w:color w:val="auto"/>
              </w:rPr>
            </w:pPr>
            <w:r>
              <w:rPr>
                <w:rFonts w:ascii="Arial" w:cs="Arial" w:eastAsia="Arial" w:hAnsi="Arial"/>
                <w:sz w:val="20"/>
                <w:szCs w:val="20"/>
                <w:color w:val="auto"/>
                <w:w w:val="89"/>
              </w:rPr>
              <w:t>Date: July 30, 2015</w:t>
            </w:r>
          </w:p>
        </w:tc>
        <w:tc>
          <w:tcPr>
            <w:tcW w:w="2920" w:type="dxa"/>
            <w:vAlign w:val="bottom"/>
          </w:tcPr>
          <w:p>
            <w:pPr>
              <w:ind w:left="2560"/>
              <w:spacing w:after="0"/>
              <w:rPr>
                <w:sz w:val="20"/>
                <w:szCs w:val="20"/>
                <w:color w:val="auto"/>
              </w:rPr>
            </w:pPr>
            <w:r>
              <w:rPr>
                <w:rFonts w:ascii="Arial" w:cs="Arial" w:eastAsia="Arial" w:hAnsi="Arial"/>
                <w:sz w:val="20"/>
                <w:szCs w:val="20"/>
                <w:color w:val="auto"/>
              </w:rPr>
              <w:t>By:</w:t>
            </w:r>
          </w:p>
        </w:tc>
        <w:tc>
          <w:tcPr>
            <w:tcW w:w="2660" w:type="dxa"/>
            <w:vAlign w:val="bottom"/>
            <w:gridSpan w:val="3"/>
          </w:tcPr>
          <w:p>
            <w:pPr>
              <w:ind w:left="80"/>
              <w:spacing w:after="0"/>
              <w:rPr>
                <w:sz w:val="20"/>
                <w:szCs w:val="20"/>
                <w:color w:val="auto"/>
              </w:rPr>
            </w:pPr>
            <w:r>
              <w:rPr>
                <w:rFonts w:ascii="Arial" w:cs="Arial" w:eastAsia="Arial" w:hAnsi="Arial"/>
                <w:sz w:val="20"/>
                <w:szCs w:val="20"/>
                <w:color w:val="auto"/>
              </w:rPr>
              <w:t>/s/ Michael D. Popielec</w:t>
            </w:r>
          </w:p>
        </w:tc>
      </w:tr>
      <w:tr>
        <w:trPr>
          <w:trHeight w:val="20"/>
        </w:trPr>
        <w:tc>
          <w:tcPr>
            <w:tcW w:w="480" w:type="dxa"/>
            <w:vAlign w:val="bottom"/>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r>
        <w:trPr>
          <w:trHeight w:val="213"/>
        </w:trPr>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80" w:type="dxa"/>
            <w:vAlign w:val="bottom"/>
            <w:gridSpan w:val="4"/>
          </w:tcPr>
          <w:p>
            <w:pPr>
              <w:ind w:left="2560"/>
              <w:spacing w:after="0" w:line="213" w:lineRule="exact"/>
              <w:rPr>
                <w:sz w:val="20"/>
                <w:szCs w:val="20"/>
                <w:color w:val="auto"/>
              </w:rPr>
            </w:pPr>
            <w:r>
              <w:rPr>
                <w:rFonts w:ascii="Arial" w:cs="Arial" w:eastAsia="Arial" w:hAnsi="Arial"/>
                <w:sz w:val="20"/>
                <w:szCs w:val="20"/>
                <w:color w:val="auto"/>
              </w:rPr>
              <w:t>Michael D. Popielec</w:t>
            </w:r>
          </w:p>
        </w:tc>
      </w:tr>
      <w:tr>
        <w:trPr>
          <w:trHeight w:val="250"/>
        </w:trPr>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580" w:type="dxa"/>
            <w:vAlign w:val="bottom"/>
            <w:gridSpan w:val="4"/>
          </w:tcPr>
          <w:p>
            <w:pPr>
              <w:ind w:left="2560"/>
              <w:spacing w:after="0"/>
              <w:rPr>
                <w:sz w:val="20"/>
                <w:szCs w:val="20"/>
                <w:color w:val="auto"/>
              </w:rPr>
            </w:pPr>
            <w:r>
              <w:rPr>
                <w:rFonts w:ascii="Arial" w:cs="Arial" w:eastAsia="Arial" w:hAnsi="Arial"/>
                <w:sz w:val="20"/>
                <w:szCs w:val="20"/>
                <w:color w:val="auto"/>
                <w:w w:val="90"/>
              </w:rPr>
              <w:t>President and Chief Executive Officer</w:t>
            </w:r>
          </w:p>
        </w:tc>
      </w:tr>
      <w:tr>
        <w:trPr>
          <w:trHeight w:val="415"/>
        </w:trPr>
        <w:tc>
          <w:tcPr>
            <w:tcW w:w="1560" w:type="dxa"/>
            <w:vAlign w:val="bottom"/>
            <w:gridSpan w:val="2"/>
          </w:tcPr>
          <w:p>
            <w:pPr>
              <w:spacing w:after="0"/>
              <w:rPr>
                <w:sz w:val="20"/>
                <w:szCs w:val="20"/>
                <w:color w:val="auto"/>
              </w:rPr>
            </w:pPr>
            <w:r>
              <w:rPr>
                <w:rFonts w:ascii="Arial" w:cs="Arial" w:eastAsia="Arial" w:hAnsi="Arial"/>
                <w:sz w:val="20"/>
                <w:szCs w:val="20"/>
                <w:color w:val="auto"/>
                <w:w w:val="89"/>
              </w:rPr>
              <w:t>Date: July 30, 2015</w:t>
            </w:r>
          </w:p>
        </w:tc>
        <w:tc>
          <w:tcPr>
            <w:tcW w:w="2920" w:type="dxa"/>
            <w:vAlign w:val="bottom"/>
          </w:tcPr>
          <w:p>
            <w:pPr>
              <w:ind w:left="2560"/>
              <w:spacing w:after="0"/>
              <w:rPr>
                <w:sz w:val="20"/>
                <w:szCs w:val="20"/>
                <w:color w:val="auto"/>
              </w:rPr>
            </w:pPr>
            <w:r>
              <w:rPr>
                <w:rFonts w:ascii="Arial" w:cs="Arial" w:eastAsia="Arial" w:hAnsi="Arial"/>
                <w:sz w:val="20"/>
                <w:szCs w:val="20"/>
                <w:color w:val="auto"/>
              </w:rPr>
              <w:t>By:</w:t>
            </w:r>
          </w:p>
        </w:tc>
        <w:tc>
          <w:tcPr>
            <w:tcW w:w="2660" w:type="dxa"/>
            <w:vAlign w:val="bottom"/>
            <w:gridSpan w:val="3"/>
          </w:tcPr>
          <w:p>
            <w:pPr>
              <w:ind w:left="80"/>
              <w:spacing w:after="0"/>
              <w:rPr>
                <w:sz w:val="20"/>
                <w:szCs w:val="20"/>
                <w:color w:val="auto"/>
              </w:rPr>
            </w:pPr>
            <w:r>
              <w:rPr>
                <w:rFonts w:ascii="Arial" w:cs="Arial" w:eastAsia="Arial" w:hAnsi="Arial"/>
                <w:sz w:val="20"/>
                <w:szCs w:val="20"/>
                <w:color w:val="auto"/>
              </w:rPr>
              <w:t>/s/ Philip A. Fain</w:t>
            </w:r>
          </w:p>
        </w:tc>
      </w:tr>
      <w:tr>
        <w:trPr>
          <w:trHeight w:val="20"/>
        </w:trPr>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3"/>
        </w:trPr>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80" w:type="dxa"/>
            <w:vAlign w:val="bottom"/>
            <w:gridSpan w:val="4"/>
          </w:tcPr>
          <w:p>
            <w:pPr>
              <w:ind w:left="2560"/>
              <w:spacing w:after="0"/>
              <w:rPr>
                <w:sz w:val="20"/>
                <w:szCs w:val="20"/>
                <w:color w:val="auto"/>
              </w:rPr>
            </w:pPr>
            <w:r>
              <w:rPr>
                <w:rFonts w:ascii="Arial" w:cs="Arial" w:eastAsia="Arial" w:hAnsi="Arial"/>
                <w:sz w:val="20"/>
                <w:szCs w:val="20"/>
                <w:color w:val="auto"/>
              </w:rPr>
              <w:t>Philip A. Fain</w:t>
            </w:r>
          </w:p>
        </w:tc>
      </w:tr>
      <w:tr>
        <w:trPr>
          <w:trHeight w:val="250"/>
        </w:trPr>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580" w:type="dxa"/>
            <w:vAlign w:val="bottom"/>
            <w:gridSpan w:val="4"/>
          </w:tcPr>
          <w:p>
            <w:pPr>
              <w:ind w:left="2560"/>
              <w:spacing w:after="0"/>
              <w:rPr>
                <w:sz w:val="20"/>
                <w:szCs w:val="20"/>
                <w:color w:val="auto"/>
              </w:rPr>
            </w:pPr>
            <w:r>
              <w:rPr>
                <w:rFonts w:ascii="Arial" w:cs="Arial" w:eastAsia="Arial" w:hAnsi="Arial"/>
                <w:sz w:val="20"/>
                <w:szCs w:val="20"/>
                <w:color w:val="auto"/>
                <w:w w:val="91"/>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1"/>
    </w:lvl>
  </w:abstractNum>
  <w:abstractNum w:abstractNumId="12">
    <w:nsid w:val="4E6AFB66"/>
    <w:multiLevelType w:val="hybridMultilevel"/>
    <w:lvl w:ilvl="0">
      <w:lvlJc w:val="left"/>
      <w:lvlText w:val="%1."/>
      <w:numFmt w:val="decimal"/>
      <w:start w:val="12"/>
    </w:lvl>
  </w:abstractNum>
  <w:abstractNum w:abstractNumId="13">
    <w:nsid w:val="25E45D32"/>
    <w:multiLevelType w:val="hybridMultilevel"/>
    <w:lvl w:ilvl="0">
      <w:lvlJc w:val="left"/>
      <w:lvlText w:val="%1."/>
      <w:numFmt w:val="decimal"/>
      <w:start w:val="13"/>
    </w:lvl>
  </w:abstractNum>
  <w:abstractNum w:abstractNumId="14">
    <w:nsid w:val="519B500D"/>
    <w:multiLevelType w:val="hybridMultilevel"/>
    <w:lvl w:ilvl="0">
      <w:lvlJc w:val="left"/>
      <w:lvlText w:val="%1."/>
      <w:numFmt w:val="decimal"/>
      <w:start w:val="14"/>
    </w:lvl>
  </w:abstractNum>
  <w:abstractNum w:abstractNumId="15">
    <w:nsid w:val="431BD7B7"/>
    <w:multiLevelType w:val="hybridMultilevel"/>
    <w:lvl w:ilvl="0">
      <w:lvlJc w:val="left"/>
      <w:lvlText w:val="%1."/>
      <w:numFmt w:val="decimal"/>
      <w:start w:val="15"/>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2019-12-29T16:40:33Z</dcterms:created>
  <dcterms:modified xsi:type="dcterms:W3CDTF">2019-12-29T16:40:33Z</dcterms:modified>
</cp:coreProperties>
</file>