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WHITMORE BRADFORD 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5215 OLD ORCHARD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970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SKOKIE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60077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ULTRALIFE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ULBI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11"/>
        <w:gridCol w:w="912"/>
        <w:gridCol w:w="783"/>
        <w:gridCol w:w="605"/>
        <w:gridCol w:w="335"/>
        <w:gridCol w:w="995"/>
        <w:gridCol w:w="411"/>
        <w:gridCol w:w="887"/>
        <w:gridCol w:w="1232"/>
        <w:gridCol w:w="950"/>
        <w:gridCol w:w="118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1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9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1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03/12/2026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33,741</w:t>
            </w:r>
          </w:p>
        </w:tc>
        <w:tc>
          <w:tcPr>
            <w:tcW w:w="4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5.9663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2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1,787,988</w:t>
            </w:r>
          </w:p>
        </w:tc>
        <w:tc>
          <w:tcPr>
            <w:tcW w:w="9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Whitmore Holdings, LLC</w:t>
            </w:r>
          </w:p>
        </w:tc>
      </w:tr>
      <w:tr>
        <w:trPr/>
        <w:tc>
          <w:tcPr>
            <w:tcW w:w="19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03/13/2026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100,640</w:t>
            </w:r>
          </w:p>
        </w:tc>
        <w:tc>
          <w:tcPr>
            <w:tcW w:w="4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6.3244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2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1,888,628</w:t>
            </w:r>
          </w:p>
        </w:tc>
        <w:tc>
          <w:tcPr>
            <w:tcW w:w="9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Whitmore Holdings, LLC</w:t>
            </w:r>
          </w:p>
        </w:tc>
      </w:tr>
      <w:tr>
        <w:trPr/>
        <w:tc>
          <w:tcPr>
            <w:tcW w:w="19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03/16/2026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53,131</w:t>
            </w:r>
          </w:p>
        </w:tc>
        <w:tc>
          <w:tcPr>
            <w:tcW w:w="4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6.759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12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1,941,759</w:t>
            </w:r>
          </w:p>
        </w:tc>
        <w:tc>
          <w:tcPr>
            <w:tcW w:w="9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Whitmore Holdings, LLC</w:t>
            </w:r>
          </w:p>
        </w:tc>
      </w:tr>
      <w:tr>
        <w:trPr/>
        <w:tc>
          <w:tcPr>
            <w:tcW w:w="19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205,915</w:t>
            </w:r>
          </w:p>
        </w:tc>
        <w:tc>
          <w:tcPr>
            <w:tcW w:w="9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1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4,452,283</w:t>
            </w:r>
          </w:p>
        </w:tc>
        <w:tc>
          <w:tcPr>
            <w:tcW w:w="9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SUNRAY I, LLC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reported is a weighted average price. These shares were purchased in multiple transactions at prices ranging from $5.8209 to $6.0799. The reporting person undertakes to provide, upon request by the staff of the SEC, the issuer, or a security holder of the issuer, full information regarding the number of shares transacted at each price, with respect to all transactions reported on this Form 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As manager of Whitmore Holdings, LLC (and trustee of Bradford Whitmore Trust, the sole member of Whitmore Holdings, LLC), Bradford T. Whitmore is the indirect beneficial owner of these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price reported is a weighted average price. These shares were purchased in multiple transactions at prices ranging from $6.03 to $6.5635. The reporting person undertakes to provide, upon request by the staff of the SEC, the issuer, or a security holder of the issuer, full information regarding the number of shares transacted at each price, with respect to all transactions reported on this Form 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price reported is a weighted average price. These shares were purchased in multiple transactions at prices ranging from $6.34 to $7.0405. The reporting person undertakes to provide, upon request by the staff of the SEC, the issuer, or a security holder of the issuer, full information regarding the number of shares transacted at each price, with respect to all transactions reported on this Form 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As manager of SUNRAY I, LLC, Bradford T. Whitmore is an indirect beneficial owner of 4,452,283 shares of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Bradford T. Whitmore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0933430" TargetMode="External"/><Relationship Id="rId5" Type="http://schemas.openxmlformats.org/officeDocument/2006/relationships/hyperlink" Target="http://www.sec.gov/cgi-bin/browse-edgar?action=getcompany&amp;CIK=00008756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852</Words>
  <Characters>4544</Characters>
  <CharactersWithSpaces>5312</CharactersWithSpaces>
  <Paragraphs>126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