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-106680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3340" w:right="1900" w:hanging="3332"/>
        <w:spacing w:after="0" w:line="493" w:lineRule="auto"/>
        <w:tabs>
          <w:tab w:leader="none" w:pos="65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0-20852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-652780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ULTRALIFE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08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4620" w:type="dxa"/>
            <w:vAlign w:val="bottom"/>
          </w:tcPr>
          <w:p>
            <w:pPr>
              <w:jc w:val="center"/>
              <w:ind w:left="670"/>
              <w:spacing w:after="0"/>
              <w:rPr>
                <w:sz w:val="20"/>
                <w:szCs w:val="20"/>
                <w:color w:val="auto"/>
              </w:rPr>
            </w:pPr>
            <w:r>
              <w:rPr>
                <w:rFonts w:ascii="Arial" w:cs="Arial" w:eastAsia="Arial" w:hAnsi="Arial"/>
                <w:sz w:val="18"/>
                <w:szCs w:val="18"/>
                <w:b w:val="1"/>
                <w:bCs w:val="1"/>
                <w:color w:val="auto"/>
                <w:w w:val="89"/>
              </w:rPr>
              <w:t>16-1387013</w:t>
            </w:r>
          </w:p>
        </w:tc>
      </w:tr>
      <w:tr>
        <w:trPr>
          <w:trHeight w:val="230"/>
        </w:trPr>
        <w:tc>
          <w:tcPr>
            <w:tcW w:w="5080" w:type="dxa"/>
            <w:vAlign w:val="bottom"/>
          </w:tcPr>
          <w:p>
            <w:pPr>
              <w:jc w:val="center"/>
              <w:ind w:right="690"/>
              <w:spacing w:after="0"/>
              <w:rPr>
                <w:sz w:val="20"/>
                <w:szCs w:val="20"/>
                <w:color w:val="auto"/>
              </w:rPr>
            </w:pPr>
            <w:r>
              <w:rPr>
                <w:rFonts w:ascii="Arial" w:cs="Arial" w:eastAsia="Arial" w:hAnsi="Arial"/>
                <w:sz w:val="18"/>
                <w:szCs w:val="18"/>
                <w:color w:val="auto"/>
                <w:w w:val="92"/>
              </w:rPr>
              <w:t>(State or other jurisdiction of incorporation of organization)</w:t>
            </w:r>
          </w:p>
        </w:tc>
        <w:tc>
          <w:tcPr>
            <w:tcW w:w="4620" w:type="dxa"/>
            <w:vAlign w:val="bottom"/>
          </w:tcPr>
          <w:p>
            <w:pPr>
              <w:jc w:val="center"/>
              <w:ind w:left="6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08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2000 Technology Parkway Newark, New York 14513</w:t>
            </w:r>
          </w:p>
        </w:tc>
        <w:tc>
          <w:tcPr>
            <w:tcW w:w="462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(315) 332-7100</w:t>
            </w:r>
          </w:p>
        </w:tc>
      </w:tr>
      <w:tr>
        <w:trPr>
          <w:trHeight w:val="230"/>
        </w:trPr>
        <w:tc>
          <w:tcPr>
            <w:tcW w:w="5080" w:type="dxa"/>
            <w:vAlign w:val="bottom"/>
          </w:tcPr>
          <w:p>
            <w:pPr>
              <w:jc w:val="center"/>
              <w:ind w:right="690"/>
              <w:spacing w:after="0"/>
              <w:rPr>
                <w:sz w:val="20"/>
                <w:szCs w:val="20"/>
                <w:color w:val="auto"/>
              </w:rPr>
            </w:pPr>
            <w:r>
              <w:rPr>
                <w:rFonts w:ascii="Arial" w:cs="Arial" w:eastAsia="Arial" w:hAnsi="Arial"/>
                <w:sz w:val="18"/>
                <w:szCs w:val="18"/>
                <w:color w:val="auto"/>
                <w:w w:val="92"/>
              </w:rPr>
              <w:t>(Address of principal executive offices) (Zip Code)</w:t>
            </w:r>
          </w:p>
        </w:tc>
        <w:tc>
          <w:tcPr>
            <w:tcW w:w="4620" w:type="dxa"/>
            <w:vAlign w:val="bottom"/>
          </w:tcPr>
          <w:p>
            <w:pPr>
              <w:jc w:val="center"/>
              <w:ind w:left="690"/>
              <w:spacing w:after="0"/>
              <w:rPr>
                <w:sz w:val="20"/>
                <w:szCs w:val="20"/>
                <w:color w:val="auto"/>
              </w:rPr>
            </w:pPr>
            <w:r>
              <w:rPr>
                <w:rFonts w:ascii="Arial" w:cs="Arial" w:eastAsia="Arial" w:hAnsi="Arial"/>
                <w:sz w:val="18"/>
                <w:szCs w:val="18"/>
                <w:color w:val="auto"/>
                <w:w w:val="89"/>
              </w:rPr>
              <w:t>(Registrant's telephone number, including area code:)</w:t>
            </w:r>
          </w:p>
        </w:tc>
      </w:tr>
    </w:tbl>
    <w:p>
      <w:pPr>
        <w:spacing w:after="0" w:line="202"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Common Stock, $0.10 par value per</w:t>
      </w:r>
    </w:p>
    <w:p>
      <w:pPr>
        <w:sectPr>
          <w:pgSz w:w="11900" w:h="16838" w:orient="portrait"/>
          <w:cols w:equalWidth="0" w:num="1">
            <w:col w:w="11240"/>
          </w:cols>
          <w:pgMar w:left="320" w:top="904" w:right="339" w:bottom="1440" w:gutter="0" w:footer="0" w:header="0"/>
        </w:sectPr>
      </w:pP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share</w:t>
      </w:r>
    </w:p>
    <w:p>
      <w:pPr>
        <w:spacing w:after="0" w:line="9"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ULBI</w:t>
      </w:r>
    </w:p>
    <w:p>
      <w:pPr>
        <w:spacing w:after="0" w:line="9"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NASDAQ</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(Name of each exchange on which</w:t>
      </w:r>
    </w:p>
    <w:p>
      <w:pPr>
        <w:spacing w:after="0" w:line="32"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registered)</w:t>
      </w:r>
    </w:p>
    <w:p>
      <w:pPr>
        <w:spacing w:after="0" w:line="200" w:lineRule="exact"/>
        <w:rPr>
          <w:sz w:val="24"/>
          <w:szCs w:val="24"/>
          <w:color w:val="auto"/>
        </w:rPr>
      </w:pPr>
    </w:p>
    <w:p>
      <w:pPr>
        <w:sectPr>
          <w:pgSz w:w="11900" w:h="16838" w:orient="portrait"/>
          <w:cols w:equalWidth="0" w:num="3">
            <w:col w:w="4260" w:space="720"/>
            <w:col w:w="2000" w:space="720"/>
            <w:col w:w="3540"/>
          </w:cols>
          <w:pgMar w:left="320" w:top="904"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6228715</wp:posOffset>
            </wp:positionH>
            <wp:positionV relativeFrom="paragraph">
              <wp:posOffset>-86360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6005195</wp:posOffset>
            </wp:positionH>
            <wp:positionV relativeFrom="paragraph">
              <wp:posOffset>-86360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1786890</wp:posOffset>
            </wp:positionH>
            <wp:positionV relativeFrom="paragraph">
              <wp:posOffset>-133350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-133350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84" w:right="339" w:bottom="0" w:gutter="0" w:footer="0" w:header="0"/>
        </w:sectPr>
      </w:pPr>
    </w:p>
    <w:p>
      <w:pPr>
        <w:spacing w:after="0" w:line="15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-86360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1292860</wp:posOffset>
            </wp:positionH>
            <wp:positionV relativeFrom="paragraph">
              <wp:posOffset>-102235</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4560" w:space="720"/>
            <w:col w:w="5960"/>
          </w:cols>
          <w:pgMar w:left="320" w:top="584" w:right="339" w:bottom="0" w:gutter="0" w:footer="0" w:header="0"/>
          <w:type w:val="continuous"/>
        </w:sectPr>
      </w:pPr>
    </w:p>
    <w:p>
      <w:pPr>
        <w:spacing w:after="0" w:line="32"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-133350</wp:posOffset>
            </wp:positionV>
            <wp:extent cx="86995" cy="88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5728335</wp:posOffset>
            </wp:positionH>
            <wp:positionV relativeFrom="paragraph">
              <wp:posOffset>-86360</wp:posOffset>
            </wp:positionV>
            <wp:extent cx="86995" cy="88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2020, the aggregate market value of the common stock held by non-affiliates as defined in Rule 405 under the Securities Act of 1933) of the registrant was approximately $68,675,435 (in whole dollars) based upon the closing price for such common stock as reported on the NASDAQ Global Market on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February 1, 2021, the registrant had 15,959,984 shares of common stock outstanding.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portions of the registrant’s definitive proxy statement relating to the Annual Meeting of Shareholders are specifically incorporated by reference in Part III, Items 10, 11, 12, 13 and 14 of this Annual Report on Form 10-K, except for the equity plan information required by Item 12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720" w:type="dxa"/>
            <w:vAlign w:val="bottom"/>
          </w:tcPr>
          <w:p>
            <w:pPr>
              <w:ind w:left="328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r>
      <w:tr>
        <w:trPr>
          <w:trHeight w:val="648"/>
        </w:trPr>
        <w:tc>
          <w:tcPr>
            <w:tcW w:w="900" w:type="dxa"/>
            <w:vAlign w:val="bottom"/>
          </w:tcPr>
          <w:p>
            <w:pPr>
              <w:spacing w:after="0"/>
              <w:rPr>
                <w:sz w:val="24"/>
                <w:szCs w:val="24"/>
                <w:color w:val="auto"/>
              </w:rPr>
            </w:pPr>
          </w:p>
        </w:tc>
        <w:tc>
          <w:tcPr>
            <w:tcW w:w="9200" w:type="dxa"/>
            <w:vAlign w:val="bottom"/>
            <w:gridSpan w:val="2"/>
          </w:tcPr>
          <w:p>
            <w:pPr>
              <w:ind w:left="240"/>
              <w:spacing w:after="0"/>
              <w:rPr>
                <w:sz w:val="20"/>
                <w:szCs w:val="20"/>
                <w:color w:val="auto"/>
              </w:rPr>
            </w:pPr>
            <w:r>
              <w:rPr>
                <w:rFonts w:ascii="Arial" w:cs="Arial" w:eastAsia="Arial" w:hAnsi="Arial"/>
                <w:sz w:val="18"/>
                <w:szCs w:val="18"/>
                <w:color w:val="auto"/>
              </w:rPr>
              <w:t>ITEM</w:t>
            </w:r>
          </w:p>
        </w:tc>
        <w:tc>
          <w:tcPr>
            <w:tcW w:w="1140" w:type="dxa"/>
            <w:vAlign w:val="bottom"/>
          </w:tcPr>
          <w:p>
            <w:pPr>
              <w:ind w:left="580"/>
              <w:spacing w:after="0"/>
              <w:rPr>
                <w:sz w:val="20"/>
                <w:szCs w:val="20"/>
                <w:color w:val="auto"/>
              </w:rPr>
            </w:pPr>
            <w:r>
              <w:rPr>
                <w:rFonts w:ascii="Arial" w:cs="Arial" w:eastAsia="Arial" w:hAnsi="Arial"/>
                <w:sz w:val="18"/>
                <w:szCs w:val="18"/>
                <w:color w:val="auto"/>
              </w:rPr>
              <w:t>PAGE</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Business</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w:t>
            </w:r>
          </w:p>
        </w:tc>
      </w:tr>
      <w:tr>
        <w:trPr>
          <w:trHeight w:val="216"/>
        </w:trPr>
        <w:tc>
          <w:tcPr>
            <w:tcW w:w="90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1A Risk Factors</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16</w:t>
            </w:r>
          </w:p>
        </w:tc>
      </w:tr>
      <w:tr>
        <w:trPr>
          <w:trHeight w:val="216"/>
        </w:trPr>
        <w:tc>
          <w:tcPr>
            <w:tcW w:w="90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1B Unresolved Staff Comments</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24</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Properties</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24</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Proceedings</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25</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Mine Safety Disclosures</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25</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Market for Registrant’s Common Equity, Related Stockholder Matters and Issuer Purchases of Equity Securities</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26</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Selected Financial Data</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26</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27</w:t>
            </w:r>
          </w:p>
        </w:tc>
      </w:tr>
      <w:tr>
        <w:trPr>
          <w:trHeight w:val="216"/>
        </w:trPr>
        <w:tc>
          <w:tcPr>
            <w:tcW w:w="90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7A Quantitative and Qualitative Disclosures About Market Risk</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39</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Statements and Supplementary Data</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40</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69</w:t>
            </w:r>
          </w:p>
        </w:tc>
      </w:tr>
      <w:tr>
        <w:trPr>
          <w:trHeight w:val="216"/>
        </w:trPr>
        <w:tc>
          <w:tcPr>
            <w:tcW w:w="90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9A Controls and Procedures</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69</w:t>
            </w:r>
          </w:p>
        </w:tc>
      </w:tr>
      <w:tr>
        <w:trPr>
          <w:trHeight w:val="216"/>
        </w:trPr>
        <w:tc>
          <w:tcPr>
            <w:tcW w:w="90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9B Other Information</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69</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Directors, Executive Officers and Corporate Governance</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70</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11</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Executive Compensation</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584"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w:t>
            </w:r>
          </w:p>
        </w:tc>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70</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13</w:t>
            </w:r>
          </w:p>
        </w:tc>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70</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14</w:t>
            </w:r>
          </w:p>
        </w:tc>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Principal Accountant Fees and Services</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70</w:t>
            </w:r>
          </w:p>
        </w:tc>
      </w:tr>
      <w:tr>
        <w:trPr>
          <w:trHeight w:val="216"/>
        </w:trPr>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15</w:t>
            </w:r>
          </w:p>
        </w:tc>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Exhibits, Financial Statement Schedules</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71</w:t>
            </w:r>
          </w:p>
        </w:tc>
      </w:tr>
      <w:tr>
        <w:trPr>
          <w:trHeight w:val="216"/>
        </w:trPr>
        <w:tc>
          <w:tcPr>
            <w:tcW w:w="900" w:type="dxa"/>
            <w:vAlign w:val="bottom"/>
          </w:tcPr>
          <w:p>
            <w:pPr>
              <w:spacing w:after="0"/>
              <w:rPr>
                <w:sz w:val="18"/>
                <w:szCs w:val="18"/>
                <w:color w:val="auto"/>
              </w:rPr>
            </w:pPr>
          </w:p>
        </w:tc>
        <w:tc>
          <w:tcPr>
            <w:tcW w:w="88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Signatures</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73</w:t>
            </w:r>
          </w:p>
        </w:tc>
      </w:tr>
      <w:tr>
        <w:trPr>
          <w:trHeight w:val="216"/>
        </w:trPr>
        <w:tc>
          <w:tcPr>
            <w:tcW w:w="900" w:type="dxa"/>
            <w:vAlign w:val="bottom"/>
          </w:tcPr>
          <w:p>
            <w:pPr>
              <w:spacing w:after="0"/>
              <w:rPr>
                <w:sz w:val="18"/>
                <w:szCs w:val="18"/>
                <w:color w:val="auto"/>
              </w:rPr>
            </w:pPr>
          </w:p>
        </w:tc>
        <w:tc>
          <w:tcPr>
            <w:tcW w:w="88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Index to Exhibits</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74</w:t>
            </w:r>
          </w:p>
        </w:tc>
      </w:tr>
      <w:tr>
        <w:trPr>
          <w:trHeight w:val="574"/>
        </w:trPr>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the impact of COVID-19 on our business, operating results and financial condition; our reliance on certain key customers; the unique risks associated with our China operations; fluctuations in the price of oil and the resulting impact on the level of downhole drilling; possible breaches in information systems security and other disruptions; our efforts to develop new commercial applications for our products; reduced U.S. and foreign military spending including the uncertainty associated with government budget approvals; possible future declines in demand for the products that use our batteries or communications systems; potential disruptions in our supply of raw materials and components; our resources being overwhelmed by our growth prospects; our ability to retain top management and key personnel; potential costs because of the warranties we supply with our products and services; safety risks, including the risk of fire; our entrance into new end-markets which could lead to additional financial exposure; variability in our quarterly and annual results and the price of our common stock; our inability to comply with changes to the regulations for the shipment of our products; our customers’ demand falling short of volume expectations in our supply agreements; our ability to utilize our net operating loss carryforwards; negative publicity of Lithium-ion batteries; our exposure to foreign currency fluctuations; possible impairments of our goodwill and other intangible assets;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known and unknown environmental matters; possible audits of our contracts by the U.S. and foreign governments and their respective defense agencies; our ability to comply with government regulations regarding the use of “conflict minerals”; technological innovations in the non-rechargeable and rechargeable battery industries; and other risks and uncertainties, certain of which are beyond our control.</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 When used in this report, the words “anticipate”, “believe”, “estimate”, “plan”, “intend”, “foresee”, “may”, “could”, “will”, “likely” or “expect” or words of similar import are intended to identify some, but not all of, such forward-looking statements. For further discussion of certain of the matters described above and other risks and uncertainties, see “Risk Factors” in Item 1A of this Form 10-K Annual Report.</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in this Form 10-K Annual Report, unless otherwise indicated, the terms the “Company”, “we”, “our” and “us” refer to Ultralife Corporation (“Ultralife”) and includes our wholly-owned subsidiaries, ABLE New Energy Co., Limited and its wholly-owned subsidiary ABLE New Energy Co., Ltd; Ultralife UK LTD and its wholly-owned subsidiary, Accutronics Ltd; Ultralife Batteries (UK) Ltd.; Southwest Electronic Energy Corporation and its wholly-owned subsidiary, CLB, INC.; and our majority-owned joint venture Ultralife Batteries India Private Limited.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throughout this Form 10-K Annual Report are presented in thousands of dollars, except for per share amounts.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686" w:gutter="0" w:footer="0" w:header="0"/>
        </w:sectPr>
      </w:pPr>
    </w:p>
    <w:bookmarkStart w:id="3" w:name="page4"/>
    <w:bookmarkEnd w:id="3"/>
    <w:p>
      <w:pPr>
        <w:jc w:val="both"/>
        <w:spacing w:after="0" w:line="218" w:lineRule="auto"/>
        <w:rPr>
          <w:sz w:val="20"/>
          <w:szCs w:val="20"/>
          <w:color w:val="auto"/>
        </w:rPr>
      </w:pPr>
      <w:r>
        <w:rPr>
          <w:rFonts w:ascii="Arial" w:cs="Arial" w:eastAsia="Arial" w:hAnsi="Arial"/>
          <w:sz w:val="16"/>
          <w:szCs w:val="16"/>
          <w:color w:val="auto"/>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Batteries, Lithium Power</w:t>
      </w:r>
      <w:r>
        <w:rPr>
          <w:rFonts w:ascii="Arial" w:cs="Arial" w:eastAsia="Arial" w:hAnsi="Arial"/>
          <w:sz w:val="26"/>
          <w:szCs w:val="26"/>
          <w:color w:val="auto"/>
          <w:vertAlign w:val="superscript"/>
        </w:rPr>
        <w:t>®</w:t>
      </w:r>
      <w:r>
        <w:rPr>
          <w:rFonts w:ascii="Arial" w:cs="Arial" w:eastAsia="Arial" w:hAnsi="Arial"/>
          <w:sz w:val="16"/>
          <w:szCs w:val="16"/>
          <w:color w:val="auto"/>
        </w:rPr>
        <w:t>, McDowell Research</w:t>
      </w:r>
      <w:r>
        <w:rPr>
          <w:rFonts w:ascii="Arial" w:cs="Arial" w:eastAsia="Arial" w:hAnsi="Arial"/>
          <w:sz w:val="26"/>
          <w:szCs w:val="26"/>
          <w:color w:val="auto"/>
          <w:vertAlign w:val="superscript"/>
        </w:rPr>
        <w:t>®</w:t>
      </w:r>
      <w:r>
        <w:rPr>
          <w:rFonts w:ascii="Arial" w:cs="Arial" w:eastAsia="Arial" w:hAnsi="Arial"/>
          <w:sz w:val="16"/>
          <w:szCs w:val="16"/>
          <w:color w:val="auto"/>
        </w:rPr>
        <w:t>, AMTI</w:t>
      </w:r>
      <w:r>
        <w:rPr>
          <w:rFonts w:ascii="Arial" w:cs="Arial" w:eastAsia="Arial" w:hAnsi="Arial"/>
          <w:sz w:val="26"/>
          <w:szCs w:val="26"/>
          <w:color w:val="auto"/>
          <w:vertAlign w:val="superscript"/>
        </w:rPr>
        <w:t>TM</w:t>
      </w:r>
      <w:r>
        <w:rPr>
          <w:rFonts w:ascii="Arial" w:cs="Arial" w:eastAsia="Arial" w:hAnsi="Arial"/>
          <w:sz w:val="16"/>
          <w:szCs w:val="16"/>
          <w:color w:val="auto"/>
        </w:rPr>
        <w:t>, ABLE</w:t>
      </w:r>
      <w:r>
        <w:rPr>
          <w:rFonts w:ascii="Arial" w:cs="Arial" w:eastAsia="Arial" w:hAnsi="Arial"/>
          <w:sz w:val="26"/>
          <w:szCs w:val="26"/>
          <w:color w:val="auto"/>
          <w:vertAlign w:val="superscript"/>
        </w:rPr>
        <w:t>TM</w:t>
      </w:r>
      <w:r>
        <w:rPr>
          <w:rFonts w:ascii="Arial" w:cs="Arial" w:eastAsia="Arial" w:hAnsi="Arial"/>
          <w:sz w:val="16"/>
          <w:szCs w:val="16"/>
          <w:color w:val="auto"/>
        </w:rPr>
        <w:t>, ACCUTRONICS™, ACCUPRO™, ENTELLION™, SWE Southwest Electronic Energy Group™, SWE DRILL-DATA™, and SWE SEASAFE™ brands. We have sales, operations and product development facilities in North America, Europe and Asia.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manufacture and/or market a family of Lithium Manganese Dioxide (Li-MnO2), Lithium Manganese Dioxide Carbon Monofluoride (Li-CFx/MnO2) hybrid and Lithium Thionyl Chloride (Li-SOCl2) non-rechargeable batteries including 9-volt, HiRate® cylindrical, ThinCell®, and other form factors. Applications for our 9-volt batteries include: smoke alarms, wireless security systems and intensive care monitors, among many other devices. Our HiRate® and ThinCell® Lithium non-rechargeable batteries are sold primarily to the military and to OEMs in industrial markets for use in a variety of applications including radios, emergency radio beacons, search and rescue transponders, pipeline inspection gauges, portable medical devices and other specialty instruments and applications. Military applications for our non-rechargeable HiRate® batteries include: manpack and survival radios, night vision devices, targeting devices, chemical agent monitors and thermal imaging equipment. Our Lithium Thionyl Chloride batteries, sold under our ABLE and Ultralife brands as well as a private label brand, are used in a variety of applications including utility meters, wireless security devices, electronic meters, automotive electronics and geothermal devices. We believe that the chemistry of Lithium batteries provides significant advantages over other currently available non-rechargeable battery technologies. These advantages include: higher energy density,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output during discharge. While the price of our Lithium batteries is generally higher than alkaline batteries, the increased energy per unit of weight and volume of our Lithium batteries allow for longer operating times and less frequent battery replacements for our targeted applications.</w:t>
      </w:r>
    </w:p>
    <w:p>
      <w:pPr>
        <w:spacing w:after="0" w:line="17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believe that our ability to design and produce lightweight, high-energy Lithium-ion and Nickel Metal Hydride (NiMH) rechargeable batteries and charging systems in a variety of custom sizes, shapes, and thicknesses offers substantial benefits to our customers. We market Lithium-ion and NiMH rechargeable batteries comprising cells manufactured by qualified cell manufacturers. Our rechargeable products can be used in a wide variety of applications including communications, medical and other portable electronic devices.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this segment, we also seek to fund the development of new products that we hope will advance our technologies through contracts with both government agencies and private sector third parties.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be awarded development contracts with public and private customers resulting in intellectual property that we believe will enhance our efforts to commercialize new products that we develop. Revenues in this segment that pertain to product development may vary widely each year, depending upon the quantity and size of contracts awarded.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this segment for the year ended December 31, 2020 were $91,907 and segment contribution (gross profit) was $23,400.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our McDowell Research and AMTI brands, we design and manufacture a line of communications systems and accessories to support military communications requirements. These systems include RF amplifiers, power supplies, power cables, connector assemblies, amplified speakers, equipment mounts, case equipment, man-portable systems and integrated communication systems for fixed or vehicle applications such as vehicle amplifier-adaptors (“VAA”) for multiple programs. These programs include Vehicle Installed Power Enhanced Rifleman Appliqué (“VIPER”) systems, U.S. Army Leader Radio Program, U.S. Army’s Security Force Assistance Brigades (“SFABs”) and SATCOM systems. All systems are packaged to meet specific customer needs in rugged enclosures to allow for their use in extreme environments. We market these products to all branches of the U.S. military and foreign defense organizations that we are permitted to sell our products to, as well as U.S. and international prime defense contractors.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this segment for the year ended December 31, 2020 were $15,805 and segment contribution (gross profit) was $5,759.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revenues and cost of sales for the above operating segments. The balance of income and expense, including but not limited to research and development expenses, and selling, general and administrative expenses, are reported as Corporate operating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had no revenues for the year ended December 31, 2020 and our Corporate operating expenses for the year ended December 31, 2020 were $23,458.</w:t>
      </w:r>
    </w:p>
    <w:p>
      <w:pPr>
        <w:sectPr>
          <w:pgSz w:w="11900" w:h="16838" w:orient="portrait"/>
          <w:cols w:equalWidth="0" w:num="1">
            <w:col w:w="11240"/>
          </w:cols>
          <w:pgMar w:left="320" w:top="125" w:right="339" w:bottom="64"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See Management’s Discussion and Analysis of Financial Condition and Results of Operations and the 2020 Consolidated Financial Statements and Notes thereto contained in this Form 10-K Annual Report for additional information on the expenses referred to above. For information relating to total assets by segment, revenues for the last two years by segment, and contribution by segment for the last two years, see Note 11 in the notes to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Ultralife was formed as a Delaware corporation in December 1990. In March 1991, we acquired certain technology and assets from Eastman Kodak Company (“Kodak”) relating to its 9-volt Lithium Manganese Dioxide non-rechargeable battery. In December 1992, we completed our initial public offering and became listed on NASDAQ.</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2006, we acquired ABLE New Energy Co., Ltd. (“ABLE”), an established manufacturer of Lithium batteries located in Shenzhen, China, which broadened our product offering, including a wide range of Lithium Thionyl Chloride and Lithium Manganese batteries, and provided additional exposure to new consumer markets.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2006, we finalized the acquisition of substantially all the assets of McDowell Research, Ltd. (“McDowell”), a manufacturer of military communications accessories. This acquisition expanded our product distribution channels into the military communications area and strengthened our presence in global defense markets. During the second half of 2007, the operations of the Waco, Texas facility were relocated to our Newark, New York facility. In January 2012, we relocated these operations to our Virginia Beach, Virginia facility in order to gain operational efficiencies.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2008, we formed a joint venture, named Ultralife Batteries India Private Limited (“India JV”), with our distributor partner in India. The India JV assembles Ultralife power solution products and manages local sales and marketing activities, serving commercial, government and defense customers throughout India. We have invested cash into the India JV, as consideration for our 51% ownership stake in the India JV.</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2009, we acquired the tactical communications products business of Science Applications International Corporation. The tactical communications products business (“AMTI”) designs, develops and manufactures tactical communications products including: amplifiers, man-portable systems, cables, power solutions and ancillary communications equipment, which are sold by Ultralife under the brand name AMTI. The acquisition strengthened our communications systems business and provided us with direct entry into the handheld radio/amplifier market, complementing Ultralife’s communications systems offerings.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With a portfolio encompassing custom battery design, development and manufacturing for OEM’s; standard smart batteries, chargers and accessories; and pre-engineered batteries and power solutions for specific applications, Accutronics primarily serves the portable medical device market throughout Europe. Medical applications include digital imaging, ventilators, anesthesia, endoscopy, patient monitoring, cardiopulmonary care, oxygen concentration and aspiration. We acquired Accutronics to advance our strategy of commercial revenue diversification, to expand our geographical penetration, and to achieve revenue growth from new product development. We are continuing to experience sales synergies between Accutronics and our existing commercial battery business as we cross-sell our existing products and the acquired Accutronics’ products to our respective customer bases.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1, 2019, we acquired Southwest Electronic Energy Corporation, a Texas corporation (“SWE”), and a leading designer and manufacturer of high-performance smart battery systems and battery packs to customer specifications using lithium cells. SWE serves a variety of industrial markets, including oil and gas, remote monitoring, process control and marine, which demand uncompromised safety, service, reliability and quality. We acquired SWE as a bolt-on acquisition to further support our strategy of commercial revenue diversification by providing entry to the oil and gas exploration and production, and subsea electrification markets, which were previously unserved by Ultralife. Another key benefit of our acquisition of SWE includes obtaining a highly valuable technical team of battery pack and charger system engineers and technicians to add to our new product development-based revenue growth initiatives in our commercial end-markets particularly asset tracking, smart metering and other industrial applications.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non-rechargeable battery is used until discharged and then replaced. The principal competing non-rechargeable battery technologies are Carbon Zinc, Alkaline and Lithium. We manufacture a range of non-rechargeable battery products based on Lithium Manganese Dioxide, Lithium Manganese Dioxide Carbon Monofluoride hybrid, and Lithium Thionyl Chloride technologies.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Non-Rechargeable Batteries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the chemistry of Lithium batteries provides significant advantages over currently available non-rechargeable battery technologies, which include: lighter weight, longer operating time, longer shelf life, and a wider operating temperature range. Our non-rechargeable batteries also have relatively flat voltage profiles, which provide more stable power. Conventional non-rechargeable batteries, such as Alkaline batteries, have sloping voltage profiles that result in decreasing power during discharge. While the prices for our Lithium batteries are generally higher than commercially available Alkaline batteries produced by others, we believe that the increased energy per unit of weight and volume of our batteries will allow longer operating time and less frequent battery replacements for our targeted applications. As a result, we believe that our non-rechargeable batteries are priced competitively with other battery technologies on a price per unit of energy or volume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non-rechargeable products include the following product configurations: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9-Volt Lithium Battery. </w:t>
      </w:r>
      <w:r>
        <w:rPr>
          <w:rFonts w:ascii="Arial" w:cs="Arial" w:eastAsia="Arial" w:hAnsi="Arial"/>
          <w:sz w:val="16"/>
          <w:szCs w:val="16"/>
          <w:color w:val="auto"/>
        </w:rPr>
        <w:t>Our 9-volt Lithium battery delivers a unique combination of the highest available energy density and stable voltage, which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in a longer operating life for the battery and, accordingly, fewer battery replacements. While our 9-volt battery price is generally higher than conventional 9-volt Carbon Zinc and Alkaline batteries, we believe the enhanced operating performance and decreased costs associated with longer battery life make our 9-volt battery more cost effective than conventional batteries on a cost per unit of energy or volume basis when used in a variety of applications.</w:t>
      </w:r>
    </w:p>
    <w:p>
      <w:pPr>
        <w:sectPr>
          <w:pgSz w:w="11900" w:h="16838" w:orient="portrait"/>
          <w:cols w:equalWidth="0" w:num="1">
            <w:col w:w="11240"/>
          </w:cols>
          <w:pgMar w:left="320" w:top="125" w:right="339" w:bottom="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We market our 9-volt Lithium batteries to OEM, distributor and retail markets including industrial electronics, safety and security, and medical. Typical applications include: smoke alarms, wireless alarm systems, bone growth stimulators, telemetry devices, blood analyzers, ambulatory infusion pumps and parking meters. A significant portion of the sales of our 9-volt battery is to major smoke alarm OEMs for use in their long-life smoke alarms. We also manufacture our 9-volt Lithium battery under private labels for a variety of companies. Additionally, we sell our 9-volt battery to the broader consumer market through national and regional retail chains and online retailers.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current 9-volt battery manufacturing capacity is adequate to meet forecasted customer demand over the next three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Cylindrical Batteries. </w:t>
      </w:r>
      <w:r>
        <w:rPr>
          <w:rFonts w:ascii="Arial" w:cs="Arial" w:eastAsia="Arial" w:hAnsi="Arial"/>
          <w:sz w:val="17"/>
          <w:szCs w:val="17"/>
          <w:color w:val="auto"/>
        </w:rPr>
        <w:t>Featuring high energy, wide temperature range, long shelf life and operating life, our cylindrical cells and batteries, based on Lithium</w:t>
      </w:r>
      <w:r>
        <w:rPr>
          <w:rFonts w:ascii="Arial" w:cs="Arial" w:eastAsia="Arial" w:hAnsi="Arial"/>
          <w:sz w:val="17"/>
          <w:szCs w:val="17"/>
          <w:i w:val="1"/>
          <w:iCs w:val="1"/>
          <w:color w:val="auto"/>
        </w:rPr>
        <w:t xml:space="preserve"> </w:t>
      </w:r>
      <w:r>
        <w:rPr>
          <w:rFonts w:ascii="Arial" w:cs="Arial" w:eastAsia="Arial" w:hAnsi="Arial"/>
          <w:sz w:val="17"/>
          <w:szCs w:val="17"/>
          <w:color w:val="auto"/>
        </w:rPr>
        <w:t>Manganese Dioxide, Lithium Manganese Dioxide Carbon Monofluoride hybrid and Lithium Thionyl Chloride technologies, represent some of the most advanced Lithium power sources currently available. We market a wide range of cylindrical non-rechargeable Lithium cells and batteries in various sizes under both the Ultralife HiRate and ABLE brands. These include: D, C, 5/4 C, 1/2 AA, 2/3 A, CR123A and other sizes, which are sold individually as well as packaged into multi-cell battery packs, including our leading BA-5390 military battery, an alternative to the competing Li-SO2 BA-5590 battery, and one of the most widely used battery types in the U.S. armed forces for portable applications. Our BA-5390 battery provides 50% to 100% more energy (mission time) than the BA-5590, and it is used in approximately 60 military applications. With the introduction of our Lithium Carbon Monofluoride hybrid chemistry, we now offer a D-cell that has 100% more energy than the competing Li-SO2 D-cell.</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market our line of Lithium cells and batteries to the OEM market for commercial, defense, medical, asset tracking and search and rescue applications, among others. Significant commercial applications include oil and gas, pipeline inspection equipment, automatic re-closers and oceanographic and subsea devices. Asset tracking applications include Radio Frequency Identification (“RFID”) systems. Among the defense uses are manpack radios, night vision goggles, chemical agent monitors and thermal imaging equipment. Medical applications include: Automated External Defibrillators (“AEDs”), infusion pumps and telemetry systems. Search and rescue applications include Emergency Locator Transmitters (“ELTs”) for aircraft and Emergency Position Indicating Radio Beacons (“EPIRBs”) for ships. Oil and gas applications include battery packs for downhole drilling applications such as Measurement While Drilling (“MWD”) and Logging While Drilling (“LWD”) and pipeline inspection.</w:t>
      </w:r>
    </w:p>
    <w:p>
      <w:pPr>
        <w:spacing w:after="0" w:line="17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i w:val="1"/>
          <w:iCs w:val="1"/>
          <w:color w:val="auto"/>
        </w:rPr>
        <w:t xml:space="preserve">Thin Cell Batteries. </w:t>
      </w:r>
      <w:r>
        <w:rPr>
          <w:rFonts w:ascii="Arial" w:cs="Arial" w:eastAsia="Arial" w:hAnsi="Arial"/>
          <w:sz w:val="18"/>
          <w:szCs w:val="18"/>
          <w:color w:val="auto"/>
        </w:rPr>
        <w:t>We manufacture a range of thin Lithium Manganese Dioxide batteries under the Thin Cell</w:t>
      </w:r>
      <w:r>
        <w:rPr>
          <w:rFonts w:ascii="Arial" w:cs="Arial" w:eastAsia="Arial" w:hAnsi="Arial"/>
          <w:sz w:val="29"/>
          <w:szCs w:val="29"/>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brand. Thin Cell batteries are flat,</w:t>
      </w:r>
      <w:r>
        <w:rPr>
          <w:rFonts w:ascii="Arial" w:cs="Arial" w:eastAsia="Arial" w:hAnsi="Arial"/>
          <w:sz w:val="18"/>
          <w:szCs w:val="18"/>
          <w:i w:val="1"/>
          <w:iCs w:val="1"/>
          <w:color w:val="auto"/>
        </w:rPr>
        <w:t xml:space="preserve"> </w:t>
      </w:r>
      <w:r>
        <w:rPr>
          <w:rFonts w:ascii="Arial" w:cs="Arial" w:eastAsia="Arial" w:hAnsi="Arial"/>
          <w:sz w:val="18"/>
          <w:szCs w:val="18"/>
          <w:color w:val="auto"/>
        </w:rPr>
        <w:t>lightweight batteries providing a unique combination of high energy, long shelf life, wide operating temperature range and very low profile. We are currently marketing these batteries to OEMs for applications such as displays, wearable medical devices, toll passes, theft detection systems, and RFID devices.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Rechargeable Batteries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contrast to non-rechargeable batteries, after a rechargeable battery is discharged, it can be recharged and reused many times. Generally, discharge and recharge cycles can be repeated hundreds or thousands of times in rechargeable batteries depending on the technology of the battery. The achievable number of cycles (cycle life) varies among technologies and is an important competitive factor. All rechargeable batteries experience a small, but measurable, loss in energy capacity with each cycle. The industry commonly reports cycle life in the number of cycles a battery can achieve until 80% of the battery’s initial energy capacity remains. In the rechargeable battery market, the principal competing technologies are Nickel Cadmium, Nickel Metal Hydride and Lithium-ion (including Lithium polymer) batteries. Rechargeable batteries are used in many applications, such as military radios, laptop computers, mobile telephones, portable medical devices, wearable devices and many other commercial, defense and consumer products.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Three important performance characteristics of a rechargeable battery are design flexibility, energy density and cycle life. Design flexibility refers to the ability of rechargeable batteries to be designed to fit a variety of shapes and sizes of battery compartments. Thin profile batteries with prismatic geometry provide the design flexibility to fit the battery compartments of today's electronic devices. Energy density refers to the total amount of electrical energy stored in a battery divided by the battery’s weight and volume as measured in watt-hours per kilogram and watt-hours per liter, respectively. High energy density batteries generally are longer lasting power sources providing longer operating time and necessitating fewer battery recharges. High energy density and long achievable cycle life are important characteristics for comparing rechargeable battery technologies. Greater energy density will permit the use of batteries of a given weight or volume for a longer time period. Accordingly, greater energy density will enable the use of smaller and lighter batteries with energy comparable to those currently marketed. Lithium-ion batteries, by the nature of their electrochemical properties, are capable of providing higher energy density than comparably sized batteries that utilize other chemistries and, therefore, tend to consume less volume and weight for a given energy content. Long achievable cycle life, particularly in combination with high energy density, is suitable for applications requiring frequent battery recharges, such as cellular telephones and laptop computers, and allows the user to charge and recharge many times before noticing a difference in performance. We believe that our Lithium-ion batteries generally have some of the highest energy density and longest cycle life available.</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Lithium-ion Cells and Batteries. </w:t>
      </w:r>
      <w:r>
        <w:rPr>
          <w:rFonts w:ascii="Arial" w:cs="Arial" w:eastAsia="Arial" w:hAnsi="Arial"/>
          <w:sz w:val="17"/>
          <w:szCs w:val="17"/>
          <w:color w:val="auto"/>
        </w:rPr>
        <w:t>We market a variety of Lithium-ion cells and rechargeable batteries comprising cells manufactured by qualified cell</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These products are used in a wide variety of applications including communications, medical and other portable electronic devices.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Battery Charging Systems and Accessories. </w:t>
      </w:r>
      <w:r>
        <w:rPr>
          <w:rFonts w:ascii="Arial" w:cs="Arial" w:eastAsia="Arial" w:hAnsi="Arial"/>
          <w:sz w:val="17"/>
          <w:szCs w:val="17"/>
          <w:color w:val="auto"/>
        </w:rPr>
        <w:t>To provide our customers with complete power system solutions, we offer a wide range of rugged military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battery charging systems and accessories including smart chargers, multi-bay charging systems and a variety of cables.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Multi-Kilowatt Module. </w:t>
      </w:r>
      <w:r>
        <w:rPr>
          <w:rFonts w:ascii="Arial" w:cs="Arial" w:eastAsia="Arial" w:hAnsi="Arial"/>
          <w:sz w:val="17"/>
          <w:szCs w:val="17"/>
          <w:color w:val="auto"/>
        </w:rPr>
        <w:t>Our Multi-Kilowatt Module Lithium-ion battery system is a large format battery utilizable for energy storage, battery back-up, and</w:t>
      </w:r>
      <w:r>
        <w:rPr>
          <w:rFonts w:ascii="Arial" w:cs="Arial" w:eastAsia="Arial" w:hAnsi="Arial"/>
          <w:sz w:val="17"/>
          <w:szCs w:val="17"/>
          <w:i w:val="1"/>
          <w:iCs w:val="1"/>
          <w:color w:val="auto"/>
        </w:rPr>
        <w:t xml:space="preserve"> </w:t>
      </w:r>
      <w:r>
        <w:rPr>
          <w:rFonts w:ascii="Arial" w:cs="Arial" w:eastAsia="Arial" w:hAnsi="Arial"/>
          <w:sz w:val="17"/>
          <w:szCs w:val="17"/>
          <w:color w:val="auto"/>
        </w:rPr>
        <w:t>remote power applications. This product is a direct replacement of 1.25 kWh and larger capacity lead acid batteries in 24V or 48V applications. It can be connected in multiples to obtain higher-voltages and is capable of over 3,000 cycles while maintaining 80% of its capacity.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Technology Contracts. </w:t>
      </w:r>
      <w:r>
        <w:rPr>
          <w:rFonts w:ascii="Arial" w:cs="Arial" w:eastAsia="Arial" w:hAnsi="Arial"/>
          <w:sz w:val="18"/>
          <w:szCs w:val="18"/>
          <w:color w:val="auto"/>
        </w:rPr>
        <w:t>Our technology contract activities involve the development of new products or the enhancement of existing products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both government agencies and other private sector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ectPr>
          <w:pgSz w:w="11900" w:h="16838" w:orient="portrait"/>
          <w:cols w:equalWidth="0" w:num="1">
            <w:col w:w="11240"/>
          </w:cols>
          <w:pgMar w:left="320" w:top="125" w:right="339" w:bottom="0" w:gutter="0" w:footer="0" w:header="0"/>
        </w:sectPr>
      </w:pPr>
    </w:p>
    <w:bookmarkStart w:id="6" w:name="page7"/>
    <w:bookmarkEnd w:id="6"/>
    <w:p>
      <w:pPr>
        <w:spacing w:after="0" w:line="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amplifier-adaptors and SATCOM systems. We package all systems to meet specific customer needs in rugged enclosures to allow their use in extreme environments.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offer a wide range of military communications systems and accessories designed to enhance and extend the operation of communications equipment such as vehicle-mounted, manpack and handheld transceivers. Our communications products include the following product configurations: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RF Amplifiers. </w:t>
      </w:r>
      <w:r>
        <w:rPr>
          <w:rFonts w:ascii="Arial" w:cs="Arial" w:eastAsia="Arial" w:hAnsi="Arial"/>
          <w:sz w:val="18"/>
          <w:szCs w:val="18"/>
          <w:color w:val="auto"/>
        </w:rPr>
        <w:t>Our RF amplifiers include: 20, 50 and 75-watt amplifiers and 20-watt accessories and kits. These amplifiers are used to extend the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manpack and handheld tactical transceivers and can be used on mobile or fixed site applications.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Integrated Systems. </w:t>
      </w:r>
      <w:r>
        <w:rPr>
          <w:rFonts w:ascii="Arial" w:cs="Arial" w:eastAsia="Arial" w:hAnsi="Arial"/>
          <w:sz w:val="17"/>
          <w:szCs w:val="17"/>
          <w:color w:val="auto"/>
        </w:rPr>
        <w:t>Our integrated systems include: vehicle mounted systems; SATCOM systems; rugged, deployable case systems; multiband transceiver</w:t>
      </w:r>
      <w:r>
        <w:rPr>
          <w:rFonts w:ascii="Arial" w:cs="Arial" w:eastAsia="Arial" w:hAnsi="Arial"/>
          <w:sz w:val="17"/>
          <w:szCs w:val="17"/>
          <w:i w:val="1"/>
          <w:iCs w:val="1"/>
          <w:color w:val="auto"/>
        </w:rPr>
        <w:t xml:space="preserve"> </w:t>
      </w:r>
      <w:r>
        <w:rPr>
          <w:rFonts w:ascii="Arial" w:cs="Arial" w:eastAsia="Arial" w:hAnsi="Arial"/>
          <w:sz w:val="17"/>
          <w:szCs w:val="17"/>
          <w:color w:val="auto"/>
        </w:rPr>
        <w:t>kits; enroute communications cases; and radio cases. These systems give communications operators everything that is needed to provide reliable links to support Command, Control, Communications, Computers and Information, Surveillance and Reconnaissance (“C4ISR”).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Power Systems. </w:t>
      </w:r>
      <w:r>
        <w:rPr>
          <w:rFonts w:ascii="Arial" w:cs="Arial" w:eastAsia="Arial" w:hAnsi="Arial"/>
          <w:sz w:val="18"/>
          <w:szCs w:val="18"/>
          <w:color w:val="auto"/>
        </w:rPr>
        <w:t>Our power systems include: universal AC/DC power supplies with battery backup for tactical manpack and handheld transceivers;</w:t>
      </w:r>
      <w:r>
        <w:rPr>
          <w:rFonts w:ascii="Arial" w:cs="Arial" w:eastAsia="Arial" w:hAnsi="Arial"/>
          <w:sz w:val="18"/>
          <w:szCs w:val="18"/>
          <w:i w:val="1"/>
          <w:iCs w:val="1"/>
          <w:color w:val="auto"/>
        </w:rPr>
        <w:t xml:space="preserve"> </w:t>
      </w:r>
      <w:r>
        <w:rPr>
          <w:rFonts w:ascii="Arial" w:cs="Arial" w:eastAsia="Arial" w:hAnsi="Arial"/>
          <w:sz w:val="18"/>
          <w:szCs w:val="18"/>
          <w:color w:val="auto"/>
        </w:rPr>
        <w:t>ROVER™ power supplies; interoperable power adaptors and chargers; portable power systems and AC to DC power supplies, among many others. We can provide power supplies for virtually all tactical communications devices.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Communications and Electronics. </w:t>
      </w:r>
      <w:r>
        <w:rPr>
          <w:rFonts w:ascii="Arial" w:cs="Arial" w:eastAsia="Arial" w:hAnsi="Arial"/>
          <w:sz w:val="18"/>
          <w:szCs w:val="18"/>
          <w:color w:val="auto"/>
        </w:rPr>
        <w:t>Our communications and electronics services include the design, integration, and fielding of portable, mobile and fixed-site communications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employ a staff of sales and marketing personnel in North America, Europe and Asia. We sell our products and services directly to commercial customers, including OEMs, as well as government and defense agencies in the U.S. and abroad and have contractual arrangements with sales agents who market our products on a commission basis in defined territories. Every effort is made to adjust future prices when and if possible, but the ability to adjust prices is generally based on market conditions.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distribute some of our products through domestic and international distributors and retailers. These sales are generated primarily from customer purchase orders. We have several long-term contracts with the U.S. government and other customers. These contracts do not commit the customers to specific purchase volumes, nor to specific timing of purchase order releases, and they include fixed price agreements over various periods of time. In general, we do not believe our sales are seasonal, although we may sometimes experience seasonality for some of our military products based on the timing of government fiscal budget expenditures.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significant portion of our business comes from sales of products and services to U.S. and foreign governments through various contracts. These contracts are subject to procurement laws and regulations that specify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applicable procurement laws or regulations can result in civil, criminal or administrative proceedings involving fines, penalties, suspension of payments, or suspension or debarment from government contracting or subcontracting for a period of time. Even if a contract is awarded there is no guarantee that the government will order product under the contract.</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two major customers, both large defense primary contractors, which comprised 17% and 6% of our total revenues in 2020, and 12% and 14% of our total revenues in 2019, respectively. There were no other customers that comprised greater than 10% of our total revenues during these years.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2020, sales to U.S. and non-U.S. customers were approximately $62,255 and $45,457, respectively. In 2019, sales to U.S. and non-U.S. customers were approximately $63,375 and $43,420,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target sales of our non-rechargeable products to manufacturers of security and safety equipment, medical devices, search and rescue equipment, specialty instruments, oil and gas downhole drilling and pipe inspection equipment, point of sale equipment and metering applications, as well as users of military equipment. Our strategy is to develop sales and marketing alliances with OEMs and governmental agencies that utilize our batteries in their products, commit to cooperative research and development or marketing programs, and recommend our products for design-in or replacement use in their products. We are addressing these markets through direct contact by our sales and technical personnel, use of sales agents and stocking distributors, manufacturing under private label, and promotional activities.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seek to capture a significant market share for our products within our targeted OEM markets, which we believe, if successful, will result in increased product awareness and sales at the end-user or consumer level. We are also selling our 9-volt battery to the consumer market through retail distribution channels. Most military procurements are done directly by the specific government organizations requiring products, based on a competitive bidding process. Additionally, we are typically required to successfully meet contractual specifications and to pass various qualifications testing for the products under contract by the military. Our inability to pass these tests for our new products in a timely fashion could have a material adverse effect on future growth prospects. When a government contract is awarded, there is a government procedure that permits unsuccessful companies to formally protest the award if they believe they were unjustly treated in the government’s bid evaluation process. A prolonged delay in the resolution of a protest, or a reversal of an award resulting from such a protest, could have a material adverse effect on our business, financial condition and results of operations.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market our products to defense organizations in the U.S. and other countries, which has resulted in awards of significant contracts. In March 2017, we were awarded a production contract by the U. S. Government’s Defense Logistics Agency for up to five years, with a maximum total potential revenue of $21,400, to provide updated BA-5390 non-rechargeable Lithium Manganese Dioxide batteries to the U.S. military. While production deliveries are expected to begin in 2021, we continue to receive orders for our legacy BA-5390 batteries from the Defense Logistics Agency. In October 2017, we were awarded a production contract by the Defense Logistics Agency for five years, with a maximum potential revenue of $49,800, to provide our hybrid lithium manganese dioxide/carbon monofluoride (CFx) non-rechargeable BA-5790 and BA-5795 batteries. Manufacturing and production deliveries under</w:t>
      </w:r>
    </w:p>
    <w:p>
      <w:pPr>
        <w:sectPr>
          <w:pgSz w:w="11900" w:h="16847" w:orient="portrait"/>
          <w:cols w:equalWidth="0" w:num="1">
            <w:col w:w="11240"/>
          </w:cols>
          <w:pgMar w:left="320" w:top="125" w:right="339" w:bottom="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this award are expected to begin in 2021. In January 2018, we received a $3,348 contract from the Defense Logistics Agency to ship our legacy BA-5390 batteries within one hundred ninety days of the contract date. In September 2019, we were awarded a production contract from the Defense Logistics Agency for up to five years, with a maximum value of $14,422, to provide our BA-5368 batteries. In December 2019, we received a $4,869 contract from the Defense Logistics Agency for our legacy BA-5390 batteries which were shipped in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target sales of our Lithium-ion rechargeable batteries and charging systems to OEM customers, as well as distributors and resellers focused on our target markets. We respond to Requests for Proposals (“RFPs”) to design products for OEMs, and believe that our design capabilities, product characteristics and solution integration will cause OEMs to incorporate our batteries into their product offerings, resulting in revenue growth opportunities for us.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expand our marketing activities as part of our strategic plan, a comprehensive forward-looking document which sets forth our strategic growth plans, tactical actions and financial projections over a rolling three-year period, to increase sales of our rechargeable products for commercial, standby, defense and communications applications, as well as hand-held devices, wearable devices and other electronic portable equipment. A key part of this expansion includes increasing our design and assembly capabilities as well as building our international network of distributors and value-added distributors.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December 31, 2020 and 2019, our backlog related to Battery &amp; Energy Products was approximately $34,600 and $35,700, respectively. The 3% year-over-year decrease in our Battery &amp; Energy Products backlog at December 31, 2020 primarily resulted from the December 2019 legacy BA-5390 delivery contract received from the Defense Logistics Agency and the completion of shipping under that contract in 2020. The 2020 year-end backlog is related to orders that are expected to ship throughout 2021 and does not include future shipments under the indefinite delivery/indefinite quantity Defense Logistic Awards for our BA-5390 batteries ($21,400) and BA-5790/BA-5795 batteries ($49,800).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target sales of our communications systems, which include power solutions and accessories to support communications systems such as RF amplifiers, power supplies, power cables, connector assemblies, amplified speakers, equipment mounts, case equipment and integrated communication systems, to military OEMs and U.S. and allied foreign militaries. We sell our products directly and through authorized distributors to OEMs and to defense contractors and U.S. and foreign militaries. We market our products to defense organizations and OEMs in the U.S. and internationally.</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December 31, 2020 and 2019, our backlog related to Communications Systems orders was approximately $4,700 and $6,800, respectively. The 31% decrease in our Communications Systems backlog at December 31, 2020 is primarily a result of the completion of shipments in 2020 under two October 2018 contract awards totaling $19,200 to supply our Vehicle Amplifier-Adaptors (“VAA”) and Mounted Power Amplifiers to a large global defense contractor to support the U.S. Army’s Network Modernization initiatives, Leader Radio Program and other opportunities that were included in our 2019 backlog. The 2020 year-end backlog is related to orders that are expected to ship throughout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 Secrets and Trademarks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use our patented and unpatented proprietary information, know-how and trade secrets to maintain and develop our competitive position. Despite our efforts to protect our proprietary information, there can be no assurance that others will neither develop the same or similar information independently nor unlawfully obtain access to our proprietary information, know-how and trade secrets. In addition, there can be no assurance that we would prevail if we asserted our intellectual property rights against third parties, or that third parties will not successfully assert infringement claims against us in the future. We believe, however, that our success depends more on the knowledge, ability, experience and technological expertise of our employees, than on the legal protection that our patents and other proprietary rights may or will afford.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hold thirty-six patents issued in the U.S., four patents issued in South Korea, three patents issued in Canada, three patents issued in the European Union member states, three patents issued in the European Union, two patents issued in the United Kingdom, one patent issued in Australia, one patent issued in China, one patent issued in Hong Kong, one patent issued in India, one patent issued in Japan, one patent issued in Taiwan, and one patent issued for WIPO. We believe our patents protect technology that makes automated production more cost-effective and protects important competitive features of our products. However, we do not consider our business to be dependent on patent protection.</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employment commencement process, our employees are required to enter into agreements providing for confidentiality of certain information and the assignment of rights to inventions made by them while employed by us. These agreements also contain certain noncompetition and non-solicitation provisions which are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 Nevertheless, the enforceability of such agreements is subject to public policy limitations that vary from state to state and country by country so we cannot assure that they will be enforceable in accordance with their terms, if at all.</w:t>
      </w:r>
    </w:p>
    <w:p>
      <w:pPr>
        <w:spacing w:after="0" w:line="195"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Trademarks are an important aspect of our business. We sell our products under a number of trademarks, which we own. The following are registered trademarks of ours: Ultralife®, Ultralife Thin Cell®, Ultralife HiRate®, Ultralife &amp; design®, Ultra®, LithiumPower®, LithiumPower &amp; Design®, SmartCircuit®, Smart Circuit®, Smart Circuit &amp; design®, We Are Power®, AMTI®, ABLE™, ACCUTRONICS®, ACCUPRO®, ENTELLION®, Intelligent Power Vault®, McDowell Research®, RPS®, SWE Southwest Electronic Energy Group®, SWE DRILL-DATA®, and SWE SEASAFE®.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manufacture our products from raw materials and component parts that we purchase. Our manufacturing facilities in Newark, New York are ISO 9001 and ISO 13485 certified. Our manufacturing facilities in Shenzhen, China are ISO 9001, ISO 1401 and ISO 13485 certified. Our manufacturing facility in</w:t>
      </w:r>
    </w:p>
    <w:p>
      <w:pPr>
        <w:sectPr>
          <w:pgSz w:w="11900" w:h="16838" w:orient="portrait"/>
          <w:cols w:equalWidth="0" w:num="1">
            <w:col w:w="11240"/>
          </w:cols>
          <w:pgMar w:left="320" w:top="125" w:right="339" w:bottom="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Missouri City, Texas is ISO 9001 certified. Our manufacturing facilities in Virginia Beach, Virginia are ISO 9001 certified. Our manufacturing facilities in the United Kingdom are ISO 9001 and ISO 13485 certified.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our future raw material purchases to fluctuate based on global demand for our products, our knowledge regarding the timing of customer orders, the related need to build inventory in anticipation of orders and actual shipment 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Newark, New York and Shenzhen, China facilities have the capacity to produce cylindrical cells, 9-volt batteries, and thin cells. Capacity, however, is also affected by demand for particular products, and product mix changes can produce bottlenecks in an individual operation, constraining overall capacity. We have acquired new machinery and equipment in areas where production bottlenecks have occurred in the past and we believe that we have sufficient capacity in these areas. We continually evaluate our requirements for additional capital equipment, and we believe that planned increases will be adequate to meet foreseeable customer demand.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materials used in our products, other than rechargeable batteries, are available only from a single source or a limited number of sources. Additionally, we may elect to develop relationships with a single or limited number of sources for materials that are otherwise generally available. Although we believe that alternative sources are available to supply materials that could replace materials we use and that, if necessary, we would be able to redesign our products to make use of an alternative material, any interruption in our supply from any supplier that serves currently as our sole source could delay product shipments and adversely affect our financial performance and relationships with our customers. Although we have experienced interruptions of product deliveries by sole source suppliers, which have not had a material adverse effect on us, we cannot assure that they will not have an adverse effect on us in the future.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 raw materials and components utilized for our rechargeable batteries are readily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Newark, New York facility has the capacity to produce significant volumes of rechargeable batteries. This operation generally assembles battery packs and chargers and is limited only by physical space and is not constrained by manufacturing equipment capacity which can accommodate significant additional volumes of product. Similarly, our China and United Kingdom facilities also have capacity to produce significant quantities of primary (non-rechargeable) and rechargeable batteries beyond current volumes and are not constrained by manufacturing equipment capacity. Our Missouri City, Texas facility has the capacity to produce significant quantities of primary battery packs and is not constrained by manufacturing equipment capacity.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carrying value of our Battery &amp; Energy Products inventory, including raw materials, work in process and finished goods, amounted to approximately $20,714 and $19,990 as of December 31, 2020 and 2019, respectively. The year-over-year 4% increase primarily reflects an increase in materials, including rechargeable cells, required to fulfill the backlog for our batteries used in medical devices. Management continuously monitors inventory levels in an effort to optimize such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w:t>
      </w:r>
      <w:r>
        <w:rPr>
          <w:rFonts w:ascii="Arial" w:cs="Arial" w:eastAsia="Arial" w:hAnsi="Arial"/>
          <w:sz w:val="18"/>
          <w:szCs w:val="18"/>
          <w:b w:val="1"/>
          <w:bCs w:val="1"/>
          <w:i w:val="1"/>
          <w:iCs w:val="1"/>
          <w:color w:val="auto"/>
        </w:rPr>
        <w: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general, we believe that the raw materials and components utilized by us for our communications accessories and systems, including RF amplifiers, power supplies, cables, repeaters and integration kits, are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Virginia Beach, Virginia facility has the capacity to produce communications products and systems. This operation generally assembles products and is limited only by physical space and is not constrained by manufacturing equipment capacity.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carrying value of our Communications Systems inventory, including raw materials, work in process and finished goods, amounted to approximately $7,479 and $9,769 as of December 31, 2020 and 2019, respectively. The year-over-year 23% decrease primarily reflects the completion of shipments of Mounted Power Amplifiers and Vehicle Amplifier-Adaptor systems to support the U.S. Army’s Network Modernization and other initiatives under the delivery orders announced in October 2018, and shipments of Universal Vehicle Adaptors under an indefinite-delivery/indefinite-quantity contract with the Naval Air Warfare Center Aircraft Division announced in June 2019. Management continuously monitors inventory levels in an effort to optimize such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devote significant resources to research and development activities to improve the technological capabilities of our products and to design new products for customers’ applications. We conduct our research and development in Newark, New York; Virginia Beach, Virginia; Tallahassee, Florida; Missouri City, Texas; Newcastle-under-Lyme, United Kingdom; and Shenzhen, China. During 2020 and 2019, we expended $7,316 and $8,025, respectively, on research and development, including $1,369 and $1,220, respectively, on customer sponsored research and development activities, which are included in cost of goods sold. The year-over-year decrease primarily reflects the timing of the testing and transition of our new products to higher volume manufacturing. We expect that research and development expenditures in the future could increase by 10% or more over 2020 levels, based on current initiatives underway. These current initiatives include completing the development and testing of new battery and power solutions in our facilities in Newark, New York, Missouri City, Texas and Newcastle-under-Lyme, UK facilities; our Thionyl Chloride battery project in China and new product initiatives for our Communications Systems business, and our expectation is that new product development will drive our growth. As in the past, we will continue to make funding decisions for our research and development efforts based upon strategic demand for customer applications.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internally develop non-rechargeable cells and batteries with the goal of broadening our product offering to our customers.</w:t>
      </w:r>
    </w:p>
    <w:p>
      <w:pPr>
        <w:sectPr>
          <w:pgSz w:w="11900" w:h="16838" w:orient="portrait"/>
          <w:cols w:equalWidth="0" w:num="1">
            <w:col w:w="11240"/>
          </w:cols>
          <w:pgMar w:left="320" w:top="125" w:right="339" w:bottom="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We continue to internally develop our rechargeable product portfolio, including batteries, battery management systems, cables and charging systems, as our customers’ needs for portable power continue to grow and new technologies become available.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government sponsors research and development programs, which Ultralife participates in, designed to improve the performance and safety of existing battery systems and to develop new battery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internally develop a variety of communications accessories and systems for the global defense market to meet the ever-changing demands of our customers.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Regulatory Matters; Environmental Considerations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of the materials utilized in our batteries may pose safety problems if improperly used, stored, or handled. We have designed our batteries to minimize safety hazards both in manufacturing and in use. Our batteries are subject to the regulations noted below, among others.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transportation of non-rechargeable and rechargeable Lithium batteries is regulated in the U.S. by the Department of Transportation’s Pipeline and Hazardous Materials Safety Administration (“PHMSA”), and internationally by the International Civil Aviation Organization (“ICAO”) and corresponding International Air Transport Association (“IATA”), Dangerous Goods Regulations and the International Maritime Dangerous Goods Code (“IMDG”), and other country specific regulations. These regulations are based on the United Nations Recommendations on the Transport of Dangerous Goods Model Regulations and the United Nations Manual of Tests and Criteria. We currently ship our products pursuant to PHMSA, ICAO, IATA, IMDG and other country specific hazardous goods regulations. The regulations require companies to meet certain testing, packaging, labeling, marking and shipping paper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However, if we are unable to comply with any such new regulations, or if regulations are introduced that limit our or our customers’ ability to transport our products in a cost-effective manner, this could have a material adverse effect on our business, financial condition and results of operations.</w:t>
      </w:r>
    </w:p>
    <w:p>
      <w:pPr>
        <w:spacing w:after="0" w:line="1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European Union’s Restriction of Hazardous Substances Directive (the “EU RoHS Directive”) places restrictions on the use of certain hazardous substances in electrical and electronic equipment. All applicable products sold in the European Union market must pass RoHS compliance. While this directive does not apply to batteries and does not currently affect our defense products, should any changes occur in the directive that would affect our products, we intend and expect to comply with any new regulations that are imposed. However, we cannot assure that the cost of complying with such new regulations would not have a material adverse effect on us. Our commercial chargers are substantially in compliance with the EU RoHS Directive.</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European Union’s Battery Directive “on batteries and accumulators and waste batteries and accumulators” (the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EU Battery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schemes aimed at high level of collection and recycling of batteries with quantified collection and recycling targets. The EU Battery Directive sets out minimum rules for producer responsibility and provisions with regard to labeling of batteries and their removability from equipment. The EU Battery Directive requires product markings for batteries and accumulators to provide information on capacity and to facilitate reuse and safe disposal. We currently ship our products pursuant to the requirements of the EU Battery Directive.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EU Battery Directive requires that producers or importers of particular classes of electrical goods are financially responsible for specified collection, recycling, treatment and disposal of past and future covered products. This directive assigns levels of responsibility to companies doing business in European Union markets based on their relative market share. This directive calls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China’s “Management Methods for Restricted Use of Hazardous Substances in Electrical and Electronic Products” (“China RoHS 2”) provides a regulatory framework including hazardous substance restrictions similar to those imposed by the EU RoHS Directive. China RoHS 2 applies to methods for the control and reduction of pollution and other public hazards to the environment caused during the production, sale, and import of electrical and electronic products (“EEP”) in China. The regulatory framework of China RoHS 2 also now references the updated marking and labeling requirements under Standard SJ/T 11364-2014 (“Marking Standard”). The methods under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National, state and local laws impose various environmental controls on the manufacture, transportation, storage, use and disposal of batteries and of certain chemicals used in the manufacture of batteries. Although we believe that our operations are in material compliance with current environmental regulations, there can be no assurance that changes in such laws and regulations will not impose costly compliance requirements on us or otherwise subject us to future liabilities, costs and expenses. There can be no assurance that additional or modified regulations relating to the manufacture, transportation, storage, use and disposal of materials used to manufacture our batteries or restricting disposal of batteries will not be imposed or that such regulations will</w:t>
      </w:r>
    </w:p>
    <w:p>
      <w:pPr>
        <w:sectPr>
          <w:pgSz w:w="11900" w:h="16838" w:orient="portrait"/>
          <w:cols w:equalWidth="0" w:num="1">
            <w:col w:w="11240"/>
          </w:cols>
          <w:pgMar w:left="320" w:top="125" w:right="339" w:bottom="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not have a material adverse effect on our business, financial condition and results of operations. In 2020 and 2019, we spent approximately $260 and $188, respectively, on environmental compliance, including costs to properly dispose of potentially hazardous waste.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non-rechargeable and rechargeable Lithium battery chemistries react adversely with water and water vapor, certain of our manufacturing processes must be performed in a controlled environment with low relative humidity. Our Newark, New York and Shenzhen, China facilities contain dry rooms or glove box equipment, as well as specialized air-drying equipment.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environmental regulations previously described, our products are subject to U.S. and international laws and regulations governing international trade and exports including but not limited to the International Traffic in Arms Regulations (“ITAR”), the Export Administration Regulations (“EAR”) and trade sanctions against embargoed countries.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ITAR is a set of United States government regulations that control the export and import of defense-related articles and services on the United States Munitions List. These regulations implement the provisions of the Arms Export Control Act, and are described in the Code of Federal Regulations. The Department of State Directorate of Defense Trade Controls interprets and enforces ITAR. Its goal is to safeguard U.S. national security and further U.S. foreign policy objectives.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related EAR are enforced and interpreted by the Bureau of Industry and Security in the Commerce Department. The Department of Defense is also involved in the review and approval process. Inspections in support of import and export laws are performed at border crossings by Customs and Border Protection, an agency of the Department of Homeland Security.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Products and services developed and manufactured in our foreign locations are subject to the export and import controls of the nation in which the foreign location operates.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we are in material compliance with these domestic and international export regulations. However, failure of compliance could have a material adverse effect on our business through possible fines, denial of export privileges, or loss of customers. Further, while we are not aware of any proposed changes to these regulations, any change in the scope or enforcement of export or import regulations or related legislation could have a material adverse effect on our business through increased costs of compliance or reduction in the international growth prospects available to us.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upon our current sales volumes, our future estimated costs associated with our compliance with ITAR, EAR, and the foreign export and import controls are not significant. However, we continue to evaluate the impact of these regulations, and actual costs could differ from our current estimates.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non-rechargeable battery products incorporate Lithium metal, which reacts with water and may cause fires if not handled properly. In the past, we have experienced fires that have temporarily interrupted certain manufacturing operations. We believe that we have adequate fire suppression systems and insurance, including business interruption insurance, to protect against the occurrence of fires and fire losses in our facilities.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Our 9volt battery, among other sizes, is designed to conform to the dimensional and electrical standards of the American National Standards Institute.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Authorized certification bodies such as Underwriters Laboratories, Intertek and SGS recognize several of our products.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aware of any regulatory requirements regarding the disposal of communications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Dodd-Frank Wall Street Reform and Consumer Protection Act of 2010 Section 1502 (the “Dodd-Frank Act”) requires public companies to disclose whether tantalum, tin, gold and tungsten, commonly known as “conflict minerals,” are necessary to the functionality or production of a product manufactured by a public company and if those elements originated from armed groups in the Democratic Republic of Congo or adjoining countries. To comply with the Dodd-Frank Act, as implemented by SEC rules, we are required to perform due diligence inquiries of our suppliers to determine whether or not our products contain such minerals and from which countries and source (smelter) the minerals were obtained. Our annual report on Form SD was filed by the statutory due date of May 31, 2020 for the 2019 calendar year and we continue to utilize appropriate measures with our suppliers to better ascertain the origin of the conflict minerals in our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Competition in both the battery and communications systems markets is, and is expected to remain, intense. The competition ranges from development stage companies to major domestic and international companies, many of which have financial, technical, marketing, sales, manufacturing, distribution and other resources significantly greater than ours. We compete against companies producing batteries as well as companies producing communications systems. We compete on the basis of design flexibility, performance, price, reliability and customer support. There can be no assurance that our technologies and products will not be rendered obsolete by developments in competing technologies or services that are currently under development or that may be developed in the future or that our competitors will not market competing products and services that obtain market acceptance more rapidly than ours.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we cannot assure that other entities will not attempt to take advantage of the growth of the battery market, the Lithium battery cell industry has certain technological and economic barriers to entry. The development of technology, equipment and manufacturing techniques and the operation of a facility for the automated production of Lithium battery cells require large capital expenditures, which may deter new competitors from commencing production. Through our experience in battery cell manufacturing, we have also developed significant production and design expertise in the non-rechargeable battery market, which we believe would be difficult for new competitors to reproduce without substantial time and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ectPr>
          <w:pgSz w:w="11900" w:h="16838" w:orient="portrait"/>
          <w:cols w:equalWidth="0" w:num="1">
            <w:col w:w="11240"/>
          </w:cols>
          <w:pgMar w:left="320" w:top="125" w:right="339" w:bottom="0" w:gutter="0" w:footer="0" w:header="0"/>
        </w:sectPr>
      </w:pPr>
    </w:p>
    <w:bookmarkStart w:id="11" w:name="page12"/>
    <w:bookmarkEnd w:id="11"/>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we employed a total of 532 permanent and temporary employees: 39 in research and development, 427 in production and 66 in sales and administration. None of our employees are represented by a labor union.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faces many risks. As such, prospective investors and shareholders should carefully consider and evaluate all of the risk factors described below as well as other factors discussed in this Form 10-K Annual Report and in our other filings with the SEC. Any of these factors could adversely affect our business, financial condition and results of operations. Additional risks and uncertainties that are not currently known to us or that are not currently believed by us to be material may also harm our business operations and financial results. These risk factors may change from time to time and may be amended, supplemented, or superseded by updates to the risk factors contained in periodic reports on Form 10-Q and Form 10-K that we file with the SEC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operating results and financial condition has and may in the future be adversely impacted by COVID-19.</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novel coronavirus disease of 2019 (COVID-19) has created significant economic disruption and uncertainty around the world. COVID-19 adversely impacted our operating results during 2020 with an estimated negative impact to net income of approximately $2,000 or $0.12 per diluted share, primarily as a result of overall disruptions in supply chains impacting both commercial and government/defense markets, revenue declines in oil and gas and international industrial markets, and an approximately one-month closure of our China facility during the first quarter of 2020 as mandated by the Chinese government. This negative impact was partially offset by increased demand for our medical batteries, especially those used in ventilators, respirators and infusion pumps. While the Chinese government has lifted the suspension of business operations in China and we have maintained normal business operations at all our other facilities throughout the pandemic, the extent to which COVID-19 may further impact our business is uncertain and will depend on many evolving factors which we continue to monitor but cannot predict, including the duration and scope of the pandemic and actions taken by governments, businesses and individuals in response to the pandemic. Potential effects of COVID-19 that may adversely impact our future business include limited availability and/or increased cost of raw materials and components used in our products, reduced demand and/or pricing for our products, inability of our customers to pay for our products or remain solvent, and reduced availability of our workforce. Prolonged adverse effects of COVID-19 on our business could result in the impairment of long-lived assets including goodwill and other intangible assets. Further, we cannot predict all possible adverse effects the COVID-19 pandemic may cause as a result of which there may be adverse effects in addition to those described in this Risk Factor. While we continue to closely monitor the developments surrounding COVID-19 and take actions when possible to mitigate the business risks involved, the potential effects of COVID-19 on our business, alone or taken together, may pose a material risk to our future operating results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revenues is derived from certain key customers.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two customers, L3Harris Technologies and Thales Defense &amp; Security, Inc., both large defense primary contractors, which comprised 17% and 6% of our total revenues in 2020, respectively, and 12% and 14% of our total revenues in 2019, respectively. There were no other customers that comprised greater than 10% of our total revenues during these years. While we consider our relationship with our major customers to be good, the reduction, delay or cancellation of orders from these customers or their insolvency / inability to pay, for any reason, would reduce our revenue and operating income and could materially and adversely affect our business, operating results and financial condition in other ways.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in China are subject to unique risks and uncertainties, including political shifts, tariffs and trade restrictions.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other civil disturbances, the continued impact of the imposition of tariffs by the U.S. Government on 9-volt batteries that we manufacture in China as well as any retaliating trade policies or restrictions, and an outbreak of a contagious disease which may cause us or our suppliers and/or customers to temporarily suspend operations in the affected city. Any such disruptions could depress our earnings and have other material adverse effects on our business,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Notwithstanding the impact of COVID-19, fluctuations in the price of oil and gas and the resulting volatility in the level of downhole drilling could have a material adverse effect on our business, financial condition and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pricing fluctuations typically encountered in the oil and gas industry, especially over the past few years, have placed financial strain not only on the producers, but also the companies that provide oilfield services and equipment to them. The cyclicality in this industry, whether driven by geopolitical developments; international tensions; supply and demand economics; the introduction of new global, national, and industry-specific regulations; U.S. administration policies; and technology, is an ongoing reality. A significant downturn in the price of oil resulting in a decrease in downhole drilling will very likely have an adverse impact on our financial results. In response, we would expect to mitigate a portion, but not all, of this risk by seeking product/market diversification throughout our portfolio.</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Breaches in security, whether cyber or physical, and related disruptions and/or our inability to prevent or respond to such breaches, could diminish our ability to generate revenues or contain costs, compromise our assets, and negatively impact our business in other ways.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face certain security threats, including threats to our information technology infrastructure, attempts to gain access to our proprietary or classified information, and threats to physical and cyber security. Our information technology networks and related systems are critical to the operation of our</w:t>
      </w:r>
    </w:p>
    <w:p>
      <w:pPr>
        <w:sectPr>
          <w:pgSz w:w="11900" w:h="16919" w:orient="portrait"/>
          <w:cols w:equalWidth="0" w:num="1">
            <w:col w:w="11240"/>
          </w:cols>
          <w:pgMar w:left="320" w:top="341" w:right="339" w:bottom="0" w:gutter="0" w:footer="0" w:header="0"/>
        </w:sectPr>
      </w:pPr>
    </w:p>
    <w:bookmarkStart w:id="12" w:name="page13"/>
    <w:bookmarkEnd w:id="12"/>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business and essential to our ability to successfully perform day-to-day operations. The risks of a security breach, cyber- attack, cyber intrusion, or disruption, particularly through actions taken by computer hackers, foreign governments and cyber terrorists, have increased as the number, intensity and sophistication of attempted attacks and intrusions from around the world have increased. Although we have acquired and developed systems and processes designed to protect our proprietary or classified information, they may not be sufficient and the failure to prevent these types of events could disrupt our operations, require significant management attention and resources, and could negatively impact our reputation among our customers and the public, which could have a negative impact on our financial condition, and weaken our results of operations and liquidity. In 2017, we formed a cyber security executive management committee with oversight responsibility to minimize the risk of breaches. In 2018, this committee with the assistance of outside security consultants completed a comprehensive Systems Security Plan (“SSP”) and a Plan of Action &amp; Milestones (“POAM”) in compliance with the requirements of National Institute of Standards and Technology (“NIST”) Special Publication 800-171, Protecting Controlled Unclassified Information in Nonfederal Information Systems and Organizations. In 2019, the Company made further progress in implementing many of the security measures in our SSP and POAM, including increasing the security awareness across our employee base. In 2020, we continued to make substantial progress towards achieving full implementation of all NIST 800-171 security standards, as well as the requirements under the Cybersecurity Maturity Model Certification (CMMC) framework released by the Department of Defense in 2020. The Committee continues to review all key aspects of cyber security utilizing our outside security consultants to ensure a robust plan is in place and provides quarterly updates to our Board. Despite these measures, we cannot eliminate the risk of such security breaches and the potential adverse impacts these breaches may have on our business and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efforts to develop new products or new commercial applications for our products could be prolonged or could fail.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develop certain products for new commercial applications, we cannot assure that these new products will be accepted due to the highly competitive nature of the industry. There are many new product and technology entrants into the markets into which we sell our products, and we must continually reassess the markets in which our products can be successful and seek to engage customers in those markets that will adopt our products for use in their products. In addition, these customers must be successful with their products in their markets for us to gain increased business. Increased competition, failure to gain customer acceptance of products, the introduction of competitive technologies or failure of our customers in their markets could have a further adverse effect on our business and reduce our revenue and operating income.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Reductions or delays in U.S. and foreign military spending could have a material adverse effect on our business, financial condition and results of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significant portion of our revenues is derived from contracts with U.S. and foreign militaries or OEMs that supply U.S. and foreign militaries. In the years ended December 31, 2020 and 2019 approximately $45,382 or 42% and $47,100 or 44%, respectively, of our revenues were comprised of sales made directly or indirectly to U.S. and foreign militaries.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significant gains have been made in commercial markets with our Battery &amp; Energy Products business, we are still highly dependent on sales to U.S. Government customers. The amounts and percentages of our net revenue that were derived from sales to U.S. Government customers, including the Department of Defense, whether directly or through prime contractors, was approximately $38,900 or 36% in 2020 and $41,300 or 39% in 2019. Therefore, any significant disruption or deterioration of our relationship with the U.S. Government or any prime defense contractor could significantly reduce our revenue. Our competitors continuously engage in efforts to expand their business relationships with the U.S. Government and will continue these efforts in the future, and the U.S. Government may choose to use other contractors or suppliers.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Budget and appropriations decisions made by the U.S. Government, including possible future sequestration periods or other similar formulaic reductions in federal expenditures, are outside of our control and have long-term consequences for our business. A decline in U.S. military expenditures could result in a reduction in the military’s demand for our products, which could have a material adverse effect on our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decline in demand for products using our batteries or communications systems could reduce demand for our products and/or our products could become obsolete resulting in lower revenues and profitability.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substantial portion of our business depends on the continued demand for products using our batteries and communications systems sold by our customers, including original equipment manufacturers. Our success depends significantly upon the success of those customers’ products in the marketplace. We are subject to many risks beyond our control that influence the success or failure of a particular product or service offered by a customer, including:</w:t>
      </w:r>
    </w:p>
    <w:p>
      <w:pPr>
        <w:spacing w:after="0" w:line="18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faced by the customer in its particular industry,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the customer’s product or service,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engineering, sales, marketing and management capabilities of the customer,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technical challenges unrelated to our technology or products faced by the customer in developing its products or services,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and other resources of the customer.</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market for our products is characterized by changing technology and evolving industry standards, often resulting in product obsolescence or short product lifecycles. Although we believe that our products utilize state-of-the-art technology, there can be no assurance that competitors will not develop technologies or products that would render our technologies and products obsolete or less marketable. Many of the companies with which we compete have substantially greater resources than we do, and some have the capacity and volume of business to be able to produce their products more efficiently than we can. In addition, these companies are developing or have developed products using a variety of technologies that are expected to compete with our technologies. Furthermore, we have noted an increase in foreign competition, especially in Asia, over the last several years which tend to compete on price in the battery industry. If these companies successfully market their products in a manner that renders our technologies obsolete, this would reduce our revenue and operating income and could have other material adverse effects on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Notwithstanding the impact of COVID-19, our supply of raw materials and components could be disrupted or delayed due to business conditions, weather, or other factors out of our control, or the cost of those raw materials and components may materially increase.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w:t>
      </w:r>
    </w:p>
    <w:p>
      <w:pPr>
        <w:sectPr>
          <w:pgSz w:w="11900" w:h="16888" w:orient="portrait"/>
          <w:cols w:equalWidth="0" w:num="1">
            <w:col w:w="11240"/>
          </w:cols>
          <w:pgMar w:left="320" w:top="125" w:right="339" w:bottom="0" w:gutter="0" w:footer="0" w:header="0"/>
        </w:sectPr>
      </w:pPr>
    </w:p>
    <w:bookmarkStart w:id="13" w:name="page14"/>
    <w:bookmarkEnd w:id="13"/>
    <w:p>
      <w:pPr>
        <w:spacing w:after="0" w:line="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single or limited number of suppliers for materials and components that are otherwise generally available. Due to our supplying defense products to the U.S. government, we could receive a government preference to continue to obtain critical supplies to meet military production needs. However, if the government did not provide us with a government preference in such circumstances, the difficulty in obtaining supplies could have a material adverse effect on our business, financial condition and results of operations. We believe that alternative suppliers are available to supply materials and components that could replace materials and components currently used and that, if necessary, we would be able to redesign our products to make use of such alternatives. However,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 and we cannot guarantee that we will not experience a material interruption of deliveries from sole source suppliers in the future. Of particular note is the increased demand for Lithium-based cells from the electric vehicle manufacturers. While this has resulted in increased supply of such cells, we continue to monitor our supply chain closely to ensure that any potential supply interruptions are minimized.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pre-COVID-19 improvement of the U.S. economy and the potential for a significant post-COVID-19 rebound, our lead times for certain critical components from our suppliers could be extended resulting in shipping delays causing us to miss contractual timelines. Our internal purchasing process is focused on the current economic environment, and lead times are considered when placing orders from our vendors, but we cannot control the ability of our vendors or potential vendors to be qualified to meet our deadlines.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could face increasing pricing pressure from our suppliers dependent upon volume due to rising costs by these suppliers that could be passed on to us in higher prices for our raw materials, which could increase our cost of business, lower our margins and have other materially adverse effects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and expansion strategy could strain or overwhelm our resources.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Rapid growth of our business could significantly strain management, operations and technical resources. If we are successful in obtaining rapid market growth of our products, we will likely be required to deliver large volumes of quality products to customers on a timely basis at a reasonable cost. For example, demand for our new or existing products combined with our ability to penetrate new markets and geographies or secure a major project award, could strain the current capacity of our manufacturing facilities and require additional capital resources, equipment and time to meet the required demand. We cannot assure, however, that our business will grow rapidly or that our efforts to expand manufacturing and quality control activities will be successful or that we will be able to satisfy commercial scale production requirements on a timely and cost-effective basis. During 2020, the Company experienced a 94% year-over-year increase in shipments of our medical batteries primarily in response to the higher demand for ventilators, respirators and infusion pumps caused by COVID-19. While we met all of our 2020 commitments to our medical customers, this does not mean that rapid growth for our products in all cases will be met by our resources without delay.</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also may be required to continue to improve our operations, management and financial systems and controls in order to remain competitive. The failure to manage growth and expansion effectively could have an adverse effect on our business, financial condition, and results of operations. We address these risks in the annual update of our three-year Strategic Plan which is presented to our Board of Directors.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loss of top management and key personnel could significantly harm our business, and our ability to put in place a succession plan and recruit experienced, competent management is critical to the success of the business.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continuity of our officers and executive team is vital to the successful implementation of our business model and growth strategy designed to deliver sustainable, consistent profitability. A top management priority has been the development and implementation of a formal written succession plan to mitigate the risks associated with the loss of senior executives. This formal succession plan is updated annually and presented to our Board of Directors. There is no guarantee that we will be successful in our efforts to effectively implement our succession plan.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of the specialized, technical nature of our business, we are highly dependent on certain members of our management, sales, engineering and technical staffs. The loss of these employees could have a material adverse effect on our business, financial condition and results of operations. Our ability to effectively pursue our business strategy will depend upon, among other factors, the successful retention of our key personnel, recruitment of additional highly skilled and experienced managerial, sales, engineering and technical personnel, and the integration of such personnel obtained through business acquisitions. We cannot assure that we will be able to retain or recruit this type of personnel. An inability to hire sufficient numbers of people or to find people with the desired skills could result in greater demands being placed on limited management resources which could delay or impede the execution of our business plans and have other material adverse effects on our business, financial condition and results of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incur significant costs or liabilities to satisfy obligations under the terms of the warranties we supply and the contractual terms under which we sell our products and services.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respect to our battery products, we typically offer warranties against any defects in manufacture or workmanship for a period up to one year from the date of purchase. With respect to our communications systems products, we now offer up to a three-year warranty. We provide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will be sufficient. Excessive warranty claims could have a material adverse effect on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certain safety risks, including the risk of fire, inherent in the manufacture, use and transportation of Lithium batteries.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Due to the high energy inherent in Lithium batteries, our Lithium batteries can pose certain safety risks, including the risk of fire. We incorporate procedures in research, development, product design, manufacturing processes and the transportation of Lithium batteries that are intended to minimize safety risks, but we cannot assure that accidents will not occur or that our products will not be subject to recall for safety concerns. Although we currently carry insurance policies which cover loss of plant and machinery, leasehold improvements, inventory and business interruption, any accident, whether at the manufacturing facilities or from the use of the products, may result in significant production delays or claims for damages resulting from injuries or death. While we maintain what we believe to be sufficient casualty liability coverage to protect against such occurrences, these types of losses could reduce</w:t>
      </w:r>
    </w:p>
    <w:p>
      <w:pPr>
        <w:sectPr>
          <w:pgSz w:w="11900" w:h="16901" w:orient="portrait"/>
          <w:cols w:equalWidth="0" w:num="1">
            <w:col w:w="11240"/>
          </w:cols>
          <w:pgMar w:left="320" w:top="125" w:right="339" w:bottom="0" w:gutter="0" w:footer="0" w:header="0"/>
        </w:sectPr>
      </w:pPr>
    </w:p>
    <w:bookmarkStart w:id="14" w:name="page15"/>
    <w:bookmarkEnd w:id="14"/>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available cash and our operating and net income and have other material adverse effects on our reputation, business, financial condition and results of operation.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entrance into new markets could lead to additional exposure to financial risk or increased liability, and our failure to enter into those markets could lead to negative customer perception or loss of business from existing customers.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new products supporting our commercial diversification strategy will likely result in the introduction of our products in new end markets that we have not participate in before. These new market opportunities may carry certain risks that we may not have experienced in the past or that we may be fully aware. While we perform extensive due diligence in the launch of our products in new end markets and mitigate our risks with our contracts and insurance coverage, we may not be fully aware of the risks that may exist until we gain more experience in these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and annual results and the price of our common stock could fluctuate significantly.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operating results may vary significantly from quarter-to-quarter and from year-to-year depending on factors such as the timing and shipment of significant orders, new product introductions, the transition of new products to higher-volume production, major project wins, U.S. and foreign government demand, delays in customer releases of purchase orders, delays in receiving raw materials from vendors, the mix of distribution channels through which we sell our products and services and general economic conditions. Frequently, a substantial portion of our revenue in each quarter is generated from orders booked and fulfilled during that quarter. As a result, revenue levels are difficult to predict for each quarter. If revenue results are below expectations, operating results will be adversely affected as we have a sizeable base of fixed overhead costs that do not fluctuate much with changes in revenue. Due to such variances in operating results, we have sometimes failed to meet, and in the future may not meet, market expectations regarding our future operating results.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uncertainties of quarterly and annual operating results, future announcements concerning us or our competitors, including technological innovations or commercial products, litigation or public concerns as to the safety or commercial value of one or more of our products may cause the market price of our common stock to fluctuate substantially, all of which may be unrelated to our operating results.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Any inability to comply with changes to the regulations for the shipment of our products could limit our ability to transport our products to customers in a cost-effective manner and reduce our operating income and margins.</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transportation of Lithium batteries is regulated by the International Civil Aviation Organization (“ICAO”) and corresponding International Air Transport Association (“IATA”) Dangerous Goods Regulations and the International Maritime Dangerous Goods Code (“IMDG”) and in the U.S. by the Department of Transportation’s Pipeline and Hazardous Materials Safety Administration (“PHMSA”). These regulations are based on the United Nations Recommendations on the Transport of Dangerous Goods Model Regulations and the United Nations Manual of Tests and Criteria. We currently ship our products pursuant to ICAO, IATA and PHMSA hazardous goods regulations. These regulations require companies to meet certain testing, packaging, labeling and shipping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If, however, we are unable to comply with any such new regulations, or if regulations are introduced that limit our ability to transport our products to customers in a cost-effective manner, this could reduce our operating income and margins, and have other material adverse effects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customers may not meet the volume expectations in our supply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sell most of our products and services through supply agreements and contracts. While supply agreements and contracts contain volume-based pricing based on expected volumes, we cannot assure that adjustments to reflect volume shortfalls will be made under current industry practices because pricing is rarely adjusted retroactively when contract volumes are not achieved. Every effort is made to adjust future prices accordingly, but our ability to adjust prices is generally based on market conditions and we may not be able to adjust prices in various circumstances. This could have an adverse impact in the form of lost revenue or increased expenses.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ability to use our net operating loss and tax credit carryforwards in the future may be limited, which could increase our tax liabilities and reduce our cash flow and net income.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2020, we had approximately $47,755 of U.S. net operating loss carryforwards and $2,070 of U.S. tax credit carryforward available to offset future taxable income. We continually assess the carrying value of these assets based on the relevant accounting standards. Based on our latest assessment at December 31, 2020, we believe it is more likely than not that our U.S. deferred tax assets will be fully realized. However, failure to achieve our business targets could result in future charges to our income tax provision if any of the net operating loss or tax credit carryforwards are not utilized. See discussion in Management’s Discussion &amp; Analysis beginning on Page 27.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publicity of Lithium-ion batteries may negatively impact the industries or markets we operate in.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unable to predict the impact, severity or duration of negative publicity related to fire/mishandling of Lithium-ion batteries or the environmental impact of their disposal, and how it may impact the industries or markets we serve. Ongoing negative attention being given to Lithium-ion batteries that are used in certain cellular phones or are integrated into the power systems of new commercial aircraft and electric motor vehicles may have an impact on the Lithium-ion battery industry as a whole, regardless of the design or usage of those batteries. The residual effects of such events could have an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foreign currency fluctuations.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maintain manufacturing operations in North America, Europe and China, and we export products to various countries. We purchase materials and sell our products in foreign currencies, and therefore currency fluctuations may impact our pricing of products sold and materials purchased. Sales to non-U.S. customers make up a significant percentage of our total revenues. For example, the percentage of our business with customers outside of the U.S. slightly increased in 2020 to 42% compared to 41% in 2019. A future strengthening of the U.S. dollar relative to our customers’ currencies could make our</w:t>
      </w:r>
    </w:p>
    <w:p>
      <w:pPr>
        <w:sectPr>
          <w:pgSz w:w="11900" w:h="16855" w:orient="portrait"/>
          <w:cols w:equalWidth="0" w:num="1">
            <w:col w:w="11240"/>
          </w:cols>
          <w:pgMar w:left="320" w:top="125" w:right="339" w:bottom="0" w:gutter="0" w:footer="0" w:header="0"/>
        </w:sectPr>
      </w:pPr>
    </w:p>
    <w:bookmarkStart w:id="15" w:name="page16"/>
    <w:bookmarkEnd w:id="15"/>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products relatively more expensive to them and, may adversely affect our sales levels and reduce profitability. In addition, our United Kingdom and China subsidiaries maintain their books in local currency and the translation of the subsidiary financial statements into U.S. dollars for our consolidated financial statements could have an adverse effect on our consolidated financial results due to changes in local currency value relative to the U.S. dollar. With the rapid pace of geopolitical events, it is difficult at this time to assess any future impact of currency fluctuation on the Company’s financial results, despite our proactive efforts to minimize the short-term risks of currency fluctuations. Accordingly, currency fluctuations could have a material adverse effect on our business, financial condition and results of operations by increasing our expenses and reducing our income. Finally, we maintain certain domestic U.S. cash balances denominated in foreign currencies, and the U.S. dollar equivalent of these balances fluctuates with changes in the foreign exchange rates between these currencies and the U.S. dollar.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impairment of goodwill and/or other indefinite-lived intangible assets could adversely impact our results of operations.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goodwill and other indefinite-lived intangible assets are subject to an impairment test on an annual basis. Additionally, goodwill and other indefinite-lived intangible assets are assessed for impairment whenever events and circumstances indicate that impairment may exist. Any excess carrying value of goodwill and/or other intangible assets resulting from an impairment assessment must be written off in the period of determination. In addition, from time to time, we may acquire a business which will require us to record goodwill and/or other indefinite-lived intangible assets based on the allocation of the total consideration transferred to consummate the acquisition to the identified tangible and intangible assets acquired and liabilities assumed based on their respective estimated fair values. We may subsequently experience unforeseen circumstances related to past or future acquisitions which may adversely impact the forecasted cash flows or other assumptions used to value these assets. Future determinations that the estimated fair value of our goodwill and/or indefinite-lived intangible assets is less than their respective carrying values may result in significant (non-cash) impairment charges which could have a material adverse impact on future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finding that our proprietary and intellectual property rights are not enforceable or invalid could allow our competitors and others to produce competing products based on our proprietary and intellectual property or limit our ability to continue to manufacture and market our products.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believe our success depends more on the knowledge, ability, experience and technological expertise of our employees than on the legal protection of patents and other proprietary rights. However, we claim proprietary rights in various unpatented technologies, know-how, trade secrets and trademarks relating to our products and manufacturing processes. We cannot guarantee the degree of protection these various claims may or will afford, or that competitors will not independently develop or patent technologies that are substantially equivalent or superior to our technology. We protect our proprietary rights in our products and operations through contractual obligations, including nondisclosure agreements with certain employees, customers, consultants and strategic partners. There can be no assurance as to the degree of protection these contractual measures may or will afford. We have had patents issued and have patent applications pending in the U.S. and elsewhere. We cannot assure (1) that patents will be issued from any of these pending applications, or that the claims allowed under any issued patents will be sufficiently broad to protect our technology, (2) that any patents issued to us will not be challenged, invalidated or circumvented, or (3) as to the degree or adequacy of protection any patents or patent applications may or will afford. Further, if we are found to be infringing upon third party patents, we cannot assure that we will not be subjected to significant damages or will be able to obtain licenses with respect to such patents on acceptable terms, if at all. The failure to obtain necessary licenses could delay product shipments or the introduction of new products, and costly attempts to design around such patents could foreclose the development, manufacture or sale of products, all of which could materially adversely affect our business and the results of operations.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subject to the contract rules and procedures of the U.S. and foreign governments. These rules and procedures create significant risks and uncertainties for us that are not usually present in contracts with private parties.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continue to develop battery products and communications systems to meet the needs of the U.S. and foreign governments. We compete in solicitations for awards of contracts. The receipt of an award, however, does not always result in the immediate release of an order and does not guarantee in any way any given volume of orders. Any delay of solicitations or anticipated purchase orders by, or future failure of, the U.S. or foreign governments to purchase products manufactured by us could have a material adverse effect on our business, financial condition and results of operations. In these scenarios we are also typically required to successfully meet contractual specifications and to pass various qualification-testing for the products under contract. Our inability to pass these tests in a timely fashion, as well as meet delivery schedules for orders released under contract, could have a material adverse effect on our business, financial condition and results of operations.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when a U.S. government contract is awarded, there is a government procedure that permits unsuccessful companies to formally protest such award if they believe they were unjustly treated in the evaluation process. As a result of these protests, the government is precluded from proceeding under these contracts until the protests are resolved. A prolonged delay in the resolution of a protest, or a reversal of an award resulting from such a protest could have material adverse effects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could be adversely affected by violations of the US Foreign Corrupt Practices Act (“FCPA”), the U.K. Bribery Act or other anti-corruption laws.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FCPA, U.K. Bribery Act and other anti-corruption laws generally prohibit companies and their intermediaries from making improper payments (to foreign officials and otherwise) and require companies to keep accurate books and records and maintain appropriate internal controls. Our training program and policies mandate compliance with such laws. We operate in some parts of the world that have experienced governmental corruption to some degree, and, in certain circumstances, strict compliance with anti-bribery laws may conflict with local customs and practices. If we are found to be liable for violations of anti-corruption laws (either due to our own acts or our inadvertence, or due to the acts or inadvertence of others, including employees of our third-party partners or agents), we could suffer from civil and criminal penalties or other sanctions, incur significant internal investigation costs and suffer reputational harm.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because of known and unknown environmental matters.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National, state and local laws impose various environmental controls on the manufacture, transportation, storage, use and disposal of batteries and of certain chemicals used in the manufacture of batteries. We use and generate a variety of chemicals and other hazardous by-products in our manufacturing</w:t>
      </w:r>
    </w:p>
    <w:p>
      <w:pPr>
        <w:sectPr>
          <w:pgSz w:w="11900" w:h="16942" w:orient="portrait"/>
          <w:cols w:equalWidth="0" w:num="1">
            <w:col w:w="11240"/>
          </w:cols>
          <w:pgMar w:left="320" w:top="125" w:right="339" w:bottom="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6"/>
          <w:szCs w:val="16"/>
          <w:color w:val="auto"/>
        </w:rPr>
        <w:t>operations. These environmental laws govern, among other things, air emissions, wastewater discharges and the handling, storage and release of wastes and hazardous substances. Such laws and regulations can be complex and are subject to change. Although we believe that our operations are in substantial compliance with current environmental regulations and that, except as noted below, there are no environmental conditions that will require material expenditures for clean up at our present or former facilities or at facilities to which we have sent waste for disposal,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as to how these regulations will affect us or our customers. Such changes in regulations could reduce our operating income and margins and have other material adverse effects on our business, financial condition and results of operations. We could incur substantial costs as a result of violations of environmental laws, including clean-up costs, fines and sanctions and third-party property damage or personal injury claims. Failure to comply with environmental requirements could also result in enforcement actions that materially limit or otherwise affect the operations of the facilities involved. Under certain environmental laws, a current or previous owner or operator of an environmentally contaminated site may be held liable for the entire cost of investigation, removal or remediation of hazardous materials at such property. This liability could result whether or not the owner or operator knew of, or was responsible for, the presence of any hazardous materials.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EU RoHS Directive places restrictions on the use of certain hazardous substances in electrical and electronic equipment. All applicable products sold in the European Union market after July 1, 2006 must comply with EU RoHS Directive. While this directive does not apply to batteries and does not currently affect our defense products, should any changes occur in the directive that would affect our products, we intend and expect to comply with any new regulations that are imposed. Our commercial chargers are in compliance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that producers or importers of particular classes of electrical goods are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This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processes aimed at high levels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China RoHS 2 directive provides a regulatory framework, including similar hazardous substance restrictions as are imposed by the EU RoHS Directive, and applies to methods for the control and reduction of pollution and other public hazards to the environment caused during the production, sale, and import of EEP in China affecting a broad range of electronic products and parts. The regulatory framework of China RoHS 2 also now references the updated marking and labeling requirements under Standard SJ/T 11364-2014 (“Marking Standard”). The methods under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number of domestic and international communities are prohibiting the landfill disposal of batteries and requiring companies to make provisions for product recycling. Of particular note are the EU Batteries Directive and the New York State Rechargeable Battery Recycling Law. We are committed to responsible product stewardship and ongoing compliance with these and future statutes and regulations. The compliance costs associated with current recycling statutes and regulations are not expected to be significant at this time. However, we continue to evaluate the impact of these regulations, and actual costs could differ from our current estimates and additional laws could be enacted by these and other states which entail greater costs of compliance.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U.S. and foreign governments can audit our contracts with their respective defense and government agencies and, under certain circumstances, can adjust the economic terms, delivery schedule or other terms of those contracts.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portion of our business comes from sales of products and services to the U.S. and foreign governments through various contracts. These contracts are subject to procurement laws and regulations that lay out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Compliance with government regulations regarding the use of </w:t>
      </w:r>
      <w:r>
        <w:rPr>
          <w:rFonts w:ascii="Arial" w:cs="Arial" w:eastAsia="Arial" w:hAnsi="Arial"/>
          <w:sz w:val="18"/>
          <w:szCs w:val="18"/>
          <w:color w:val="auto"/>
        </w:rPr>
        <w:t>"</w:t>
      </w:r>
      <w:r>
        <w:rPr>
          <w:rFonts w:ascii="Arial" w:cs="Arial" w:eastAsia="Arial" w:hAnsi="Arial"/>
          <w:sz w:val="18"/>
          <w:szCs w:val="18"/>
          <w:i w:val="1"/>
          <w:iCs w:val="1"/>
          <w:color w:val="auto"/>
        </w:rPr>
        <w:t>conflict minerals</w:t>
      </w:r>
      <w:r>
        <w:rPr>
          <w:rFonts w:ascii="Arial" w:cs="Arial" w:eastAsia="Arial" w:hAnsi="Arial"/>
          <w:sz w:val="18"/>
          <w:szCs w:val="18"/>
          <w:color w:val="auto"/>
        </w:rPr>
        <w:t>"</w:t>
      </w:r>
      <w:r>
        <w:rPr>
          <w:rFonts w:ascii="Arial" w:cs="Arial" w:eastAsia="Arial" w:hAnsi="Arial"/>
          <w:sz w:val="18"/>
          <w:szCs w:val="18"/>
          <w:i w:val="1"/>
          <w:iCs w:val="1"/>
          <w:color w:val="auto"/>
        </w:rPr>
        <w:t xml:space="preserve"> may result in increased costs and risks to the Company.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part of the Dodd-Frank Wall Street Reform and Consumer Protection Act of 2010 (the "Act"), the SEC has promulgated disclosure requirements regarding the use of certain minerals, which are mined from the Democratic Republic of Congo and adjoining countries, known as conflict minerals. The disclosure rules were effective in May 2014. We are required to perform due diligence inquiries of our supply chain and publicly disclose whether we manufacture (as defined in the Act) any products that contain conflict minerals and could incur significant costs related to implementing a process that will meet the mandates of the Act. Additionally, customers typically rely on us to provide critical data regarding the parts they purchase, including conflict mineral information. Our material sourcing is broad-based and multi-tiered, and we may not be able to easily verify the origins for conflict minerals used in the products we sell. We have many suppliers, and each provides conflict mineral information in a different manner, if at all. Accordingly, because our supply chain is complex, we may face reputational challenges if we are unable to sufficiently verify the origins of conflict minerals used in our products.</w:t>
      </w:r>
    </w:p>
    <w:p>
      <w:pPr>
        <w:sectPr>
          <w:pgSz w:w="11900" w:h="16838" w:orient="portrait"/>
          <w:cols w:equalWidth="0" w:num="1">
            <w:col w:w="11240"/>
          </w:cols>
          <w:pgMar w:left="320" w:top="125" w:right="339" w:bottom="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Additionally, customers may demand that the products they purchase be free of conflict minerals. This may limit the number of suppliers that can provide products in sufficient quantities to meet customer demand or at competitive prices.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2020, we own two buildings in Newark, New York comprising approximately 250,000 square feet, which serve operations primarily in the Battery &amp; Energy Products operating segment. Our corporate headquarters are located in our Newark, New York facility. We own one building in Missouri City, Texas comprising 69,000 square feet, which houses our recently acquired SWE business. We also lease approximately 97,000 square feet in two buildings on one campus in Shenzhen, China and approximately 25,000 square feet in six buildings in a contiguous area in Newcastle-under-Lyme, United Kingdom, which serve operations in the Battery &amp; Energy Products operating segment. The Shenzhen, China campus location includes a dormitory facility. We lease approximately 32,500 square feet in a facility in Virginia Beach, Virginia, which serves operations in the Communications Systems operating segment. We also lease sales and administrative offices, as well as manufacturing and production facilities, in India, which serve operations in the Battery &amp; Energy Products operating segment. Our research and development efforts for our Battery &amp; Energy Products are conducted at our Newark, New York, Missouri City, Texas, Newcastle-under-Lyme, United Kingdom and Shenzhen, China facilities, while our research and development efforts for our Communications Systems products are conducted in our leased facilities in Tallahassee, Florida and in Virginia Beach, Virginia. We believe that our facilities are adequate and suitable for our current needs. However, we may require additional manufacturing and administrative space if demand for our products and services grows.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14, 2020, Ultralife was awarded a final settlement of $1,593 (net of fees) upon court approval and order authorizing distribution of settlement funds in a class action lawsuit (In Re: Lithium-ion Batteries Antitrust Litigation, 13-MD-02420-YGR, United States District Court, Northern District of California). At the time of the court order, the settlement funds were held in an escrow account controlled by the court for administrative purposes, and there remained no potential for appeal or reversal of the court order. Based on all conditions present upon the court order, it was concluded that the net settlement amount was fully realizable. Accordingly, a gain of $1,593 was recognized and is separately reported as gain on litigation settlement on the consolidated statement of income and comprehensive income for the year ended December 31, 2020. The corresponding amount due is included in prepaid expenses and other current assets as of December 31, 2020.</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Ultralife’s common stock is listed on the NASDAQ Global Market under the symbol “ULBI.”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2021, there were approximately 3,000 registered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and under which the Company was authorized to repurchase up to 2.5 million shares of its outstanding common stock over a period not to exceed twelve months. The Share Repurchase Program concluded on October 31, 2019.</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the inception of the Share Repurchase Program on November 1, 2018 though its conclusion on October 31, 2019, we repurchased a total of 372,974 shares of our common stock for an aggregate consideration (including fees and commissions) of $2,699. In 2018, we repurchased a total of 105,674 shares of our common stock for an aggregate consideration of $742 (including fees and commissions). In 2019, we repurchased a total of 267,300 shares of our common stock for an aggregate consideration (including fees and commissions) of $1,957.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our common stock by the Company during the year ended December 31, 2020.</w:t>
      </w:r>
    </w:p>
    <w:p>
      <w:pPr>
        <w:sectPr>
          <w:pgSz w:w="11900" w:h="16838" w:orient="portrait"/>
          <w:cols w:equalWidth="0" w:num="1">
            <w:col w:w="11240"/>
          </w:cols>
          <w:pgMar w:left="320" w:top="125" w:right="33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any cash dividends on our capital stock. Pursuant to our current credit facility, we are precluded from paying any dividends. We intend to retain earnings, if any, to finance future operations and expansion and, therefore, do not anticipate paying any cash dividends in the foreseeable future. Any future payment of dividends will depend upon our financial condition, capital requirements and earnings, as well as upon other factors that our Board of Directors may deem relevant.</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in Item 8 of this Form 10-K.</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internationally through a variety of trade channels, including original equipment manufacturers (“OEMs”), industrial and defense supply distributors and directly to U.S. and international defense departments.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thin cell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continually evaluate ways to grow, including opportunities to expand through mergers, acquisitions and joint ventures, which we believe can broaden the scope of our products and services, expand operating and market opportunities and provide the ability to enter new lines of business synergistic with our portfolio of product offerings.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We acquired Accutronics to advance our strategy of commercial revenue diversification, to expand our geographic penetration, and to achieve revenue growth from new product development.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1, 2019, we acquired Southwest Electronic Energy Corporation, a Texas corporation (“SWE”), and a leading designer and manufacturer of high-performance smart battery systems and battery packs to customer specifications using lithium cells. SWE serves a variety of industrial markets, including oil and gas, remote monitoring, process control and marine, which demand uncompromised safety, service, reliability and quality. We acquired SWE as a bolt-on acquisition to further support our strategy of commercial revenue diversification by providing entry to the oil and gas exploration and production, and subsea electrification markets, which were previously unserved by us. Another key benefit includes obtaining a highly valuable technical team of battery pack and charger system engineers and technicians to add to our new product development-based revenue growth initiatives in our commercial end-markets particularly asset tracking, smart metering and other industrial applications.</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Currently, we do not experience significant seasonal sales trends in any of our operating segments, although sales to the U.S. Department of Defense and other international defense organizations can be sporadic based on the needs of those particular customers and allocated funding levels.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created significant economic disruption and uncertainty around the world. The Company continues to closely monitor the developments surrounding COVID-19 and take actions to mitigate the business risks involved. During this challenging time, we remain focused on ensuring the health and safety of our employees by implementing the protocols established by public health officials in addition to meeting the demand of our customers. As an essential supplier currently exempt from government-mandated shutdown directives, we are striving to ensure an uninterrupted flow of our mission critical products serving medical device, first responder, public safety, energy and national security customers. For 2020, we have maintained normal operations at all our facilities with the exception of an approximately one-month closure of our China facility as was mandated by the Chinese government through early March 2020.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2020, we estimate that the net impact of COVID-19 was a reduction to sales of approximately $7,000, a reduction to operating income of approximately $2,600 and a reduction to net income of approximately $2,000 or approximately $0.12 per diluted share. Demand for medical batteries, especially those used in ventilators, respirators and infusion pumps, substantially increased during 2020; however, this increase was more than offset by the revenue declines in oil and gas and international industrial markets, delays in medical battery orders for devices used for elective surgeries and the overall disruptions in supply chains and operations impacting both commercial and government/defense markets.</w:t>
      </w:r>
    </w:p>
    <w:p>
      <w:pPr>
        <w:sectPr>
          <w:pgSz w:w="11900" w:h="16838" w:orient="portrait"/>
          <w:cols w:equalWidth="0" w:num="1">
            <w:col w:w="11240"/>
          </w:cols>
          <w:pgMar w:left="320" w:top="121" w:right="339" w:bottom="0" w:gutter="0" w:footer="0" w:header="0"/>
        </w:sectPr>
      </w:pPr>
    </w:p>
    <w:bookmarkStart w:id="19" w:name="page20"/>
    <w:bookmarkEnd w:id="19"/>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Consolidated revenues increased by $917 or 0.9% to $107,712 for the year ended December 31, 2020 compared to $106,795 for the year ended December 31, 2019. During 2020, we experienced revenue growth of 0.7% for our Battery &amp; Energy Products business and a revenue decline of 37.6% for our Communications Systems business. This 2020 performance reflected a $2,648 or 4.4% increase in sales to our commercial customers and a $1,731 or 3.7% decrease in sales to government and defense customers. The increase in our commercial business was due primarily to a $13,380 increase in battery sales to medical customers largely driven by an increase in demand for our batteries used in ventilators, respirators, infusion pumps and other medical devices attributable to COVID-19, partially offset by a $5,681 decrease in sales to oil and gas customers of our SWE operation due primarily to declining demand attributable to the effects of COVID-19 on the oil and gas market and a $5,051 sales decrease for other commercial industrial products primarily due to COVID-19. The decrease in government and defense sales primarily resulted from higher 2019 shipments of mounted power amplifiers and vehicle amplifier-adaptor systems to support the U.S. Army’s Network Modernization and other initiatives under the delivery orders announced in October 2018, and shipments of Universal Vehicle Adaptors under an indefinite-delivery/indefinite-quantity contract with the Naval Air Warfare Center Aircraft Division announced in June 2019, partially offset by higher demand from a large global defense contractor and the shipment of our legacy 5390 batteries to complete a firm fixed price delivery order received in December 2019.</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margin decreased to 27.1% for the year ended December 31, 2020 from 29.2% for the year ended December 31, 2019. The 210-basis point decrease was due primarily to costs incurred for the transition of new products to high volume production in 2020 and incremental costs associated with COVID-19 including an approximately one-month shutdown of our China operation as mandated by the Chinese government and supply chain and logistics disruptions, partially offset by improved efficiencies and productivity in the production of vehicle amplifier-adaptor systems to fulfill U.S. Army orders for our Communications Systems business.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expenses decreased by $339 or 1.4% to $23,458 during the year ended December 31, 2020, compared to $23,797 during the year ended December 31, 2019. The decrease primarily reflects the timing of testing of new products and a realignment of some of the SWE engineering and technical resources to support manufacturing including the short cycle turnaround for a medical battery pack supporting a respirator application to serve the COVID-19 response. Operating expenses as a percentage of revenues decreased 50 basis points from 22.3% in 2019 to 21.8% in 2020.</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income totaled $1,322 for the year ended December 31, 2020 compared to expense of $597 for the year ended December 31, 2019. On December 14, 2020, Ultralife was awarded a final settlement of $1,593 (net of fees) upon court approval and order authorizing distribution of settlement funds in a class action lawsuit (In Re: Lithium-Ion Batteries Antitrust Litigation, 13-MD-02420-YGR, United States District Court, Northern District of California). At the time of the court order, the settlement funds were held in an escrow account controlled by the court for administrative purposes, and there remained no potential for appeal or reversal of the court order. Based on all conditions present upon the court order, it was concluded that the net settlement amount was fully realizable. Accordingly, a gain of $1,593 was recognized and is separately reported as gain on litigation settlement on the consolidated statement of income and comprehensive income for the year ended December 31, 2020.</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 tax provision was $1,692 for the year-ended December 31, 2020 compared to $1,457 for the year-ended December 31, 2019. Our effective tax rate increased to 24.1% for 2020 as compared to 21.5% for 2019, primarily due to a greater level of discrete tax benefits realized in 2019 on disqualifying dispositions of incentive stock options exercised by employees and the geographic mix of earnings. The income tax provision for the 2020 period is comprised of a $306 current provision for taxes expected to be paid on income from our foreign operations, representing a cash-based effective tax rate of 4.4%, and a $1,386 deferred tax provision which primarily represents non-cash charges for U.S. taxes which will be fully offset by net operating loss carryforwards and other tax credits for the foreseeable future. For the 2019 period, the income tax provision was comprised of an $221 current tax provision, representing a cash-based effective tax rate of 3.3%, and a non-cash $1,236 deferred provision for taxes.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income attributable to Ultralife was $5,232 for 2020 and $5,205 for 2019. Net income attributable to Ultralife common shareholders per diluted share was $0.33 for 2020 compared to $0.32 for 2019. Reflecting the use of net operating losses and tax credits on U.S. generated income, adjusted earnings per diluted share was $0.41 for 2020 compared to $0.40 for 2019. See the section “Adjusted EPS” on page 34 for a reconciliation of adjusted EPS to EPS.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defined as net income attributable to Ultralife before net interest expense, provision for income taxes, depreciation and amortization, plus/minus income/expense that we do not consider reflective of our continuing operations, amounted to $9,696 for the year ended December 31, 2020 compared to $11,007 for the prior year. See the section “Adjusted EBITDA” beginning on page 33 for a reconciliation of adjusted EBITDA to net income attributable to Ultralife.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liquidity remains solid, with cash on hand of $10,653, debt of $1,474, working capital of $45,790 and a current ratio of 3.4. As of December 31, 2019, the Company had cash on hand of $7,405, debt of $17,316, working capital of $53,183 and a current ratio of 4.1.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outlook for demand in our end markets is less visible than we would like, we will remain focused on what we can control: organic growth initiatives, including completing transformational new product development projects and investments in strategic capital expenditure, and synergistic acquisitions.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with the Year Ended December 31, 2019:</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8"/>
              </w:rPr>
              <w:t>Year Ended December 31,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Increase/</w:t>
            </w:r>
          </w:p>
        </w:tc>
      </w:tr>
      <w:tr>
        <w:trPr>
          <w:trHeight w:val="209"/>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(Decrease)</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Battery &amp; Energy Products</w:t>
            </w:r>
          </w:p>
        </w:tc>
        <w:tc>
          <w:tcPr>
            <w:tcW w:w="2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91,907</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83,996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 Systems</w:t>
            </w: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(6,994)</w:t>
            </w:r>
          </w:p>
        </w:tc>
      </w:tr>
      <w:tr>
        <w:trPr>
          <w:trHeight w:val="209"/>
        </w:trPr>
        <w:tc>
          <w:tcPr>
            <w:tcW w:w="20" w:type="dxa"/>
            <w:vAlign w:val="bottom"/>
          </w:tcPr>
          <w:p>
            <w:pPr>
              <w:spacing w:after="0"/>
              <w:rPr>
                <w:sz w:val="18"/>
                <w:szCs w:val="18"/>
                <w:color w:val="auto"/>
              </w:rPr>
            </w:pPr>
          </w:p>
        </w:tc>
        <w:tc>
          <w:tcPr>
            <w:tcW w:w="40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107,712</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106,795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top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Battery &amp; Energy Products</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68,507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61,183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7,324</w:t>
            </w:r>
          </w:p>
        </w:tc>
        <w:tc>
          <w:tcPr>
            <w:tcW w:w="100" w:type="dxa"/>
            <w:vAlign w:val="bottom"/>
          </w:tcPr>
          <w:p>
            <w:pPr>
              <w:spacing w:after="0"/>
              <w:rPr>
                <w:sz w:val="20"/>
                <w:szCs w:val="20"/>
                <w:color w:val="auto"/>
              </w:rPr>
            </w:pPr>
          </w:p>
        </w:tc>
      </w:tr>
    </w:tbl>
    <w:p>
      <w:pPr>
        <w:sectPr>
          <w:pgSz w:w="11900" w:h="16932" w:orient="portrait"/>
          <w:cols w:equalWidth="0" w:num="1">
            <w:col w:w="11240"/>
          </w:cols>
          <w:pgMar w:left="320" w:top="125" w:right="339" w:bottom="0" w:gutter="0" w:footer="0" w:header="0"/>
        </w:sectPr>
      </w:pPr>
    </w:p>
    <w:bookmarkStart w:id="20" w:name="page21"/>
    <w:bookmarkEnd w:id="20"/>
    <w:p>
      <w:pPr>
        <w:spacing w:after="0" w:line="23"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 Systems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78,553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75,630</w:t>
            </w: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Battery &amp; Energy Products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22,813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 Systems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31,165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Operating Income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7,368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Before Taxes</w:t>
            </w:r>
          </w:p>
        </w:tc>
        <w:tc>
          <w:tcPr>
            <w:tcW w:w="7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6,771</w:t>
            </w: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 Attributable to Ultralife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5,232</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5,205</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Ultralife Common Shares – Basic</w:t>
            </w:r>
          </w:p>
        </w:tc>
        <w:tc>
          <w:tcPr>
            <w:tcW w:w="10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6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Attributable to Ultralife Common Shares – Diluted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0.32</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15,902,108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15,782,583</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16,095,676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16,179,119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Total revenues for the year ended December 31, 2020 amounted to $107,712, an increase of $917, or 0.9% from the $106,795 reported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2019.</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Battery &amp; Energy Products revenues increased $7,911, or 9.4%, for the year ended December 31, 2020 as compared to the prior year. Commercial revenues of this business increased 4.4% from 2019 and now comprise 67.8% of total segment sales versus 71.1% last year. The year-over-year increase primarily resulted from a $13,380 increase in battery sales to medical customers largely driven by an increase in demand for our batteries used in ventilators, respirators, infusion pumps and other medical devices attributable to COVID-19, partially offset by a $5,681 decrease in sales to oil and gas customers of our SWE operation due primarily to declining demand attributable to the effects of COVID-19 on the oil and gas market and a $5,051 sales decrease for other commercial industrial products primarily due to COVID-19. Government and defense sales of this business increased 21.6% from 2019 and now comprise 32.2% of total segment sales versus 28.9% last year. The increase primarily reflects higher demand from a large global defense contractor and the shipment of our legacy 5390 batteries to complete a firm fixed price delivery order received in December 2019.</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Communications Systems revenues decreased $6,994 or 30.7% for the year ended December 31, 2020 as compared to the prior year. This decrease is primarily attributable to higher 2019 shipments of Mounted Power Amplifiers and Vehicle Amplifier-Adaptor systems to support the U.S. Army’s Network Modernization and other initiatives under the delivery orders announced in October 2018, and shipments of Universal Vehicle Adaptors under an indefinite-delivery/indefinite-quantity contract with the Naval Air Warfare Center Aircraft Division announced in June 2019. Approximately 71% of the products provided for in these contracts were shipped in 2019 with the remainder shipped in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order backlog at December 31, 2020 was $39,292, a decrease of $3,266 or 7.7% from the backlog at December 31, 2019 which was $42,558. For our Battery &amp; Energy Products business, the backlog decreased $1,142 or 3.2% to $34,602 from $35,744. The decrease primarily resulted from the 2020 completion of the December 2019 legacy BA-5390 delivery contract received from the Defense Logistics Agency in December 2019, partially offset by the continuing demand for batteries for medical devices. The 2020 year-end backlog is related to orders that are expected to ship throughout 2021 and does not include future shipments under the indefinite delivery/indefinite quantity Defense Logistic Awards for our BA-5390 batteries ($21,400) and BA-5790/BA-5795 batteries ($49,800). For our Communications Systems business, the backlog decreased $2,124 or 31.2% to $4,690 from $6,814. The decrease is primarily a result of the completion of shipments in 2020 under two October 2018 contract awards totaling $19,200 to supply our Vehicle Amplifier-Adaptors (“VAA”) and Mounted Power Amplifiers to a large global defense contractor to support the U.S. Army’s Network Modernization initiatives, Leader Radio Program and other opportunities that were included in our 2019 backlog. The 2020 year-end backlog is related to orders that are expected to ship throughout 2021.</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Cost of Products Sold and Gross Profit. </w:t>
      </w:r>
      <w:r>
        <w:rPr>
          <w:rFonts w:ascii="Arial" w:cs="Arial" w:eastAsia="Arial" w:hAnsi="Arial"/>
          <w:sz w:val="16"/>
          <w:szCs w:val="16"/>
          <w:color w:val="auto"/>
        </w:rPr>
        <w:t>Cost of products sold for the year ended December 31, 2020 increased $2,923 or 3.9% from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2019. Consolidated cost of products sold as a percentage of total revenue increased from 70.8% for the year ended December 31, 2019 to 72.9% for the year ended December 31, 2020. Correspondingly, consolidated gross margin was 27.1% for the year ended December 31, 2020, compared with 29.2% for the year ended December 31, 2019. The 210-basis point decline in gross margin is due primarily to costs incurred for the transition of new products to high volume production in 2020 and incremental costs associated with COVID-19 including an approximately one-month shutdown of our China operation as mandated by the Chinese government and supply chain and logistics disruptions, partially offset by improved efficiencies and productivity in the production of vehicle amplifier-adaptor systems to fulfill U.S. Army orders for our Communications Systems business.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our Battery &amp; Energy Products segment, the cost of products sold increased $7,324 or 12.0%, from the year ended December 31, 2019. Battery &amp; Energy Products’ gross profit for 2020 was $23,400 or 25.5% of revenues, an increase of $587 or 2.6% from gross profit of $22,813, or 27.2% of revenues, for 2019. Battery &amp; Energy Products’ gross margin decreased for the year ended December 31, 2020 by 170 basis points from the prior year to 25.5%, reflecting costs associated with the transition of new products to higher volume production and incremental costs associated with COVID-19 including an approximately one-month shutdown of our China operation as mandated by the Chinese government and supply chain and logistics disruptions.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our Communications Systems segment, the cost of products sold decreased by $4,401 or 30.5% from the year ended December 31, 2019. Communications Systems’ gross profit for the year ended December 31, 2020 was $5,759 or 36.4% of revenues, a decrease of $2,593 or 31.0% from gross profit of $8,352 or 36.6% of revenues, for the year ended December 31, 2019. The 20 basis points decrease in gross margin during 2020 to 36.4% is primarily due to sales mix between years, predominantly higher sales of VAA systems to fulfill U.S. Army orders in 2019.</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year ended December 31, 2020 decreased $339 or 1.4% from the year ended December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This decrease was due primarily to the timing of testing of new products and a realignment of some of the SWE engineering and technical resources to</w:t>
      </w:r>
    </w:p>
    <w:p>
      <w:pPr>
        <w:sectPr>
          <w:pgSz w:w="11900" w:h="16861" w:orient="portrait"/>
          <w:cols w:equalWidth="0" w:num="1">
            <w:col w:w="11240"/>
          </w:cols>
          <w:pgMar w:left="320" w:top="140" w:right="339" w:bottom="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support manufacturing including the short cycle turnaround for a medical battery pack supporting a respirator application to serve the COVID-19 response.</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Overall, operating expenses as a percentage of revenues was 21.8% for the year ended December 31, 2020 compared to 22.3% for the comparable 2019 period. Amortization expense associated with intangible assets related to our acquisitions increased to $595 for the year ended December 31, 2020 ($471 in selling, general and administrative expenses and $124 in research and development costs) from $525 for the year ended December 31, 2019 ($395 in selling, general and administrative expenses and $130 in research and development costs). This increase was due to our acquisition of SWE in May 2019. Research and development costs were $5,947 in 2020, a decrease of $858 or 12.6%, from $6,805 reported in 2019. This decrease was primarily due to the timing of testing of new products and a realignment of some of the SWE engineering and technical resources to support manufacturing including the short cycle turnaround for a medical battery pack supporting a respirator application to serve the COVID-19 response. Selling, general, and administrative expenses increased $519 or 3.1%, to $17,511 for the year ended December 31, 2020 from $16,992 for the year ended December 31, 2019. The increase is attributable to the inclusion of SWE results for the full 2020 year as compared to eight months for the comparable 2019 period and the hiring of an experienced sales and business development resource. We continued tight control over discretionary spending across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totaled $1,322 for the year ended December 31, 2020 compared to expense of $597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primarily reflecting a $1,593 litigation gain (net of fees) recognized upon resolution of Ultralife’s claim in a class action lawsuit in December 2020. Interest and financing expense, net of interest income, decreased $103 to $436 for 2020 from $539 for 2019 due to a 91% reduction of debt, from $17,316 at year-end 2019 to $1,474 at year-end 2020, related to our acquisition of SWE in May 2019. Miscellaneous income amounted to $165 for 2020 compared to an expense of $58 for 2019, primarily due to transactions impacted by foreign currency fluctuation between the U.S. dollar, pound sterling and euro.</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income tax provision was $1,692 for the year-ended December 31, 2020 compared to $1,457 for the year-ended December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Our effective tax rate increased to 24.1% for 2020 as compared to 21.5% for 2019, primarily due to a greater level of discrete tax benefits realized in 2019 on disqualifying dispositions of incentive stock options exercised by employees and the geographic mix of earnings. The income tax provision for the 2020 period is comprised of a $306 current provision for taxes expected to be paid on income from our foreign operations, representing a cash-based effective tax rate of 4.4%, and a $1,386 deferred tax provision which primarily represents non-cash charges for U.S. taxes which we expect will be fully offset by net operating loss carryforwards and other tax credits for the foreseeable future. For the 2019 period, the income tax provision was comprised of an $221 current tax provision, representing a cash-based effective tax rate of 3.3%, and a non-cash $1,236 deferred provision for taxes.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Net Income Attributable to Ultralife</w:t>
      </w:r>
      <w:r>
        <w:rPr>
          <w:rFonts w:ascii="Arial" w:cs="Arial" w:eastAsia="Arial" w:hAnsi="Arial"/>
          <w:sz w:val="16"/>
          <w:szCs w:val="16"/>
          <w:color w:val="auto"/>
        </w:rPr>
        <w:t>. Net income attributable to Ultralife was $5,232 for 2020 and $5,205 for 2019. Net income attributable to Ultralife</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shareholders per diluted share was $0.33 for 2020 compared to $0.32 for 2019. Reflecting the use of net operating losses and tax credits on U.S. generated income, adjusted earnings per diluted share was $0.41 for 2020 compared to $0.40 for 2019. Adjusted EPS excludes the provision for deferred income taxes which represents non-cash charges of $1,386 and $1,236 for the 2020 and 2019 periods, respectively, for income taxes which will be fully offset by deferred tax assets including past U.S. net operating losses and tax credit carryforwards. See the section “Adjusted EPS” on page 34 for a reconciliation of Adjusted EPS to EPS. The net adverse impact of COVID-19 on Adjusted EPS for 2020 was approximately $0.16. Weighted average common shares outstanding used to compute diluted earnings per share decreased from 16,179,119 for the 2019 period to 16,095,676 for the 2020 period, mainly due to a decrease in the weighted average stock price used to compute diluted shares from $9.05 for 2019 to $6.79 for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evaluating our business, we consider and use Adjusted EBITDA, a non-GAAP financial measure, as a supplemental measure of our operating performance. We define Adjusted EBITDA as net income attributable to Ultralife before net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also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attributable to Ultralife, the most comparable financial measure under GAAP.</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GAAP financial measures such as operating income.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GAAP. Some of these limitations include, but are not limited to, the following:</w:t>
      </w:r>
    </w:p>
    <w:p>
      <w:pPr>
        <w:spacing w:after="0" w:line="171" w:lineRule="exact"/>
        <w:rPr>
          <w:sz w:val="20"/>
          <w:szCs w:val="20"/>
          <w:color w:val="auto"/>
        </w:rPr>
      </w:pPr>
    </w:p>
    <w:p>
      <w:pPr>
        <w:jc w:val="both"/>
        <w:ind w:left="1080" w:hanging="316"/>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w:t>
      </w:r>
    </w:p>
    <w:p>
      <w:pPr>
        <w:sectPr>
          <w:pgSz w:w="11900" w:h="16838" w:orient="portrait"/>
          <w:cols w:equalWidth="0" w:num="1">
            <w:col w:w="11240"/>
          </w:cols>
          <w:pgMar w:left="320" w:top="125" w:right="339" w:bottom="0" w:gutter="0" w:footer="0" w:header="0"/>
        </w:sectPr>
      </w:pPr>
    </w:p>
    <w:bookmarkStart w:id="22" w:name="page23"/>
    <w:bookmarkEnd w:id="22"/>
    <w:p>
      <w:pPr>
        <w:ind w:left="1080"/>
        <w:spacing w:after="0" w:line="277" w:lineRule="auto"/>
        <w:rPr>
          <w:sz w:val="20"/>
          <w:szCs w:val="20"/>
          <w:color w:val="auto"/>
        </w:rPr>
      </w:pPr>
      <w:r>
        <w:rPr>
          <w:rFonts w:ascii="Arial" w:cs="Arial" w:eastAsia="Arial" w:hAnsi="Arial"/>
          <w:sz w:val="18"/>
          <w:szCs w:val="18"/>
          <w:color w:val="auto"/>
        </w:rPr>
        <w:t>interest or principal payments, on our debt; (4) income taxes or the cash requirements for any tax payments; and (5) all of the costs associated with operating our business;</w:t>
      </w:r>
    </w:p>
    <w:p>
      <w:pPr>
        <w:spacing w:after="0" w:line="170" w:lineRule="exact"/>
        <w:rPr>
          <w:sz w:val="20"/>
          <w:szCs w:val="20"/>
          <w:color w:val="auto"/>
        </w:rPr>
      </w:pPr>
    </w:p>
    <w:p>
      <w:pPr>
        <w:ind w:left="1080" w:hanging="316"/>
        <w:spacing w:after="0" w:line="308"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080" w:hanging="316"/>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3" w:lineRule="exact"/>
        <w:rPr>
          <w:rFonts w:ascii="Arial" w:cs="Arial" w:eastAsia="Arial" w:hAnsi="Arial"/>
          <w:sz w:val="18"/>
          <w:szCs w:val="18"/>
          <w:color w:val="auto"/>
        </w:rPr>
      </w:pPr>
    </w:p>
    <w:p>
      <w:pPr>
        <w:ind w:left="1080" w:hanging="316"/>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200" w:lineRule="exact"/>
        <w:rPr>
          <w:sz w:val="20"/>
          <w:szCs w:val="20"/>
          <w:color w:val="auto"/>
        </w:rPr>
      </w:pP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7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Ultralife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5,205</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Add:</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w:t>
            </w: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1,692</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1,457</w:t>
            </w: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2,220</w:t>
            </w: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Amortization of intangible assets and financing fees</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646</w:t>
            </w:r>
          </w:p>
        </w:tc>
        <w:tc>
          <w:tcPr>
            <w:tcW w:w="10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569</w:t>
            </w: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753</w:t>
            </w: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Gain on litigation settlement</w:t>
            </w: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(1,593)</w:t>
            </w:r>
          </w:p>
        </w:tc>
        <w:tc>
          <w:tcPr>
            <w:tcW w:w="10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purchase accounting adjustments</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r>
      <w:tr>
        <w:trPr>
          <w:trHeight w:val="20"/>
        </w:trPr>
        <w:tc>
          <w:tcPr>
            <w:tcW w:w="56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Adjusted EBIDTA</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9,696</w:t>
            </w:r>
          </w:p>
        </w:tc>
        <w:tc>
          <w:tcPr>
            <w:tcW w:w="16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11,007</w:t>
            </w:r>
          </w:p>
        </w:tc>
      </w:tr>
      <w:tr>
        <w:trPr>
          <w:trHeight w:val="20"/>
        </w:trPr>
        <w:tc>
          <w:tcPr>
            <w:tcW w:w="5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EPS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evaluating our business, we consider and use Adjusted EPS, a non-GAAP financial measure, as a supplemental measure of our business performance in addition to GAAP financial measures. We define Adjusted EPS as net income attributable to Ultralife Corporation excluding the provision for deferred taxes divided by our weighted average shares outstanding on both a basic and diluted basis. We believe that this information is useful in providing period-to-period comparisons of our results by reflecting the portion of our tax provision that we expect will be offset by our U.S. net operating loss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attributable to Ultralife.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Adjusted EPS is calculated as follows for the periods presented: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91"/>
              </w:rPr>
              <w:t>Year Ended December 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6"/>
              </w:rPr>
              <w:t>Per</w:t>
            </w:r>
          </w:p>
        </w:tc>
        <w:tc>
          <w:tcPr>
            <w:tcW w:w="140" w:type="dxa"/>
            <w:vAlign w:val="bottom"/>
          </w:tcPr>
          <w:p>
            <w:pPr>
              <w:spacing w:after="0"/>
              <w:rPr>
                <w:sz w:val="16"/>
                <w:szCs w:val="16"/>
                <w:color w:val="auto"/>
              </w:rPr>
            </w:pPr>
          </w:p>
        </w:tc>
        <w:tc>
          <w:tcPr>
            <w:tcW w:w="10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6"/>
              </w:rPr>
              <w:t>Per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6"/>
              </w:rPr>
              <w:t>Per</w:t>
            </w:r>
          </w:p>
        </w:tc>
        <w:tc>
          <w:tcPr>
            <w:tcW w:w="180" w:type="dxa"/>
            <w:vAlign w:val="bottom"/>
          </w:tcPr>
          <w:p>
            <w:pPr>
              <w:spacing w:after="0"/>
              <w:rPr>
                <w:sz w:val="16"/>
                <w:szCs w:val="16"/>
                <w:color w:val="auto"/>
              </w:rPr>
            </w:pPr>
          </w:p>
        </w:tc>
        <w:tc>
          <w:tcPr>
            <w:tcW w:w="94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6"/>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Basic</w:t>
            </w: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Diluted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3"/>
              </w:rPr>
              <w:t>Basic</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Diluted</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Share</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attributable to Ultralife</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5,232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Deferred tax provision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1,386</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net income attributable to</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6,618</w:t>
            </w: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0.42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0.41</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6,416</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0.41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Ultralife Corporation</w:t>
            </w:r>
          </w:p>
        </w:tc>
        <w:tc>
          <w:tcPr>
            <w:tcW w:w="16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15,902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16,096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15,783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16,179</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and General Business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cash totaled $10,653 (including restricted cash of $91), an increase of $3,248, or 44%, from the beginning of the year, primarily attributable to net cash provided by operating activities, partially offset by a $15,842 reduction of debt drawn in connection with our acquisition of SWE in May 2019.</w:t>
      </w:r>
    </w:p>
    <w:p>
      <w:pPr>
        <w:sectPr>
          <w:pgSz w:w="11900" w:h="16838" w:orient="portrait"/>
          <w:cols w:equalWidth="0" w:num="1">
            <w:col w:w="11240"/>
          </w:cols>
          <w:pgMar w:left="320" w:top="125" w:right="339" w:bottom="105" w:gutter="0" w:footer="0" w:header="0"/>
        </w:sectPr>
      </w:pPr>
    </w:p>
    <w:bookmarkStart w:id="23" w:name="page24"/>
    <w:bookmarkEnd w:id="23"/>
    <w:p>
      <w:pPr>
        <w:spacing w:after="0" w:line="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year ended December 31, 2020, we generated $21,720 from our operations, as compared to a net use of $2,970 in operations for the year ended December 31, 2019. In 2020, cash generated from operating activities was attributable to net income of $5,331, a deferred tax provision of $1,386, non-cash expenses of depreciation, amortization, and stock-based compensation totaling $3,929, and a $12,667 reduction in net working capital, partially offset by a gain of $1,593 recognized upon resolution of Ultralife’s claim in a class action lawsuit. The working capital reduction is primarily due to a reduction in accounts receivable largely driven by collections on prior year shipments on a large global defense prime contract.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used in financing activities for the year ended December 31, 2020 was $15,694, primarily for the paydown of a substantial portion of the remaining debt outstanding in connection with our 2019 acquisition of SWE. For the year ended December 31, 2019, cash generated from financing activities was $16,124, which primarily represented debt incurred in connection with the SWE acquisition, including $18,182 in borrowing drawn on our Credit Facilities, less $866 of Term Loan principal payments and debt issuance costs totaling $157. In 2020 and 2019, we received $148 and $922, respectively, in proceeds from the issuance of common stock on stock option exercises by our employees, net of tax withholdings. In 2019, we spent $1,957 (including fees and commissions) to repurchase shares of our common stock under the Company’s Share Repurchase Program, which commenced on November 1, 2018 and ended on October 31, 2019.</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was $2,981 for the year ended December 31, 2020, primarily attributable to capital expenditures. For the year ended December 31, 2019, cash used in investing activities was $31,529, which was attributable to our acquisition of SWE and $6,281 of capital expenditures. The year over year decrease in capital expenditures is primarily due to completion of strategic projects for improving and broadening our thionyl chloride products and automation equipment for cell production for our Battery and Energy Products business.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continue to have significant U.S. net operating loss carryforwards available to utilize as an offset to taxable income. As of December 31, 2020, none of our U.S. net operating loss carryforwards have expired. See Note 8 to the consolidated financial statements for additional information.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Going forward, we expect positive operating cash flow and the availability under our Revolving Credit Facility will be sufficient to meet our obligations for both financing and investing.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1, 2019, in connection with financing the SWE acquisition (see Note 2 to the consolidated financial statements), the Company drew down $8,000 on its Term Loan Facility and $6,782 under its Revolving Credit Facility. As of December 31, 2019, the Company had $7,134 outstanding principal on the Term Loan Facility, of which $1,372 was due to be paid over the next twelve months, and $10,182 outstanding principal on the Revolving Credit Facility. As of December 31, 2020, the Company had paid the full amount outstanding on the Revolving Credit Facility and reduced the outstanding principal balance on the Term Loan Facility to $1,474. The Company is in full compliance with its debt covenants under the Credit Facilities.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had made commitments to purchase approximately $873 of production machinery and equipment.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manufacture or workmanship for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above discussion and analysis of our financial condition and results of operations are based upon our consolidated financial statements, which have been prepared in accordance with GAAP. The preparation of our consolidated financial statements requires the application of accounting policies and the use of estimates. The accounting policies most important to the preparation of the consolidated financial statements and estimates that require management’s most difficult, subjective or complex judgments are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Revenue is measured as the amount of consideration we expect to receive in exchange for shipped product. Sales, value-added and other taxes billed and collected from customers are excluded from revenue. Customers, including distributors, do not have a general right of return. For products shipped under vendor managed inventory arrangements, revenue is recognized and billed when the product is consumed by the customer, at which point control has transferred and there are no further obligations by the Company.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contracts with customers generally have an original expected duration of less than one year. Pursuant to Topic 606, we have applied the practical expedient with respect to disclosure of the deferral and future expected timing of revenue recognition for transaction price allocated to remaining performance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Valuation of Inventory: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Inventories are stated at the lower of cost or net realizable value, with cost determined using the first-in, first-out (“FIFO”) method. Our inventory includes raw materials, work in process and finished goods. We recognize provisions for excess, obsolete or slow-moving inventory. Inherent in our estimates of net realizable value in determining inventory valuation are assumptions related to expectations of future demand for our products, product lifecycles, product support, technical obsolescence, regulatory requirements, and economic and market conditions. Estimates related to the valuation of inventory are</w:t>
      </w:r>
    </w:p>
    <w:p>
      <w:pPr>
        <w:sectPr>
          <w:pgSz w:w="11900" w:h="16855" w:orient="portrait"/>
          <w:cols w:equalWidth="0" w:num="1">
            <w:col w:w="11240"/>
          </w:cols>
          <w:pgMar w:left="320" w:top="125" w:right="339" w:bottom="0" w:gutter="0" w:footer="0" w:header="0"/>
        </w:sectPr>
      </w:pPr>
    </w:p>
    <w:bookmarkStart w:id="24" w:name="page25"/>
    <w:bookmarkEnd w:id="24"/>
    <w:p>
      <w:pPr>
        <w:jc w:val="both"/>
        <w:spacing w:after="0" w:line="308" w:lineRule="auto"/>
        <w:rPr>
          <w:sz w:val="20"/>
          <w:szCs w:val="20"/>
          <w:color w:val="auto"/>
        </w:rPr>
      </w:pPr>
      <w:r>
        <w:rPr>
          <w:rFonts w:ascii="Arial" w:cs="Arial" w:eastAsia="Arial" w:hAnsi="Arial"/>
          <w:sz w:val="17"/>
          <w:szCs w:val="17"/>
          <w:color w:val="auto"/>
        </w:rPr>
        <w:t>susceptible to changes as the underlying assumptions are continuously evaluated. If our assumptions are adversely different from those estimated by management, inventory adjustments to reduce inventory values would result in an increase in inventory write-offs and a decrease in gross margins.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Indefinite Lived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acquisition method of accounting,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We do not amortize goodwill and other intangible assets with indefinite lives, but instead evaluate these assets for impairment at least annually and whenever events or circumstances indicate that impairment may exist.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annual impairment test for goodwill consists of a comparison of the estimated fair value for each reporting unit to which goodwill is assigned to the carrying value of the respective reporting unit. The annual impairment test for the other intangible assets with an indefinite life consists of a comparison of the estimated fair value of each asset to the carrying value of the respective asset. If the estimated fair value of a reporting unit or other indefinite-lived intangible asset exceeds its respective carrying value, the goodwill or indefinite-lived intangible asset is considered not impaired. If carrying value of a reporting unit or indefinite-lived intangible asset exceeds its estimated fair value, the excess carrying value of the respective goodwill or indefinite-lived intangible asset is recognized as an impairment loss.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conducted our annual impairment test for goodwill and other indefinite-lived intangible assets as of October 1, 2020. We identified five goodwill reporting units and four indefinite-lived intangible assets. We performed a quantitative impairment assessment of each goodwill reporting unit and indefinite-lived intangible asset. The estimated fair value of each reporting unit was determined using a discounted cash flow model. The estimated fair value of each indefinite-lived intangible asset was determined using other income-based valuation models. Significant estimates and assumptions were used to estimate fair value, including our internal operating and cash flow forecasts, excess working capital requirements, and inputs to the weighted-average cost of capital used to discount future cash flows. Other key assumptions used to value the trademarks and customer relationships included royalty rates and attrition rates, respectively. The significant estimates and assumptions used in these valuations are subject to judgment based on sources utilized and the assessment of risks related to our internal forecasts. Based on the results of our impairment test, and consideration of qualitative factors, no impairments were identified. Estimated fair value exceeded carrying value for all reporting units and other indefinite-lived intangible assets by more than 10%. There is a possibility that our goodwill and other intangible assets could be impaired in the future should there be a significant change in the significant estimates and assumptions used in our impairment assessment.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assess our long-lived assets for impairment whenever events or circumstances indicate their carrying amounts may not be recoverable. This is accomplished by comparing the expected undiscounted future cash flows of the assets with the respective carrying amount as of the date of assessment. Should aggregate undiscounted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is an industry-based weighted average cost of capital. If the expected undiscounted future cash flows exceed the respective carrying amount as of the date of assessment, no impairment charge is recognized.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a valuation allowance is recognized when the realizability of deferred tax assets is not more likely than not, on the basis of all available evidence, both positive and negative, weighted based on objective verifiability.</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we concluded that it is more likely than not that our U.S. deferred tax assets will be fully realized on the basis of management’s assessment. In evaluating the realizability of our U.S. deferred tax assets, management considered all available evidence and concluded that positive factors, including our sustained profitability and continued improvement in our ability to achieve internal earnings forecasts, outweighed all negative factors, including our history of operating losses (prior to 2015) and historical operating volatility. Our assessment also considered our ability to fully utilize before expiration our domestic net operating loss carryforwards, which expire 2021 thru 2035, and our general business tax credit carryforwards, which expire 2028 thru 2039. As of December 31, 2020, our domestic net operating loss carryforwards and general business tax credits were $47,755 and $2,070, respectively.</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December 31, 2020, for certain past operations in the U.K., we continue to report a valuation allowance for net operating loss carryforwards of approximately $11,000, nearly all of which can be carried forward indefinitely. Management has concluded that utilization of the U.K. net operating losses may be limited due to the change in the past U.K. operation, and that they cannot currently be used to reduce taxable income of our other U.K. subsidiary, Accutronics Ltd. As of December 31, 2020, we have not recognized a valuation allowance against our other foreign deferred tax assets, as we believe that it is more likely than not that they will be realized. We will continue to evaluate the realizability of our deferred tax assets in future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compensation cost relating to share-based payment transactions in our financial statements. The cost is measured at the grant date, based on the estimated fair value of the award, and is recognized as an expense over the employee’s requisite service period (generally the vesting period of the equity award). We calculate implied volatility for stock options based on an average of historical volatility over the expected life of the awards. The computation of expected term is determined based on historical experience of similar awards, giving consideration to the contractual terms of the awards and the vesting period. The interest rate for periods within the contractual life of the award is based on the U.S. Treasury yield in effect at the time of grant. Our awards are generally valued using the Black-Scholes method. If required, our market-based awards are valued using a Monte Carlo simulation.</w:t>
      </w:r>
    </w:p>
    <w:p>
      <w:pPr>
        <w:sectPr>
          <w:pgSz w:w="11900" w:h="16838" w:orient="portrait"/>
          <w:cols w:equalWidth="0" w:num="1">
            <w:col w:w="11240"/>
          </w:cols>
          <w:pgMar w:left="320" w:top="125" w:right="33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Business Combinations: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account for businesses acquired using the acquisition method of accounting. Under this method, all acquisition-related costs are expensed as incurred, and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As part of this process, we identify and attribute values and estimated lives to property and equipment and intangible assets acquired. These determinations involve significant estimates and assumptions, including those with respect to future cash flows, discount rates and asset lives, and therefore require considerable judgment. These determinations affect the amount of depreciation and amortization expense recognized in future periods. The results of operations of acquired businesses are included in the consolidated statements of income and comprehensive income beginning on the respective acquisition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Warranties: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generally offer standard warranties against product defects. We do not offer separate service-type warranties. We estimate future warranty costs to be incurred for product failure rates, material usage and service costs in the development of our warranty obligations. Estimated future costs and related reserves are based on actual past experience and are generally estimated as a percentage of sales over the warranty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Environmental Issues: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Environmental expenditures, if any, that relate to current operations, are generally expensed. Remediation costs that relate to an existing condition caused by past operations are accrued when it is probable that these costs will be incurred and can be reasonably estimated.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40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80" w:type="dxa"/>
            <w:vAlign w:val="bottom"/>
            <w:gridSpan w:val="3"/>
          </w:tcPr>
          <w:p>
            <w:pPr>
              <w:spacing w:after="0"/>
              <w:rPr>
                <w:sz w:val="20"/>
                <w:szCs w:val="20"/>
                <w:color w:val="auto"/>
              </w:rPr>
            </w:pPr>
            <w:r>
              <w:rPr>
                <w:rFonts w:ascii="Arial" w:cs="Arial" w:eastAsia="Arial" w:hAnsi="Arial"/>
                <w:sz w:val="18"/>
                <w:szCs w:val="18"/>
                <w:color w:val="auto"/>
              </w:rPr>
              <w:t>The financial statements and schedules listed in Item 15(a)(1) are included in this Report beginning on page 43.</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80"/>
              </w:rPr>
              <w:t>Page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96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Consolidated Balance Sheets as of December 31, 2020 and 2019</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Consolidated Statements of Income and Comprehensive Income for the years ended December 31, 2020 and 2019</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Consolidated Statements of Changes in Shareholders' Equity for the years ended December 31, 2020 and 2019</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Consolidated Statements of Cash Flows for the years ended December 31, 2020 and 2019</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to Consolidated Financial Statements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0" w:type="dxa"/>
            <w:vAlign w:val="bottom"/>
          </w:tcPr>
          <w:p>
            <w:pPr>
              <w:ind w:left="476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Ultralife Corporation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 xml:space="preserve">We have audited the accompanying consolidated balance sheets of Ultralife Corporation (the Company) and its subsidiaries as of December 31, 2020 and 2019, and the related consolidated statements of income and comprehensive income, changes in shareholders' equity and cash flows for the years then ended, and the related notes to the consolidated financial statements (collectively, the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in 2013.</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w:t>
      </w:r>
    </w:p>
    <w:p>
      <w:pPr>
        <w:sectPr>
          <w:pgSz w:w="11900" w:h="16838" w:orient="portrait"/>
          <w:cols w:equalWidth="0" w:num="1">
            <w:col w:w="11240"/>
          </w:cols>
          <w:pgMar w:left="320" w:top="125" w:right="339" w:bottom="0" w:gutter="0" w:footer="0" w:header="0"/>
        </w:sectPr>
      </w:pPr>
    </w:p>
    <w:bookmarkStart w:id="26" w:name="page27"/>
    <w:bookmarkEnd w:id="26"/>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 for excess, obsolete, and slow-moving inventory reserve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Notes 1 and 5 to the financial statements, inventories are stated at the lower of cost or net realizable value with cost determined under the first-in, first-out method. The Company records provisions for excess, obsolete, and slow-moving inventory based on changes in customer demand, technology developments or other economic factors. The excess, obsolete, and slow-moving inventory reserve serves to reduce the Company’s inventory balance through a charge to cost of products sold.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reserve for excess, obsolete, and slow-moving inventory is based upon assumptions related to expectations of future demand, product lifecycles, product support, technical obsolescence, regulatory requirements, and economic and market conditions. If the actual realization of excess, obsolete, and slow-moving inventory does not meet the Company’s assumptions future inventory adjustments would result in a decrease in gross margin. Due to the magnitude of the inventory and the subjectivity involved in estimating the reserve, we identified the evaluation of the reserve as a critical audit matter, which required a high degree of auditor judgment.</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Addressing the matter involved performing subjective procedures and evaluating audit evidence in connection with forming our overall opinion on the financial statements. The primary procedures we performed include, obtaining an understanding of the process and assumptions used by management to develop the reserve for excess, obsolete, and slow-moving inventory; testing the effectiveness of controls over management’s estimate of reserves for excess, obsolete, and slow-moving inventory; testing management’s calculation of the reserve for excess, obsolete, and slow-moving inventory by: testing the completeness and accuracy of the source information used, testing the mathematical accuracy of management’s calculations, evaluating the reasonableness and consistency of methodology and assumptions applied by management, and performing a retrospective review of the prior-year estimates used to identify potential bias of management judgements.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 Analysis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Notes 1 and 5 to the financial statements, the Company performs its goodwill impairment test on an annual basis as of October 1st or whenever events and changes in circumstances indicate that the carrying value of a reporting unit might exceed its fair value. For each reporting unit the Company performed a quantitative test, which compares the fair value of the reporting unit to the carrying value of the respective reporting unit. The Company has identified five goodwill reporting units.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determines fair value of the respective reporting units using a discounted cash flow model. Significant estimates and judgements used in this model include internal operating and cash flow forecasts, excess working capital requirements, and inputs to the weighted-average cost of capital used to discount future cash flows. Future revenue and operating cash flow forecasts, the development of the weighted average cost of capital used to discount the</w:t>
      </w:r>
    </w:p>
    <w:p>
      <w:pPr>
        <w:sectPr>
          <w:pgSz w:w="11900" w:h="16863" w:orient="portrait"/>
          <w:cols w:equalWidth="0" w:num="1">
            <w:col w:w="11240"/>
          </w:cols>
          <w:pgMar w:left="320" w:top="121" w:right="339" w:bottom="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future cash flows, and excess working capital requirements are subject to judgement based on sources utilized and the assessment of risks related to the cash flows. Due to the subjectivity involved with the assumptions used to determine the fair value of the reporting unit, we identified the goodwill impairment test as a critical audit matter, which required a high degree of auditor judgement.</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Addressing the matter involved performing subjective procedures and evaluating audit evidence in connection with forming our overall opinion on the financial statements. The primary procedures we performed include: obtaining an understanding of the process and assumptions used by management to perform the impairment test, testing the effectiveness of controls over management’s test for impairment, and testing management’s impairment calculation by: testing the completeness and accuracy of the source information used, testing the mathematical accuracy of management’s calculations, evaluating the reasonableness and consistency of methodology and assumptions applied by management, performing a retrospective review of the prior-year estimates used to identify potential bias of management judgements, and verifying certain third party data used by the Company in building their assumptions. Professionals with specialized skills and knowledge were used to assist in evaluating certain methodologies and assumptions used in the model and performing sensitivity analysis on various inputs.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Freed Maxick CPAs, P.C.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Rochester,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4,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10,653</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Trade accounts receivable, net of allowance for doubtful accounts of $317 and $324, respectively</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21,054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30,106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28,193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70,373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22,850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22,525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27,018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9,209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9,721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11,836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137,701</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144,557</w:t>
            </w:r>
          </w:p>
        </w:tc>
      </w:tr>
      <w:tr>
        <w:trPr>
          <w:trHeight w:val="197"/>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10,839</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long-term debt,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benefits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15,780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20,778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34,807</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 par value $.10 per share; authorized 40,000,000 shares; issued – 20,373,519 shares and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20,268,050 shares, respectively; outstanding – 15,959,984 shares and 15,866,868 shares, respectively</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Capital in excess of par value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185,464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184,292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(52,830)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(1,782)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(2,531)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 at cost; 4,413,535 shares and 4,401,182 shares, respectively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(21,231)</w:t>
            </w:r>
          </w:p>
        </w:tc>
      </w:tr>
      <w:tr>
        <w:trPr>
          <w:trHeight w:val="210"/>
        </w:trPr>
        <w:tc>
          <w:tcPr>
            <w:tcW w:w="800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Total Ultralife Corporation equity</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116,800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109,726</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116,923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109,750</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125" w:right="339" w:bottom="0" w:gutter="0" w:footer="0" w:header="0"/>
        </w:sectPr>
      </w:pPr>
    </w:p>
    <w:bookmarkStart w:id="28" w:name="page29"/>
    <w:bookmarkEnd w:id="28"/>
    <w:p>
      <w:pPr>
        <w:ind w:left="500"/>
        <w:spacing w:after="0"/>
        <w:tabs>
          <w:tab w:leader="none" w:pos="7980" w:val="left"/>
          <w:tab w:leader="none" w:pos="8860" w:val="left"/>
          <w:tab w:leader="none" w:pos="9660" w:val="left"/>
          <w:tab w:leader="none" w:pos="10520" w:val="left"/>
        </w:tabs>
        <w:rPr>
          <w:sz w:val="20"/>
          <w:szCs w:val="20"/>
          <w:color w:val="auto"/>
        </w:rPr>
      </w:pPr>
      <w:r>
        <w:rPr>
          <w:rFonts w:ascii="Arial" w:cs="Arial" w:eastAsia="Arial" w:hAnsi="Arial"/>
          <w:sz w:val="18"/>
          <w:szCs w:val="18"/>
          <w:color w:val="auto"/>
        </w:rPr>
        <w:t>Total liabilities and shareholders' equity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137,701</w:t>
        <w:tab/>
        <w:t>$</w:t>
      </w:r>
      <w:r>
        <w:rPr>
          <w:sz w:val="20"/>
          <w:szCs w:val="20"/>
          <w:color w:val="auto"/>
        </w:rPr>
        <w:tab/>
      </w:r>
      <w:r>
        <w:rPr>
          <w:rFonts w:ascii="Arial" w:cs="Arial" w:eastAsia="Arial" w:hAnsi="Arial"/>
          <w:sz w:val="16"/>
          <w:szCs w:val="16"/>
          <w:color w:val="auto"/>
        </w:rPr>
        <w:t>144,557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19888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88820" cy="2603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ULTRALIFE CORPORATION AND SUBSIDIARIES CONSOLIDATED STATEMENTS OF INCOME AND COMPREHENSIVE INCOME (Dollars in Thousands, Except Per 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ind w:left="26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107,712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106,795</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31,165</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5,947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6,805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23,458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23,797</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7,368</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litigation settlement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and financing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Miscellaneous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other (income) expense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6,771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5,314</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5,205</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5,981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5,460</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Net income per share attributable to Ultralife Corporation common shareholders – 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Net income per share attributable to Ultralife Corporation common shareholders –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15,902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15,783</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shares outstanding – Diluted</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16,096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16,179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ULTRALIFE CORPORATION AND SUBSIDIARIES CONSOLIDATED STATEMENTS OF CHANGES IN SHAREHOLDERS’ EQUITY (Dollars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19"/>
                <w:szCs w:val="19"/>
                <w:color w:val="auto"/>
              </w:rPr>
            </w:pPr>
          </w:p>
        </w:tc>
        <w:tc>
          <w:tcPr>
            <w:tcW w:w="2120" w:type="dxa"/>
            <w:vAlign w:val="bottom"/>
            <w:gridSpan w:val="5"/>
            <w:vMerge w:val="restart"/>
          </w:tcPr>
          <w:p>
            <w:pPr>
              <w:ind w:left="400"/>
              <w:spacing w:after="0"/>
              <w:rPr>
                <w:sz w:val="20"/>
                <w:szCs w:val="20"/>
                <w:color w:val="auto"/>
              </w:rPr>
            </w:pPr>
            <w:r>
              <w:rPr>
                <w:rFonts w:ascii="Arial" w:cs="Arial" w:eastAsia="Arial" w:hAnsi="Arial"/>
                <w:sz w:val="18"/>
                <w:szCs w:val="18"/>
                <w:color w:val="auto"/>
              </w:rPr>
              <w:t>Common stock</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9"/>
                <w:szCs w:val="19"/>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60" w:type="dxa"/>
            <w:vAlign w:val="bottom"/>
          </w:tcPr>
          <w:p>
            <w:pPr>
              <w:spacing w:after="0"/>
              <w:rPr>
                <w:sz w:val="18"/>
                <w:szCs w:val="18"/>
                <w:color w:val="auto"/>
              </w:rPr>
            </w:pPr>
          </w:p>
        </w:tc>
        <w:tc>
          <w:tcPr>
            <w:tcW w:w="2120" w:type="dxa"/>
            <w:vAlign w:val="bottom"/>
            <w:gridSpan w:val="5"/>
            <w:vMerge w:val="continue"/>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 excess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Non-</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120"/>
              <w:spacing w:after="0" w:line="195" w:lineRule="exact"/>
              <w:rPr>
                <w:sz w:val="20"/>
                <w:szCs w:val="20"/>
                <w:color w:val="auto"/>
              </w:rPr>
            </w:pPr>
            <w:r>
              <w:rPr>
                <w:rFonts w:ascii="Arial" w:cs="Arial" w:eastAsia="Arial" w:hAnsi="Arial"/>
                <w:sz w:val="18"/>
                <w:szCs w:val="18"/>
                <w:color w:val="auto"/>
                <w:w w:val="92"/>
              </w:rPr>
              <w:t>Number of</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1"/>
              </w:rPr>
              <w:t>of par</w:t>
            </w:r>
          </w:p>
        </w:tc>
        <w:tc>
          <w:tcPr>
            <w:tcW w:w="1320" w:type="dxa"/>
            <w:vAlign w:val="bottom"/>
            <w:gridSpan w:val="4"/>
          </w:tcPr>
          <w:p>
            <w:pPr>
              <w:jc w:val="center"/>
              <w:ind w:right="20"/>
              <w:spacing w:after="0" w:line="195" w:lineRule="exact"/>
              <w:rPr>
                <w:sz w:val="20"/>
                <w:szCs w:val="20"/>
                <w:color w:val="auto"/>
              </w:rPr>
            </w:pPr>
            <w:r>
              <w:rPr>
                <w:rFonts w:ascii="Arial" w:cs="Arial" w:eastAsia="Arial" w:hAnsi="Arial"/>
                <w:sz w:val="18"/>
                <w:szCs w:val="18"/>
                <w:color w:val="auto"/>
                <w:w w:val="90"/>
              </w:rPr>
              <w:t>comprehensive</w:t>
            </w:r>
          </w:p>
        </w:tc>
        <w:tc>
          <w:tcPr>
            <w:tcW w:w="80" w:type="dxa"/>
            <w:vAlign w:val="bottom"/>
          </w:tcPr>
          <w:p>
            <w:pPr>
              <w:spacing w:after="0"/>
              <w:rPr>
                <w:sz w:val="16"/>
                <w:szCs w:val="16"/>
                <w:color w:val="auto"/>
              </w:rPr>
            </w:pPr>
          </w:p>
        </w:tc>
        <w:tc>
          <w:tcPr>
            <w:tcW w:w="1120" w:type="dxa"/>
            <w:vAlign w:val="bottom"/>
            <w:gridSpan w:val="3"/>
          </w:tcPr>
          <w:p>
            <w:pPr>
              <w:spacing w:after="0" w:line="195"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0"/>
              </w:rPr>
              <w:t>Treasury</w:t>
            </w:r>
          </w:p>
        </w:tc>
        <w:tc>
          <w:tcPr>
            <w:tcW w:w="80" w:type="dxa"/>
            <w:vAlign w:val="bottom"/>
          </w:tcPr>
          <w:p>
            <w:pPr>
              <w:spacing w:after="0"/>
              <w:rPr>
                <w:sz w:val="16"/>
                <w:szCs w:val="16"/>
                <w:color w:val="auto"/>
              </w:rPr>
            </w:pPr>
          </w:p>
        </w:tc>
        <w:tc>
          <w:tcPr>
            <w:tcW w:w="1020" w:type="dxa"/>
            <w:vAlign w:val="bottom"/>
            <w:gridSpan w:val="3"/>
          </w:tcPr>
          <w:p>
            <w:pPr>
              <w:jc w:val="center"/>
              <w:ind w:right="140"/>
              <w:spacing w:after="0" w:line="195" w:lineRule="exact"/>
              <w:rPr>
                <w:sz w:val="20"/>
                <w:szCs w:val="20"/>
                <w:color w:val="auto"/>
              </w:rPr>
            </w:pPr>
            <w:r>
              <w:rPr>
                <w:rFonts w:ascii="Arial" w:cs="Arial" w:eastAsia="Arial" w:hAnsi="Arial"/>
                <w:sz w:val="18"/>
                <w:szCs w:val="18"/>
                <w:color w:val="auto"/>
                <w:w w:val="97"/>
              </w:rPr>
              <w:t>controlling</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Amount</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value</w:t>
            </w:r>
          </w:p>
        </w:tc>
        <w:tc>
          <w:tcPr>
            <w:tcW w:w="10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income (loss)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interest</w:t>
            </w:r>
          </w:p>
        </w:tc>
        <w:tc>
          <w:tcPr>
            <w:tcW w:w="80" w:type="dxa"/>
            <w:vAlign w:val="bottom"/>
          </w:tcPr>
          <w:p>
            <w:pPr>
              <w:spacing w:after="0"/>
              <w:rPr>
                <w:sz w:val="20"/>
                <w:szCs w:val="20"/>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Balance – December 31, 2018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20,053,335</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2,005</w:t>
            </w: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  182,630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(2,786)</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$ 104,463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Share repurchases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208,881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Stock-based compensation -</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Balance – December 31, 2019</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20,268,050</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184,292</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(52,830)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(21,231)</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109,750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92,968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838</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Stock-based compensation -</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7"/>
        </w:trPr>
        <w:tc>
          <w:tcPr>
            <w:tcW w:w="246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b w:val="1"/>
                <w:bCs w:val="1"/>
                <w:color w:val="auto"/>
                <w:w w:val="97"/>
              </w:rPr>
              <w:t>Balance – December 31, 2020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20,373,519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2,037</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185,464</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(1,782)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(47,598)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(21,321)</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116,923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60" w:type="dxa"/>
            <w:vAlign w:val="bottom"/>
          </w:tcPr>
          <w:p>
            <w:pPr>
              <w:spacing w:after="0"/>
              <w:rPr>
                <w:sz w:val="24"/>
                <w:szCs w:val="24"/>
                <w:color w:val="auto"/>
              </w:rPr>
            </w:pPr>
          </w:p>
        </w:tc>
        <w:tc>
          <w:tcPr>
            <w:tcW w:w="6720" w:type="dxa"/>
            <w:vAlign w:val="bottom"/>
            <w:gridSpan w:val="21"/>
          </w:tcPr>
          <w:p>
            <w:pPr>
              <w:jc w:val="right"/>
              <w:ind w:right="42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45</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5,331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5,314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2,220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Amortization of financing fees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Deferred income tax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litigation settlement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(10,416)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Inventories, gross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(3,319)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 reserves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(1,575)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 receivable and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 and other liabilities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21,720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(2,970)</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(6,281)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 of SWE, net of cash acquired</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(25,248)</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(31,529)</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Repayment of revolving credit facility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(10,182)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term loan facility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Paycheck Protection Program loan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Paycheck Protection Program loan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withholdings on stock-based awards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10,182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term loan facility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(1,957)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(15,694)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16,124</w:t>
            </w:r>
          </w:p>
        </w:tc>
      </w:tr>
      <w:tr>
        <w:trPr>
          <w:trHeight w:val="209"/>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140" w:right="3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10"/>
        </w:trPr>
        <w:tc>
          <w:tcPr>
            <w:tcW w:w="80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INCREASE (DECREASE) IN CASH</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(18,529)</w:t>
            </w:r>
          </w:p>
        </w:tc>
      </w:tr>
      <w:tr>
        <w:trPr>
          <w:trHeight w:val="216"/>
        </w:trPr>
        <w:tc>
          <w:tcPr>
            <w:tcW w:w="8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 Beginning of year</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25,934</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 End of year</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10,653</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7,405</w:t>
            </w:r>
          </w:p>
        </w:tc>
      </w:tr>
      <w:tr>
        <w:trPr>
          <w:trHeight w:val="196"/>
        </w:trPr>
        <w:tc>
          <w:tcPr>
            <w:tcW w:w="80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process in accounts payable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tcPr>
          <w:p>
            <w:pPr>
              <w:ind w:left="180"/>
              <w:spacing w:after="0" w:line="196" w:lineRule="exact"/>
              <w:rPr>
                <w:sz w:val="20"/>
                <w:szCs w:val="20"/>
                <w:color w:val="auto"/>
              </w:rPr>
            </w:pPr>
            <w:r>
              <w:rPr>
                <w:rFonts w:ascii="Arial" w:cs="Arial" w:eastAsia="Arial" w:hAnsi="Arial"/>
                <w:sz w:val="18"/>
                <w:szCs w:val="18"/>
                <w:color w:val="auto"/>
              </w:rPr>
              <w:t>Income taxes paid</w:t>
            </w:r>
          </w:p>
        </w:tc>
        <w:tc>
          <w:tcPr>
            <w:tcW w:w="540" w:type="dxa"/>
            <w:vAlign w:val="bottom"/>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264</w:t>
            </w:r>
          </w:p>
        </w:tc>
        <w:tc>
          <w:tcPr>
            <w:tcW w:w="600" w:type="dxa"/>
            <w:vAlign w:val="bottom"/>
            <w:gridSpan w:val="2"/>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266</w:t>
            </w:r>
          </w:p>
        </w:tc>
      </w:tr>
      <w:tr>
        <w:trPr>
          <w:trHeight w:val="20"/>
        </w:trPr>
        <w:tc>
          <w:tcPr>
            <w:tcW w:w="8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Interest paid</w:t>
            </w:r>
          </w:p>
        </w:tc>
        <w:tc>
          <w:tcPr>
            <w:tcW w:w="5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Operations and Significant Accounting Policies</w:t>
      </w:r>
    </w:p>
    <w:p>
      <w:pPr>
        <w:spacing w:after="0" w:line="22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in this annual report, unless otherwise indicated, the terms “we”, “our” and “us” refer to Ultralife Corporation (“Ultralife”) and includes our wholly-owned subsidiaries, ABLE New Energy Co., Limited and its wholly-owned subsidiary ABLE New Energy Co.; Ltd; Ultralife UK LTD and its wholly-owned subsidiary, Accutronics Ltd; Ultralife Batteries (UK) Ltd.; Southwest Electronic Energy Corporation and its wholly-owned subsidiary, CLB, INC.; and our majority-owned joint venture Ultralife Batteries India Private Limited.</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7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consolidated financial statements are prepared in accordance with generally accepted accounting principles in the United States (“GAAP”) and include the accounts of Ultralife Corporation, our wholly-owned subsidiaries, Ultralife Batteries (UK) Ltd., Ultralife UK LTD, and its wholly-owned subsidiary Accutronics Ltd, ABLE New Energy Co., Limited and its wholly-owned subsidiary ABLE New Energy Co., Ltd. (“ABLE” collectively), Southwest Electronic Energy Corporation and its wholly-owned subsidiary, CLB, INC. (“SWE” collectively), and our majority-owned subsidiary Ultralife Batteries India Private Limited (“India JV”). Intercompany accounts and transactions have been eliminated in consolidation.</w:t>
      </w:r>
    </w:p>
    <w:p>
      <w:pPr>
        <w:spacing w:after="0" w:line="17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Management's Use of Judgment and Estimates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year end and the reported amounts of revenues and expenses during the reporting period. Key areas affected by estimates include: (a) carrying value of goodwill and intangible assets; (b) reserves for excess and obsolete inventory, deferred tax assets, warranties, and bad debts; (c) valuation of assets acquired and liabilities assumed in business combinations; (d) various expense accruals; and (e) stock-based compensation. Our actual results could differ from these estimates.</w:t>
      </w:r>
    </w:p>
    <w:p>
      <w:pPr>
        <w:spacing w:after="0" w:line="17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items previously reported in specific financial statement captions are reclassified to conform to the current presentation. There were no material reclassifications for the years ended December 31, 2020 and 2019.</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e</w:t>
      </w: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Cash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cash balances may at times exceed federally insured limits. We have not experienced any losses in these accounts and believe we are not exposed to any significant risk with respect to cash.</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Accounts Receivable and Allowance for Doubtful Accounts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extend credit to our customers in the normal course of business. We perform ongoing credit evaluations and generally do not require collateral. Payment terms are generally 30 days. Trade accounts receivable are recorded at their invoiced amounts, net of allowance for doubtful accounts. We evaluate the adequacy of our allowance for doubtful accounts quarterly. Accounts outstanding for longer than contractual payment terms are considered past due and are reviewed for collectability. We maintain reserves for potential credit losses based upon our historical experience and the aging of specific receivables. Receivable balances are written off when collection is deemed unlikely.</w:t>
      </w:r>
    </w:p>
    <w:p>
      <w:pPr>
        <w:spacing w:after="0" w:line="18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Inventories are stated at the lower of cost or net realizable value with cost determined under the firstin, firstout (FIFO) method. We record provisions for excess, obsolete or slow-moving inventory based on changes in customer demand, technology developments or other economic factors.</w:t>
      </w:r>
    </w:p>
    <w:p>
      <w:pPr>
        <w:spacing w:after="0" w:line="14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are stated at cost. Depreciation and amortization are computed using the straight-line method over the estimated useful lives.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are as follows (in years):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1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10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31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5</w:t>
            </w:r>
          </w:p>
        </w:tc>
      </w:tr>
      <w:tr>
        <w:trPr>
          <w:trHeight w:val="202"/>
        </w:trPr>
        <w:tc>
          <w:tcPr>
            <w:tcW w:w="5380" w:type="dxa"/>
            <w:vAlign w:val="bottom"/>
            <w:shd w:val="clear" w:color="auto" w:fill="CCEEFF"/>
          </w:tcPr>
          <w:p>
            <w:pPr>
              <w:spacing w:after="0"/>
              <w:rPr>
                <w:sz w:val="17"/>
                <w:szCs w:val="17"/>
                <w:color w:val="auto"/>
              </w:rPr>
            </w:pPr>
          </w:p>
        </w:tc>
        <w:tc>
          <w:tcPr>
            <w:tcW w:w="3600" w:type="dxa"/>
            <w:vAlign w:val="bottom"/>
            <w:gridSpan w:val="3"/>
            <w:shd w:val="clear" w:color="auto" w:fill="CCEEFF"/>
          </w:tcPr>
          <w:p>
            <w:pPr>
              <w:ind w:left="2880"/>
              <w:spacing w:after="0" w:line="201" w:lineRule="exact"/>
              <w:rPr>
                <w:sz w:val="20"/>
                <w:szCs w:val="20"/>
                <w:color w:val="auto"/>
              </w:rPr>
            </w:pPr>
            <w:r>
              <w:rPr>
                <w:rFonts w:ascii="Arial" w:cs="Arial" w:eastAsia="Arial" w:hAnsi="Arial"/>
                <w:sz w:val="18"/>
                <w:szCs w:val="18"/>
                <w:color w:val="auto"/>
                <w:w w:val="94"/>
              </w:rPr>
              <w:t>Lesser of</w:t>
            </w:r>
          </w:p>
        </w:tc>
      </w:tr>
      <w:tr>
        <w:trPr>
          <w:trHeight w:val="216"/>
        </w:trPr>
        <w:tc>
          <w:tcPr>
            <w:tcW w:w="538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w w:val="91"/>
              </w:rPr>
              <w:t>useful</w:t>
            </w:r>
          </w:p>
        </w:tc>
        <w:tc>
          <w:tcPr>
            <w:tcW w:w="260" w:type="dxa"/>
            <w:vAlign w:val="bottom"/>
            <w:shd w:val="clear" w:color="auto" w:fill="CCEEFF"/>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34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w w:val="99"/>
              </w:rPr>
              <w:t>life or</w:t>
            </w:r>
          </w:p>
        </w:tc>
        <w:tc>
          <w:tcPr>
            <w:tcW w:w="260" w:type="dxa"/>
            <w:vAlign w:val="bottom"/>
            <w:shd w:val="clear" w:color="auto" w:fill="CCEEFF"/>
          </w:tcPr>
          <w:p>
            <w:pPr>
              <w:spacing w:after="0"/>
              <w:rPr>
                <w:sz w:val="18"/>
                <w:szCs w:val="18"/>
                <w:color w:val="auto"/>
              </w:rPr>
            </w:pPr>
          </w:p>
        </w:tc>
      </w:tr>
      <w:tr>
        <w:trPr>
          <w:trHeight w:val="216"/>
        </w:trPr>
        <w:tc>
          <w:tcPr>
            <w:tcW w:w="538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lease</w:t>
            </w:r>
          </w:p>
        </w:tc>
        <w:tc>
          <w:tcPr>
            <w:tcW w:w="260" w:type="dxa"/>
            <w:vAlign w:val="bottom"/>
            <w:shd w:val="clear" w:color="auto" w:fill="CCEEFF"/>
          </w:tcPr>
          <w:p>
            <w:pPr>
              <w:spacing w:after="0"/>
              <w:rPr>
                <w:sz w:val="18"/>
                <w:szCs w:val="18"/>
                <w:color w:val="auto"/>
              </w:rPr>
            </w:pPr>
          </w:p>
        </w:tc>
      </w:tr>
      <w:tr>
        <w:trPr>
          <w:trHeight w:val="230"/>
        </w:trPr>
        <w:tc>
          <w:tcPr>
            <w:tcW w:w="5380" w:type="dxa"/>
            <w:vAlign w:val="bottom"/>
            <w:shd w:val="clear" w:color="auto" w:fill="CCEEFF"/>
          </w:tcPr>
          <w:p>
            <w:pPr>
              <w:spacing w:after="0"/>
              <w:rPr>
                <w:sz w:val="20"/>
                <w:szCs w:val="20"/>
                <w:color w:val="auto"/>
              </w:rPr>
            </w:pPr>
          </w:p>
        </w:tc>
        <w:tc>
          <w:tcPr>
            <w:tcW w:w="334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term</w:t>
            </w:r>
          </w:p>
        </w:tc>
        <w:tc>
          <w:tcPr>
            <w:tcW w:w="2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Betterments, renewals and extraordinary repairs that extend the life of the assets are capitalized. Other repairs and maintenance costs are expensed when incurred. When disposed, the cost and accumulated depreciation applicable to assets retired are removed from the accounts and the gain or loss on disposition is recognized in operating income.</w:t>
      </w:r>
    </w:p>
    <w:p>
      <w:pPr>
        <w:spacing w:after="0" w:line="18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Long-Lived Assets, Goodwill and Intangibles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assess our long-lived assets for impairment whenever events or circumstances indicate that their carrying amounts may not be recoverable. For property, plant and equipment and amortizable intangible assets, this is accomplished by comparing the expected undiscounted future cash flows of the assets with the respective carrying amount as of the date of assessment. If the expected undiscounted future cash flows exceed the respective carrying amount as of the date of assessment, no impairment is recognized. Should aggregate undiscounted future cash flows be less than the carrying value, a write-down would be required, measured as the difference between the carrying value and the fair value of the asset. Fair value is estimated as the present value of expected discounted future cash flows. The discount rate used in our evaluation is an industry-based weighted average cost of capital.</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acquisition method of accounting, the purchase price paid, or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We do not amortize goodwill and intangible assets with indefinite lives, but instead evaluate these assets for impairment at least annually, or whenever events or circumstances indicate that impairment may exist. We amortize intangible assets that have definite lives so that the economic benefits of the intangible assets are being recognized over their estimated useful life.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annual impairment test for goodwill consists of a comparison of the estimated fair value for each reporting unit to which goodwill is assigned to the carrying value of the respective reporting unit. The annual impairment test for other indefinite-lived intangible assets consists of a comparison of the estimated fair value of each asset to the carrying value of the respective asset. If the estimated fair value of a reporting unit or other indefinite-lived intangible asset exceeds its respective carrying value, the goodwill or indefinite-lived intangible asset is considered not impaired. If carrying value of a reporting unit or indefinite-lived intangible asset exceeds its estimated fair value, the excess carrying value of the respective goodwill or indefinite-lived intangible asset is recognized as an impairment loss.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2" w:name="page33"/>
    <w:bookmarkEnd w:id="32"/>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Translation of Foreign Currency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financial statements of our foreign subsidiaries are translated from the functional currency into U.S. dollar equivalents, with translation adjustments recorded as the sole component of accumulated other comprehensive income (loss). Exchange gains and losses related to foreign currency transactions and balances denominated in currencies other than the functional currency are recognized in net income.</w:t>
      </w:r>
    </w:p>
    <w:p>
      <w:pPr>
        <w:spacing w:after="0" w:line="18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Revenues recognized from prior period performance obligations for the years ended December 31, 2020 and 2019 were not material.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and 2019, the Company had no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unbilled revenue and deferred contract costs recorded on our consolidated balance sheets as of December 31, 2020 and 2019 were not material.</w:t>
      </w:r>
    </w:p>
    <w:p>
      <w:pPr>
        <w:spacing w:after="0" w:line="17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Warranty Reserves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offer standard warranties against product defects. We do not offer separate service-type warranties. 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Warranty costs are recorded as costs of products sold. Provision for warranty costs is recorded in other current liabilities and other long-term liabilities on our consolidated balance sheets based on the duration of the warranty.</w:t>
      </w:r>
    </w:p>
    <w:p>
      <w:pPr>
        <w:spacing w:after="0" w:line="18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Costs incurred by us related to shipping and handling are included in cost of products sold. Amounts charged to customers pertaining to these costs are reflected as revenue.</w:t>
      </w:r>
    </w:p>
    <w:p>
      <w:pPr>
        <w:spacing w:after="0" w:line="17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Sales Commissions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Sales commissions are expensed as incurred for contracts with an expected duration of one year or less. There were no sales commissions capitalized as of December 31, 2020 and 2019.</w:t>
      </w:r>
    </w:p>
    <w:p>
      <w:pPr>
        <w:spacing w:after="0" w:line="17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expenditures are charged to operations as incurred. The majority of research and development expenses pertain to salaries and benefits, developmental supplies, depreciation and other contracted services. For the years ended December 31, 2020 and 2019, we expended $7,316 and $8,025, respectively, on research and development, including costs of $1,369 and $1,220, respectively, on customer sponsored research and development activities, which are included in cost of goods sold.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3" w:name="page34"/>
    <w:bookmarkEnd w:id="33"/>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Environmental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Environmental expenditures that relate to current operations are expensed. Remediation costs that relate to an existing condition caused by past operations are accrued when it is probable that these costs will be incurred and can be reasonably estimated.</w:t>
      </w:r>
    </w:p>
    <w:p>
      <w:pPr>
        <w:spacing w:after="0" w:line="17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a valuation allowance is recognized when the realizability of deferred tax assets is not more likely than not, on the basis of all available evidence, both positive and negative, weighted based on objective verifiability.</w:t>
      </w:r>
    </w:p>
    <w:p>
      <w:pPr>
        <w:spacing w:after="0" w:line="157"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Concentration Related to Customers and Suppliers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two customers, both large defense primary contractors, which comprised 17% and 6% of our total revenues in 2020, and 12% and 14% of our total revenues in 2019, respectively. 2020 revenues from these two customers represented 20% of our total Battery &amp; Energy Products segment revenues and 38% of our total Communications Systems segment revenues. 2019 revenues from these two customers represented 15% of our total Battery &amp; Energy Products segment revenues and 64% of our total Communications Systems segment revenues. There were no other customers that comprised greater than 10% of our total revenues during these years.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Currently, we do not experience significant seasonal trends in our revenues. Since a significant portion of our revenues are based on purchases from U.S. and allied country defense departments, the timing of our sales could be impacted by delays in the government budget process and the decisions to deploy resources to support military purchases of our products.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generally do not distribute our products to a concentrated geographical area nor is there a significant concentration of credit risks arising from individuals or groups of customers engaged in similar activities, or who have similar economic characteristics. While direct and indirect sales to the U.S. Department of Defense have been substantial during 2020 and 2019, we do not consider this customer to be a significant credit risk.</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Although we believe that alternative suppliers are available to supply materials and components that could replace materials and components currently used and that, if necessary, we would be able to redesign our products to make use of such alternatives,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4" w:name="page35"/>
    <w:bookmarkEnd w:id="34"/>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Fair Value Measurements and Disclosures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an asset or the exit price that would be paid to transfer a liability in the principal or most advantageous market in an orderly transaction between market participants on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3"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jc w:val="both"/>
        <w:ind w:left="1460" w:hanging="1133"/>
        <w:spacing w:after="0" w:line="263" w:lineRule="auto"/>
        <w:tabs>
          <w:tab w:leader="none" w:pos="144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that we corroborate with observable market data for substantially the full term of the related assets or liabilities.</w:t>
      </w:r>
    </w:p>
    <w:p>
      <w:pPr>
        <w:spacing w:after="0" w:line="184"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supported by little or no market activity that are significant to the fair value of the assets or liabilities.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of financial instruments approximated their carrying values at December 31, 2020 and 2019. The fair value of cash, accounts receivable, accounts payable, accrued liabilities, and the current portion of long-term debt approximates carrying value due to the short-term nature of these instruments. The carrying value of long-term debt approximates fair value, as the variable interest rates approximate current market rates.</w:t>
      </w:r>
    </w:p>
    <w:p>
      <w:pPr>
        <w:spacing w:after="0" w:line="16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(“EPS”) is computed by dividing net income attributable to Ultralife Corporation by the weighted average shares of common stock outstanding for the period. Diluted EPS reflects the assumed exercise and conversion of dilutive outstanding stock options and unvested restricted stock, if any, applying the treasury stock method.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2020, the calculation of diluted EPS included 526,244 stock options and 26,665 restricted stock awards. Inclusion of these shares resulted in 193,568 additional shares in the calculation of diluted EPS. There were 690,919 outstanding stock options as of December 31, 2020 excluded from the calculation of diluted EPS, as inclusion of these shares would have been anti-dilutive.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2019, the calculation of diluted EPS included 899,041 stock options and 31,666 restricted stock awards. Inclusion of these shares resulted in 396,536 additional shares in the calculation of diluted EPS. There were 642,751 outstanding stock options as of December 31, 2019 excluded from the calculation of diluted EPS, as inclusion of these shares would have been anti-dilutive.</w:t>
      </w:r>
    </w:p>
    <w:p>
      <w:pPr>
        <w:spacing w:after="0" w:line="18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various stock-based employee compensation plans that are described more fully in Note 7. The compensation cost relating to share-based payment transactions is measured at the grant date, based on the estimated fair value of the award, and is recognized as expense over the employee’s requisite service period (generally the vesting period of the equity award).</w:t>
      </w:r>
    </w:p>
    <w:p>
      <w:pPr>
        <w:spacing w:after="0" w:line="18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Segment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two operating segments – Battery &amp; Energy Products, and Communications Systems. The basis for determining our operating segments is the manner in which financial information is used in monitoring our operations. Management operates and organizes itself according to business units that comprise unique products and services across geographic locations.</w:t>
      </w:r>
    </w:p>
    <w:p>
      <w:pPr>
        <w:spacing w:after="0" w:line="18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At contract inception, the Company determines whether the arrangement is or contains a lease and determines the lease classification. The lease term is determined based on the non-cancellable term of the lease adjusted to the extent optional renewal terms and termination rights are reasonably certain. Lease expense is recognized evenly over the lease term. Variable lease payments are recognized as period costs. The present value of remaining lease payments is recognized as a liability on the balance sheet with a corresponding right-of-use asset adjusted for prepaid or accrued lease payments. The Company uses its incremental borrowing rate for the discount rate, unless the interest rate implicit in the lease contract is readily determinable. The Company has adopted the practical expedients to not separate non-lease components from lease components and to not present short-term leases on the balance sheet. See Note 9 for further disclosure regarding lease accounting.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5" w:name="page36"/>
    <w:bookmarkEnd w:id="35"/>
    <w:p>
      <w:pPr>
        <w:spacing w:after="0" w:line="80"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Effective January 1, 2020, the Company adopted Accounting Standards Update (“ASU”) 2017-04, “Intangibles – Goodwill and Other (Topic 350) – Simplifying the Test for Goodwill Impairment”. The new standard eliminates the two-step process that required the identification of potential impairment and a separate measure of the actual impairment. Adoption of the new standard will not materially impact the Company’s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Company is currently assessing the impact that adopting this new accounting standard will have on our consolidated financial statements.</w:t>
      </w:r>
    </w:p>
    <w:p>
      <w:pPr>
        <w:spacing w:after="0" w:line="19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December 2019, the FASB issued ASU 2019-12, “Simplifying the Accounting for Income Taxes (Topic 740)”, which is intended to simplify various aspects related to accounting for income taxes. ASU 2019-12 removes certain exceptions to the general principles in Topic 740 and clarifies and amends existing guidance to improve consistent application. ASU 2019-12 will be effective for interim and annual periods beginning after December 15, 2020. Early adoption is permitted. While the Company is continuing to assess the potential impacts of this new standard, it does not expect ASU 2019-12 will have a materially affect on our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 2019, the Company completed the acquisition of 100% of the issued and outstanding shares of Southwest Electronic Energy Corporation, a Texas corporation (“SWE”), for an aggregate purchase price of $26,190 inclusive of $942 cash acquired and post-closing adjustments.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SWE is a leading independent designer and manufacturer of high-performance smart battery systems and battery packs to customer specifications using lithium cells. SWE serves a variety of industrial markets, including oil and gas, remote monitoring, process control and marine, which demand uncompromised safety, service, reliability and quality. The Company acquired SWE as a bolt-on acquisition to further support our strategy of commercial revenue diversification by providing entry to the oil and gas exploration and production, and subsea electrification markets, which were previously unserved by Ultralife. Another key benefit of the acquisition includes obtaining a highly valuable technical team of battery pack and charger system engineers and technicians to add to our new product development-based revenue growth initiatives in our commercial end-markets particularly asset tracking, smart metering and other industrial applications.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of SWE was completed pursuant to a Stock Purchase Agreement dated May 1, 2019 (the “Stock Purchase Agreement”) by and among Ultralife, SWE, Southwest Electronic Energy Medical Research Institute, a Texas non-profit (the “Seller”), and Claude Leonard Benckenstein, an individual (the “Shareholder”). The Stock Purchase Agreement contains customary terms and conditions including representations, warranties and indemnification provisions.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purchase price for the acquisition was funded by the Company through a combination of cash on hand and borrowings under the Credit Facilities (see Note 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allocation was determined in accordance with the accounting treatment of a business combination pursuant to FASB ASC Topic 805, Business Combinations (“ASC 805”). Accordingly, the fair value of the consideration was determined, and the assets acquired and liabilities assumed have been recorded at their fair values at the date of the acquisition. The excess of the purchase price over the estimated fair values has been recorded as goodwill.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allocation of the purchase price to the assets acquired and liabilities assumed at the date of the acquisition is presented in the table below. Management is responsible for determining the fair value of the tangible and intangible assets acquired and liabilities assumed as of the date of acquisition. Management considered several factors, including reference to an analysis performed under ASC 805 solely for the purpose of allocating the purchase price to the assets acquired and liabilities assumed. The Company’s estimates are based upon assumptions believed to be reasonable, but which are inherently uncertain and unpredictable. These valuations require the use of management’s assumptions, which would not reflect unanticipated events and circumstances that may occur.</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3,621</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4,685</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9,177</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6,534</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2,522</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1,127</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(778)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 net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r>
      <w:tr>
        <w:trPr>
          <w:trHeight w:val="20"/>
        </w:trPr>
        <w:tc>
          <w:tcPr>
            <w:tcW w:w="73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4"/>
        </w:trPr>
        <w:tc>
          <w:tcPr>
            <w:tcW w:w="738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26,190</w:t>
            </w:r>
          </w:p>
        </w:tc>
      </w:tr>
    </w:tbl>
    <w:p>
      <w:pPr>
        <w:sectPr>
          <w:pgSz w:w="11900" w:h="16919" w:orient="portrait"/>
          <w:cols w:equalWidth="0" w:num="1">
            <w:col w:w="11240"/>
          </w:cols>
          <w:pgMar w:left="320" w:top="611" w:right="339" w:bottom="0" w:gutter="0" w:footer="0" w:header="0"/>
        </w:sectPr>
      </w:pPr>
    </w:p>
    <w:bookmarkStart w:id="36" w:name="page37"/>
    <w:bookmarkEnd w:id="36"/>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5600065</wp:posOffset>
            </wp:positionH>
            <wp:positionV relativeFrom="page">
              <wp:posOffset>97155</wp:posOffset>
            </wp:positionV>
            <wp:extent cx="9683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The goodwill included in the Company’s purchase price allocation presented above represents the value of SWE’s assembled and trained workforce, the incremental value that SWE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operating results and cash flows of SWE are reflected in the Company’s consolidated financial statements from the date of acquisition. SWE is included in the Battery &amp; Energy Products segment.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SWE contributed revenue of $15,587 and net income of $705, inclusive of interest expense of $292 directly related to the financing of the SWE acquisition and amortization expense of $243 on acquired identifiable intangible assets.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from the May 1, 2019 acquisition date, SWE contributed revenue of $18,746 and net income of $1,238, inclusive of a $264 increase in cost of products sold for the fair value step-up of acquired inventory sold during the period, non-recurring expenses of $165 directly related to the acquisition, interest expense of $453 directly related to the financing of the SWE acquisition, and amortization expense of $161 on acquired identifiable intangible assets.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the Company incurred non-recurring transaction costs of $322 directly attributable to the acquisition. Non-recurring transaction costs comprised of debt issuance costs of $157 including placement, renewal and legal fees, and other non-recurring transaction costs of $165, including one-time accounting, legal and due diligence services, were expensed during the year.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supplemental pro forma information presents the combined results of operations, inclusive of the purchase accounting adjustments and one-time acquisition-related expenses described above, as if the acquisition of SWE had been completed on January 1, 2018, the beginning of the comparable prior period.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supplemental pro forma results do not exclude the agreed upon departure of the Shareholder from SWE and dissolution of the SWE Board of Directors upon consummation of the acquisition or the realization of synergies or other cost reductions following the completion of the business combination. The supplemental pro forma results are presented for informational purposes only and should not be considered indicative of the financial position or results of operations had the acquisition been completed as of the dates indicated and does not purport to indicate the future combined financial position or results of operation.</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Set forth below are the unaudited supplemental pro forma results of the Company and SWE for the years ended December 31, 2020 and 2019 as if the acquisition had occurred as of January 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6"/>
          </w:tcPr>
          <w:p>
            <w:pPr>
              <w:ind w:left="22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107,712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115,590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Operating income</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8,008</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 Corporation</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income per share attributable to Ultralife Corporation:</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r>
      <w:tr>
        <w:trPr>
          <w:trHeight w:val="230"/>
        </w:trPr>
        <w:tc>
          <w:tcPr>
            <w:tcW w:w="5600" w:type="dxa"/>
            <w:vAlign w:val="bottom"/>
          </w:tcPr>
          <w:p>
            <w:pPr>
              <w:ind w:left="660"/>
              <w:spacing w:after="0"/>
              <w:rPr>
                <w:sz w:val="20"/>
                <w:szCs w:val="20"/>
                <w:color w:val="auto"/>
              </w:rPr>
            </w:pPr>
            <w:r>
              <w:rPr>
                <w:rFonts w:ascii="Arial" w:cs="Arial" w:eastAsia="Arial" w:hAnsi="Arial"/>
                <w:sz w:val="18"/>
                <w:szCs w:val="18"/>
                <w:color w:val="auto"/>
              </w:rPr>
              <w:t>Diluted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0.34</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 2019, Ultralife, SWE, and CLB, INC., a Texas corporation and wholly owned subsidiary of SWE (“CLB”), as borrowers, entered into the First Amendment Agreement (the “First Amendment Agreement”) with KeyBank National Association (“KeyBank” or the “Bank”), as lender and administrative agent, to amend the Credit and Security Agreement by and among Ultralife and KeyBank dated May 31, 2017 (the “Credit Agreement”, and together with the First Amendment Agreement, the “Amended Credit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Amended Credit Agreement, among other things, provided for a five-year, $8,000 senior secured term loan (the “Term Loan Facility”) and extended the term of the $30,000 senior secured revolving credit facility (the “Revolving Credit Facility”, and together with the Term Loan Facility, the “Credit Facilities”) through May 31, 2022. Up to six months prior to May 31, 2022, the Revolving Credit Facility may be increased to $50,000 with the Bank’s concurrence.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Upon closing of the SWE acquisition on May 1, 2019, the Company drew down the full amount of the Term Loan Facility and $6,782 under the Revolving Credit Facility. As of December 31, 2020, the Company had $1,474 outstanding principal on the Term Loan Facility, all of which is included in current portion of long-term debt on the balance sheet, and no amounts outstanding on the Revolving Credit Facility. As of December 31, 2020, total unamortized debt issuance costs of $113 associated with the Amended Credit Agreement, including placement, renewal and legal fees, are classified as a reduction of the current portion of long-term debt on the balance sheet. Debt issuance costs are amortized to interest expense over the term of the Credit Facilities.</w:t>
      </w:r>
    </w:p>
    <w:p>
      <w:pPr>
        <w:spacing w:after="0" w:line="16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is required to repay the borrowings under the Term Loan Facility in sixty (60) equal consecutive monthly payments commencing on May 31, 2019, in arrears, together with applicable interest. All unpaid principal and accrued and unpaid interest with respect to the Term Loan Facility is due and</w:t>
      </w:r>
    </w:p>
    <w:p>
      <w:pPr>
        <w:sectPr>
          <w:pgSz w:w="11900" w:h="16861" w:orient="portrait"/>
          <w:cols w:equalWidth="0" w:num="1">
            <w:col w:w="11240"/>
          </w:cols>
          <w:pgMar w:left="320" w:top="368" w:right="339" w:bottom="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payable in full on April 30, 2024. All unpaid principal and accrued and unpaid interest with respect to the Revolving Credit Facility is due and payable in full on May 31, 2022. The Company may voluntarily prepay principal amounts outstanding at any time subject to certain restrictions. The Company made voluntary prepayments of $4,200 during the year ended December 31,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customary affirmative and negative covenants, the Company must maintain a consolidated fixed charge coverage ratio of equal to or greater than 1.15 to 1.0, and a consolidated senior leverage ratio of equal to or less than 2.5 to 1.0, each as defined in the Amended Credit Agreement. The Company was in full compliance with its covenants as of December 31,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Credit Facilities are secured by substantially all the assets of the Company. Availability under the Revolving Credit Facility is subject to certain borrowing base limits based on receivables and inventories.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accrues on outstanding indebtedness under the Credit Facilities at the Base Rate or the Overnight LIBOR Rate, as selected by the Company, plus the applicable margin. The Base Rate is the higher of (a) the Prime Rate, (b) the Federal Funds Effective Rate plus 50 basis points, and (c) the Overnight LIBOR Rate plus one hundred basis points. The applicable margin ranges from zero to negative 50 basis points for the Base Rate and from 185 to 215 basis points for the Overnight LIBOR Rate and are determined based on the Company’s senior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of 0.1% to 0.2% based on the average daily unused availability under the Revolving Credit Facility.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Payments must be made by the Company to the extent borrowings exceed the maximum amount then permitted to be drawn on the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 Repurchase Program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and under which the Company was authorized to repurchase up to 2.5 million shares of its outstanding common stock over a period not to exceed twelve months. The Share Repurchase Program concluded on October 31, 2019.</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the inception of the Share Repurchase Program on November 1, 2018 though its conclusion on October 31, 2019, we repurchased a total of 372,974 shares of our common stock for an aggregate consideration (including fees and commissions) of $2,699. In 2018, we repurchased a total of 105,674 shares of our common stock for an aggregate consideration of $742 (including fees and commissions). In 2019, we repurchased a total of 267,300 shares of our common stock for an aggregate consideration (including fees and commissions) of $1,957.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our common stock by the Company during the year ended 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Supplemental Balance Sheet Information</w:t>
      </w:r>
    </w:p>
    <w:p>
      <w:pPr>
        <w:spacing w:after="0" w:line="200" w:lineRule="exact"/>
        <w:rPr>
          <w:sz w:val="20"/>
          <w:szCs w:val="20"/>
          <w:color w:val="auto"/>
        </w:rPr>
      </w:pPr>
    </w:p>
    <w:p>
      <w:pPr>
        <w:spacing w:after="0" w:line="245"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Cash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cash and restricted cash totaling $10,653 and $7,405 as of December 31, 2020 and 2019, respectively.</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10,562</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Restricted cash</w:t>
            </w:r>
          </w:p>
        </w:tc>
        <w:tc>
          <w:tcPr>
            <w:tcW w:w="9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0"/>
        </w:trPr>
        <w:tc>
          <w:tcPr>
            <w:tcW w:w="7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10,653</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7,405</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2020 and December 31, 2019, restricted cash included $91 and $82, respectively, of euro-denominated deposits withheld by the Dutch tax authorities and third-party VAT representatives in connection with a previously utilized logistics arrangement in the Netherlands. As of December 31, 2019, restricted cash included $188 for a government grant awarded in the People’s Republic of China to fund specified technological research and development initiatives. The grant proceeds are realized as a direct offset to qualifying expenditures as incurred. For the year ended December 31, 2020, grant proceeds of approximately $188 were used to fund qualifying capital expenditures and material and labor costs incurred. Restricted cash is included as a component of the cash balance for purposes of the consolidated statements of cash flows.</w:t>
      </w:r>
    </w:p>
    <w:p>
      <w:pPr>
        <w:spacing w:after="0" w:line="178"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Inventory, Net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determined under the first-in, first-out (FIFO) method. The composition of inventories, net was:</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17,277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18,485</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3,411</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2,548</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8,726</w:t>
            </w:r>
          </w:p>
        </w:tc>
      </w:tr>
      <w:tr>
        <w:trPr>
          <w:trHeight w:val="20"/>
        </w:trPr>
        <w:tc>
          <w:tcPr>
            <w:tcW w:w="6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28,193</w:t>
            </w: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29,759</w:t>
            </w:r>
          </w:p>
        </w:tc>
      </w:tr>
      <w:tr>
        <w:trPr>
          <w:trHeight w:val="20"/>
        </w:trPr>
        <w:tc>
          <w:tcPr>
            <w:tcW w:w="6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i w:val="1"/>
                <w:iCs w:val="1"/>
                <w:color w:val="auto"/>
              </w:rPr>
              <w:t>c.</w:t>
            </w:r>
          </w:p>
        </w:tc>
        <w:tc>
          <w:tcPr>
            <w:tcW w:w="6800" w:type="dxa"/>
            <w:vAlign w:val="bottom"/>
            <w:gridSpan w:val="2"/>
          </w:tcPr>
          <w:p>
            <w:pPr>
              <w:ind w:left="140"/>
              <w:spacing w:after="0"/>
              <w:rPr>
                <w:sz w:val="20"/>
                <w:szCs w:val="20"/>
                <w:color w:val="auto"/>
              </w:rPr>
            </w:pPr>
            <w:r>
              <w:rPr>
                <w:rFonts w:ascii="Arial" w:cs="Arial" w:eastAsia="Arial" w:hAnsi="Arial"/>
                <w:sz w:val="18"/>
                <w:szCs w:val="18"/>
                <w:i w:val="1"/>
                <w:iCs w:val="1"/>
                <w:color w:val="auto"/>
              </w:rPr>
              <w:t>Property, Plant and Equipment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060" w:type="dxa"/>
            <w:vAlign w:val="bottom"/>
            <w:gridSpan w:val="3"/>
          </w:tcPr>
          <w:p>
            <w:pPr>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9"/>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w:t>
            </w:r>
          </w:p>
        </w:tc>
      </w:tr>
      <w:tr>
        <w:trPr>
          <w:trHeight w:val="216"/>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15,393</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15,386</w:t>
            </w:r>
          </w:p>
        </w:tc>
      </w:tr>
      <w:tr>
        <w:trPr>
          <w:trHeight w:val="216"/>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61,048</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55,058</w:t>
            </w:r>
          </w:p>
        </w:tc>
      </w:tr>
      <w:tr>
        <w:trPr>
          <w:trHeight w:val="216"/>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2,235</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2,194</w:t>
            </w:r>
          </w:p>
        </w:tc>
      </w:tr>
      <w:tr>
        <w:trPr>
          <w:trHeight w:val="216"/>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6,894</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6,712</w:t>
            </w:r>
          </w:p>
        </w:tc>
      </w:tr>
      <w:tr>
        <w:trPr>
          <w:trHeight w:val="216"/>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1,227</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4,730</w:t>
            </w:r>
          </w:p>
        </w:tc>
      </w:tr>
      <w:tr>
        <w:trPr>
          <w:trHeight w:val="20"/>
        </w:trPr>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88,070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85,353</w:t>
            </w:r>
          </w:p>
        </w:tc>
      </w:tr>
      <w:tr>
        <w:trPr>
          <w:trHeight w:val="216"/>
        </w:trPr>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Less – Accumulated depreciation</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(65,220)</w:t>
            </w: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(62,828)</w:t>
            </w:r>
          </w:p>
        </w:tc>
      </w:tr>
      <w:tr>
        <w:trPr>
          <w:trHeight w:val="20"/>
        </w:trPr>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22,850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22,525</w:t>
            </w:r>
          </w:p>
        </w:tc>
      </w:tr>
      <w:tr>
        <w:trPr>
          <w:trHeight w:val="20"/>
        </w:trPr>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$2,340 and $2,220 for the years ended December 31, 2020 and 2019, respectively.</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conducted its annual impairment test for goodwill and other indefinite-lived intangible assets as of October 1, 2020. We identified five goodwill reporting units and four indefinite-lived intangible assets. We performed a quantitative impairment assessment of each goodwill reporting unit and indefinite-lived intangible asset. Based on the results of our quantitative impairment tests, and consideration of qualitative factors as of our test date and December 31, 2020, no impairments were identified.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Communications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Acquisition of SWE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Balance – December 31, 2019</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gridSpan w:val="2"/>
          </w:tcPr>
          <w:p>
            <w:pPr>
              <w:ind w:left="280"/>
              <w:spacing w:after="0"/>
              <w:rPr>
                <w:sz w:val="20"/>
                <w:szCs w:val="20"/>
                <w:color w:val="auto"/>
              </w:rPr>
            </w:pPr>
            <w:r>
              <w:rPr>
                <w:rFonts w:ascii="Arial" w:cs="Arial" w:eastAsia="Arial" w:hAnsi="Arial"/>
                <w:sz w:val="18"/>
                <w:szCs w:val="18"/>
                <w:color w:val="auto"/>
              </w:rPr>
              <w:t>Balance – December 31, 2020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15,525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The composition of intangible assets was: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88"/>
              </w:rPr>
              <w:t>December 31, 2020,</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amortization</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Total other intangible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20,039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10,830</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88"/>
              </w:rPr>
              <w:t>December 31, 2019,</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amortization</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4,721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Total other intangible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19,892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10,171</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cost value of other intangible assets is a result of foreign currency translation effects.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other intangible assets was included in the following financial statement captions: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22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471</w:t>
            </w:r>
          </w:p>
        </w:tc>
        <w:tc>
          <w:tcPr>
            <w:tcW w:w="1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r>
      <w:tr>
        <w:trPr>
          <w:trHeight w:val="20"/>
        </w:trPr>
        <w:tc>
          <w:tcPr>
            <w:tcW w:w="6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5" w:right="339" w:bottom="82" w:gutter="0" w:footer="0" w:header="0"/>
        </w:sectPr>
      </w:pPr>
    </w:p>
    <w:bookmarkStart w:id="39" w:name="page40"/>
    <w:bookmarkEnd w:id="39"/>
    <w:p>
      <w:pPr>
        <w:ind w:right="20"/>
        <w:spacing w:after="0" w:line="277" w:lineRule="auto"/>
        <w:rPr>
          <w:sz w:val="20"/>
          <w:szCs w:val="20"/>
          <w:color w:val="auto"/>
        </w:rPr>
      </w:pPr>
      <w:r>
        <w:rPr>
          <w:rFonts w:ascii="Arial" w:cs="Arial" w:eastAsia="Arial" w:hAnsi="Arial"/>
          <w:sz w:val="18"/>
          <w:szCs w:val="18"/>
          <w:color w:val="auto"/>
        </w:rPr>
        <w:t>Future amortization expense of amortizable intangible assets will be approximately $352, $337, $334, $324 and $324 for the five fiscal years ending December 31, 2021 through 2025,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14, 2020, Ultralife was awarded a final settlement of $1,593 (net of fees) upon court approval and order authorizing distribution of settlement funds in a class action lawsuit (In Re: Lithium-Ion Batteries Antitrust Litigation, 13-MD-02420-YGR, United States District Court, Northern District of California). At the time of the court order, the settlement funds were held in an escrow account controlled by the court for administrative purposes, and there remained no potential for appeal or reversal of the court order. Based on all conditions present upon the court order, it was concluded that the net settlement amount was fully realizable. Accordingly, a gain of $1,593 was recognized and is separately reported as gain on litigation settlement on the consolidated statement of income and comprehensive income for the year ended December 31, 2020. The corresponding amount due is included in prepaid expenses and other current assets as of December 31, 2020.</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171"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Indemnity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organizational documents provide that our directors or officers will be reimbursed for all expenses, to the fullest extent permitted by law arising out of their performance.</w:t>
      </w:r>
    </w:p>
    <w:p>
      <w:pPr>
        <w:spacing w:after="0" w:line="170"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have made commitments to purchase approximately $873 of production machinery and equipment.</w:t>
      </w:r>
    </w:p>
    <w:p>
      <w:pPr>
        <w:spacing w:after="0" w:line="225"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other civil disturbances and the possible impact of the imposition of tariffs by the U.S. Government on 9 Volt batteries that we manufacture in China as well as any retaliating trade policies or restrictions. Any such disruptions could depress our earnings and have other material adverse effects on our business, financial condition and results of operations.</w:t>
      </w:r>
    </w:p>
    <w:p>
      <w:pPr>
        <w:spacing w:after="0" w:line="178"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Employment Contracts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employment contract with Michael D. Popielec, our President and Chief Executive Officer, which remains in effect until terminated by either party. This agreement provides for a base salary, as adjusted for increases at the discretion of our Board of Directors, and includes incentive bonuses based upon attainment of specified quantitative and qualitative performance goals. This agreement also provides for severance payments in the event of specified events of termination of employment. In addition, this agreement provides for a lump sum payment in the event of termination of employment in connection with a change in control.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our employment commencement process,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years ended December 31, 2020 and 2019 were as follows:</w:t>
      </w:r>
    </w:p>
    <w:p>
      <w:pPr>
        <w:spacing w:after="0" w:line="180"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Assumed warranty obligations – SWE</w:t>
            </w:r>
          </w:p>
        </w:tc>
        <w:tc>
          <w:tcPr>
            <w:tcW w:w="10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warranties issued</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Settlements made</w:t>
            </w:r>
          </w:p>
        </w:tc>
        <w:tc>
          <w:tcPr>
            <w:tcW w:w="10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r>
      <w:tr>
        <w:trPr>
          <w:trHeight w:val="20"/>
        </w:trPr>
        <w:tc>
          <w:tcPr>
            <w:tcW w:w="6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Note 7 - Shareholders' Equity</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We recorded non-cash stock compensation expense in each period as follows: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753</w:t>
            </w: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are more fully discussed as follows: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various stock-based employee compensation plans, for which compensation cost is recognized in the financial statements. The cost is measured at the grant date, based on the estimated fair value of the award, and is recognized as an expense over the employee’s requisite service period (generally the vesting period of the equity award).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shareholders have approved various equity-based plans that permit the grant of stock options, restricted stock and other equity-based awards. In addition, our shareholders have approved the grant of stock options outside of these plans.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June 2004, our shareholders adopted the 2004 Long-Term Incentive Plan (“2004 LTIP”) pursuant to which we were authorized to issue up to 750,000 shares of common stock and grant stock options, restricted stock awards, stock appreciation rights and other stock-based awards. Through shareholder approved amendments to the LTIP in 2006, 2008, 2011, and 2013, the total number of shares authorized under the 2004 LTIP was increased to 2,900,000.</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2014, our shareholders approved the 2014 Long-Term Incentive Plan (“2014 LTIP”) as the successor plan to the 2004 LTIP that expired on June 10, 2014. Under the 2014 LTIP, a total of 1,750,000 shares of common stock will be available for grant of awards. Of the total number of shares of common stock available for awards under the 2014 LTIP, no more than 800,000 shares of common stock may be used for awards other than stock options and stock appreciation rights. Grants under the 2014 LTIP may be awarded through June 2, 2024.</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Stock options granted under the LTIPs are either Incentive Stock Options (“ISOs”) or Non-Qualified Stock Options (“NQSOs”). Key employees are eligible to receive ISOs and NQSOs; however, directors and consultants are eligible to receive only NQSOs. Most ISOs vest over a three-year period and expire on the seventh anniversary of the grant date. As of December 31, 2020, there were 1,143,168 stock options outstanding under the 2014 LTIP and 73,995 stock options outstanding under the 2004 LTIP.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December 30, 2010, pursuant to the terms of his employment agreement, we granted our President and Chief Executive Officer, Michael D. Popielec, options to purchase shares of common stock under the 2004 LTIP as follows: (i) 50,000 shares at $6.42, vesting in annual increments of 12,500 shares over a four-year period commencing December 30, 2011; (ii) 250,000 shares at $6.42, vesting in annual increments of 62,500 shares over a four-year period commencing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w:t>
      </w:r>
    </w:p>
    <w:p>
      <w:pPr>
        <w:spacing w:after="0" w:line="2" w:lineRule="exact"/>
        <w:rPr>
          <w:sz w:val="20"/>
          <w:szCs w:val="20"/>
          <w:color w:val="auto"/>
        </w:rPr>
      </w:pPr>
    </w:p>
    <w:p>
      <w:pPr>
        <w:jc w:val="both"/>
        <w:ind w:firstLine="8"/>
        <w:spacing w:after="0" w:line="277" w:lineRule="auto"/>
        <w:tabs>
          <w:tab w:leader="none" w:pos="3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200,000 shares at $15.00, with vesting to begin on the date the stock reaches a closing price of $15.00 per share for 15 trading days within a 30-day trading period, with such vesting in annual increments of 50,000 shares over the four anniversary dates of that date. The options set forth in items (ii), (iii) and (iv) were subject to shareholder approval of an amendment to the 2004 LTIP, which approval was obtained on June 7, 2011.</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such options in items (i) and (ii) were due to expire on December 30, 2017. On April 19, 2017, the Company’s Board of Directors extended the expiration date to December 30, 2020. All such options in items (i) and (ii) were exercised on November 23, 2020, such that 37,171 shares of common stock were issued by the Company representing the intrinsic value of the options exercised at an average market value of $7.33 of which 26,929 shares were acquired by Mr. Popielec, net of common stock retained by the Company for minimum statutory tax withholding requirements.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such options in items (iii) and (iv) were due to expire as of the later of December 30, 2017 and five years after the initial vesting commences, but in no event later than December 30, 2020. On July 25, 2018, the Company’s Board of Directors modified the option in item (iii) such that the option will vest immediately upon the Company’s common stock first reaching a closing price $10.00 for 15 trading days in a 30 trading-day period. The option became fully vested during the third quarter of 2018. All such options in items (iii) and (iv) expired December 30, 2020.</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there was $566 of total unrecognized compensation costs related to outstanding stock options, which we expect to recognize over a weighted average period of 1.1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the Black-Scholes option-pricing model to estimate fair value of stock-based awards. The following weighted average assumptions were used to value options granted during the years ended December 31, 2020 and 2019:</w:t>
      </w:r>
    </w:p>
    <w:p>
      <w:pPr>
        <w:spacing w:after="0" w:line="16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Volatility factor</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expected life (years)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Forfeiture rate</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bl>
    <w:p>
      <w:pPr>
        <w:sectPr>
          <w:pgSz w:w="11900" w:h="16838" w:orient="portrait"/>
          <w:cols w:equalWidth="0" w:num="1">
            <w:col w:w="11240"/>
          </w:cols>
          <w:pgMar w:left="320" w:top="796" w:right="339" w:bottom="150" w:gutter="0" w:footer="0" w:header="0"/>
        </w:sectPr>
      </w:pPr>
    </w:p>
    <w:bookmarkStart w:id="41" w:name="page42"/>
    <w:bookmarkEnd w:id="41"/>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used a Monte Carlo simulation option-pricing model to estimate the fair value of market performance stock-based awards, of which there were no new awards for the years ended December 31, 2020 and 2019.</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calculate expected volatility for stock options by taking an average of historical volatility over the expected term.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Forfeiture rates are calculated by dividing unvested shares forfeited by beginning shares outstanding. The pre-vesting forfeiture rate is calculated yearly and is determined using a historical twelve-quarter rolling average of the forfeiture rates.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data for the stock options issued by us:</w:t>
      </w: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Year ended December 31, 2020</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191"/>
        </w:trPr>
        <w:tc>
          <w:tcPr>
            <w:tcW w:w="36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Weighted</w:t>
            </w:r>
          </w:p>
        </w:tc>
        <w:tc>
          <w:tcPr>
            <w:tcW w:w="150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average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b w:val="1"/>
                <w:bCs w:val="1"/>
                <w:color w:val="auto"/>
                <w:w w:val="83"/>
              </w:rPr>
              <w:t>exercise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remaining</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gridSpan w:val="2"/>
          </w:tcPr>
          <w:p>
            <w:pPr>
              <w:ind w:left="32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price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contractual</w:t>
            </w: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intrinsic</w:t>
            </w:r>
          </w:p>
        </w:tc>
      </w:tr>
      <w:tr>
        <w:trPr>
          <w:trHeight w:val="234"/>
        </w:trPr>
        <w:tc>
          <w:tcPr>
            <w:tcW w:w="3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per share</w:t>
            </w: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January 1</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1,541,792</w:t>
            </w:r>
          </w:p>
        </w:tc>
        <w:tc>
          <w:tcPr>
            <w:tcW w:w="10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6.88</w:t>
            </w:r>
          </w:p>
        </w:tc>
        <w:tc>
          <w:tcPr>
            <w:tcW w:w="126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Options granted</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256,000</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6.51</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(355,797)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6.08</w:t>
            </w:r>
          </w:p>
        </w:tc>
        <w:tc>
          <w:tcPr>
            <w:tcW w:w="126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Options forfeited or expired</w:t>
            </w:r>
          </w:p>
        </w:tc>
        <w:tc>
          <w:tcPr>
            <w:tcW w:w="1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(224,332)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9.76</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December 31</w:t>
            </w:r>
          </w:p>
        </w:tc>
        <w:tc>
          <w:tcPr>
            <w:tcW w:w="1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1,217,163</w:t>
            </w:r>
          </w:p>
        </w:tc>
        <w:tc>
          <w:tcPr>
            <w:tcW w:w="10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6.50</w:t>
            </w:r>
          </w:p>
        </w:tc>
        <w:tc>
          <w:tcPr>
            <w:tcW w:w="1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r>
      <w:tr>
        <w:trPr>
          <w:trHeight w:val="20"/>
        </w:trPr>
        <w:tc>
          <w:tcPr>
            <w:tcW w:w="36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8"/>
                <w:szCs w:val="18"/>
                <w:color w:val="auto"/>
              </w:rPr>
              <w:t>Vested and expected to vest - December 31</w:t>
            </w:r>
          </w:p>
        </w:tc>
        <w:tc>
          <w:tcPr>
            <w:tcW w:w="1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1,115,705</w:t>
            </w:r>
          </w:p>
        </w:tc>
        <w:tc>
          <w:tcPr>
            <w:tcW w:w="10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6.39</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r>
      <w:tr>
        <w:trPr>
          <w:trHeight w:val="20"/>
        </w:trPr>
        <w:tc>
          <w:tcPr>
            <w:tcW w:w="3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6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Options exercisable – December 31</w:t>
            </w:r>
          </w:p>
        </w:tc>
        <w:tc>
          <w:tcPr>
            <w:tcW w:w="1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738,452</w:t>
            </w:r>
          </w:p>
        </w:tc>
        <w:tc>
          <w:tcPr>
            <w:tcW w:w="10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5.82</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r>
      <w:tr>
        <w:trPr>
          <w:trHeight w:val="20"/>
        </w:trPr>
        <w:tc>
          <w:tcPr>
            <w:tcW w:w="3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6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5"/>
          </w:tcPr>
          <w:p>
            <w:pPr>
              <w:jc w:val="right"/>
              <w:ind w:right="710"/>
              <w:spacing w:after="0"/>
              <w:rPr>
                <w:sz w:val="20"/>
                <w:szCs w:val="20"/>
                <w:color w:val="auto"/>
              </w:rPr>
            </w:pPr>
            <w:r>
              <w:rPr>
                <w:rFonts w:ascii="Arial" w:cs="Arial" w:eastAsia="Arial" w:hAnsi="Arial"/>
                <w:sz w:val="18"/>
                <w:szCs w:val="18"/>
                <w:b w:val="1"/>
                <w:bCs w:val="1"/>
                <w:color w:val="auto"/>
              </w:rPr>
              <w:t>Year ended December 31, 2019</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3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exercise</w:t>
            </w:r>
          </w:p>
        </w:tc>
      </w:tr>
      <w:tr>
        <w:trPr>
          <w:trHeight w:val="216"/>
        </w:trPr>
        <w:tc>
          <w:tcPr>
            <w:tcW w:w="3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price</w:t>
            </w:r>
          </w:p>
        </w:tc>
      </w:tr>
      <w:tr>
        <w:trPr>
          <w:trHeight w:val="234"/>
        </w:trPr>
        <w:tc>
          <w:tcPr>
            <w:tcW w:w="3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per share</w:t>
            </w:r>
          </w:p>
        </w:tc>
        <w:tc>
          <w:tcPr>
            <w:tcW w:w="100" w:type="dxa"/>
            <w:vAlign w:val="bottom"/>
          </w:tcPr>
          <w:p>
            <w:pPr>
              <w:spacing w:after="0"/>
              <w:rPr>
                <w:sz w:val="20"/>
                <w:szCs w:val="20"/>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January 1</w:t>
            </w: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1,576,087</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Options granted</w:t>
            </w: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282,500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(208,881)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Options forfeited or expired</w:t>
            </w: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(107,914)</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r>
      <w:tr>
        <w:trPr>
          <w:trHeight w:val="20"/>
        </w:trPr>
        <w:tc>
          <w:tcPr>
            <w:tcW w:w="3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December 31</w:t>
            </w:r>
          </w:p>
        </w:tc>
        <w:tc>
          <w:tcPr>
            <w:tcW w:w="1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1,541,792</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r>
      <w:tr>
        <w:trPr>
          <w:trHeight w:val="197"/>
        </w:trPr>
        <w:tc>
          <w:tcPr>
            <w:tcW w:w="360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 December 31</w:t>
            </w:r>
          </w:p>
        </w:tc>
        <w:tc>
          <w:tcPr>
            <w:tcW w:w="1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1,083,581</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r>
      <w:tr>
        <w:trPr>
          <w:trHeight w:val="20"/>
        </w:trPr>
        <w:tc>
          <w:tcPr>
            <w:tcW w:w="36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additional information about stock options outstanding at December 31, 2020:</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color w:val="auto"/>
              </w:rPr>
              <w:t>Option outstanding</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5"/>
          </w:tcPr>
          <w:p>
            <w:pPr>
              <w:jc w:val="right"/>
              <w:ind w:right="960"/>
              <w:spacing w:after="0"/>
              <w:rPr>
                <w:sz w:val="20"/>
                <w:szCs w:val="20"/>
                <w:color w:val="auto"/>
              </w:rPr>
            </w:pPr>
            <w:r>
              <w:rPr>
                <w:rFonts w:ascii="Arial" w:cs="Arial" w:eastAsia="Arial" w:hAnsi="Arial"/>
                <w:sz w:val="18"/>
                <w:szCs w:val="18"/>
                <w:color w:val="auto"/>
              </w:rPr>
              <w:t>Options exercisable</w:t>
            </w:r>
          </w:p>
        </w:tc>
      </w:tr>
      <w:tr>
        <w:trPr>
          <w:trHeight w:val="195"/>
        </w:trPr>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left="250"/>
              <w:spacing w:after="0" w:line="195" w:lineRule="exact"/>
              <w:rPr>
                <w:sz w:val="20"/>
                <w:szCs w:val="20"/>
                <w:color w:val="auto"/>
              </w:rPr>
            </w:pPr>
            <w:r>
              <w:rPr>
                <w:rFonts w:ascii="Arial" w:cs="Arial" w:eastAsia="Arial" w:hAnsi="Arial"/>
                <w:sz w:val="18"/>
                <w:szCs w:val="18"/>
                <w:color w:val="auto"/>
                <w:w w:val="90"/>
              </w:rPr>
              <w:t>Weighted-</w:t>
            </w:r>
          </w:p>
        </w:tc>
        <w:tc>
          <w:tcPr>
            <w:tcW w:w="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left="230"/>
              <w:spacing w:after="0"/>
              <w:rPr>
                <w:sz w:val="20"/>
                <w:szCs w:val="20"/>
                <w:color w:val="auto"/>
              </w:rPr>
            </w:pPr>
            <w:r>
              <w:rPr>
                <w:rFonts w:ascii="Arial" w:cs="Arial" w:eastAsia="Arial" w:hAnsi="Arial"/>
                <w:sz w:val="18"/>
                <w:szCs w:val="18"/>
                <w:color w:val="auto"/>
                <w:w w:val="86"/>
              </w:rPr>
              <w:t>average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left="256"/>
              <w:spacing w:after="0"/>
              <w:rPr>
                <w:sz w:val="20"/>
                <w:szCs w:val="20"/>
                <w:color w:val="auto"/>
              </w:rPr>
            </w:pPr>
            <w:r>
              <w:rPr>
                <w:rFonts w:ascii="Arial" w:cs="Arial" w:eastAsia="Arial" w:hAnsi="Arial"/>
                <w:sz w:val="18"/>
                <w:szCs w:val="18"/>
                <w:color w:val="auto"/>
                <w:w w:val="92"/>
              </w:rPr>
              <w:t>Weighted-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w:t>
            </w:r>
          </w:p>
        </w:tc>
      </w:tr>
      <w:tr>
        <w:trPr>
          <w:trHeight w:val="216"/>
        </w:trPr>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160" w:type="dxa"/>
            <w:vAlign w:val="bottom"/>
          </w:tcPr>
          <w:p>
            <w:pPr>
              <w:jc w:val="center"/>
              <w:ind w:left="250"/>
              <w:spacing w:after="0"/>
              <w:rPr>
                <w:sz w:val="20"/>
                <w:szCs w:val="20"/>
                <w:color w:val="auto"/>
              </w:rPr>
            </w:pPr>
            <w:r>
              <w:rPr>
                <w:rFonts w:ascii="Arial" w:cs="Arial" w:eastAsia="Arial" w:hAnsi="Arial"/>
                <w:sz w:val="18"/>
                <w:szCs w:val="18"/>
                <w:color w:val="auto"/>
                <w:w w:val="93"/>
              </w:rPr>
              <w:t>remaining</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left="256"/>
              <w:spacing w:after="0"/>
              <w:rPr>
                <w:sz w:val="20"/>
                <w:szCs w:val="20"/>
                <w:color w:val="auto"/>
              </w:rPr>
            </w:pPr>
            <w:r>
              <w:rPr>
                <w:rFonts w:ascii="Arial" w:cs="Arial" w:eastAsia="Arial" w:hAnsi="Arial"/>
                <w:sz w:val="18"/>
                <w:szCs w:val="18"/>
                <w:color w:val="auto"/>
                <w:w w:val="86"/>
              </w:rPr>
              <w:t>average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r>
      <w:tr>
        <w:trPr>
          <w:trHeight w:val="216"/>
        </w:trPr>
        <w:tc>
          <w:tcPr>
            <w:tcW w:w="2260" w:type="dxa"/>
            <w:vAlign w:val="bottom"/>
            <w:gridSpan w:val="3"/>
          </w:tcPr>
          <w:p>
            <w:pPr>
              <w:ind w:left="740"/>
              <w:spacing w:after="0"/>
              <w:rPr>
                <w:sz w:val="20"/>
                <w:szCs w:val="20"/>
                <w:color w:val="auto"/>
              </w:rPr>
            </w:pPr>
            <w:r>
              <w:rPr>
                <w:rFonts w:ascii="Arial" w:cs="Arial" w:eastAsia="Arial" w:hAnsi="Arial"/>
                <w:sz w:val="18"/>
                <w:szCs w:val="18"/>
                <w:color w:val="auto"/>
              </w:rPr>
              <w:t>Range of</w:t>
            </w: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160" w:type="dxa"/>
            <w:vAlign w:val="bottom"/>
          </w:tcPr>
          <w:p>
            <w:pPr>
              <w:jc w:val="center"/>
              <w:ind w:left="230"/>
              <w:spacing w:after="0"/>
              <w:rPr>
                <w:sz w:val="20"/>
                <w:szCs w:val="20"/>
                <w:color w:val="auto"/>
              </w:rPr>
            </w:pPr>
            <w:r>
              <w:rPr>
                <w:rFonts w:ascii="Arial" w:cs="Arial" w:eastAsia="Arial" w:hAnsi="Arial"/>
                <w:sz w:val="18"/>
                <w:szCs w:val="18"/>
                <w:color w:val="auto"/>
                <w:w w:val="90"/>
              </w:rPr>
              <w:t>contractual</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left="256"/>
              <w:spacing w:after="0"/>
              <w:rPr>
                <w:sz w:val="20"/>
                <w:szCs w:val="20"/>
                <w:color w:val="auto"/>
              </w:rPr>
            </w:pPr>
            <w:r>
              <w:rPr>
                <w:rFonts w:ascii="Arial" w:cs="Arial" w:eastAsia="Arial" w:hAnsi="Arial"/>
                <w:sz w:val="18"/>
                <w:szCs w:val="18"/>
                <w:color w:val="auto"/>
                <w:w w:val="89"/>
              </w:rPr>
              <w:t>exercise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options</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exercise</w:t>
            </w:r>
          </w:p>
        </w:tc>
      </w:tr>
      <w:tr>
        <w:trPr>
          <w:trHeight w:val="230"/>
        </w:trPr>
        <w:tc>
          <w:tcPr>
            <w:tcW w:w="216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exercise prices</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options</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rPr>
              <w:t>life</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ind w:left="256"/>
              <w:spacing w:after="0"/>
              <w:rPr>
                <w:sz w:val="20"/>
                <w:szCs w:val="20"/>
                <w:color w:val="auto"/>
              </w:rPr>
            </w:pPr>
            <w:r>
              <w:rPr>
                <w:rFonts w:ascii="Arial" w:cs="Arial" w:eastAsia="Arial" w:hAnsi="Arial"/>
                <w:sz w:val="18"/>
                <w:szCs w:val="18"/>
                <w:color w:val="auto"/>
                <w:w w:val="92"/>
              </w:rPr>
              <w:t>price</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exercisable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price</w:t>
            </w:r>
          </w:p>
        </w:tc>
        <w:tc>
          <w:tcPr>
            <w:tcW w:w="100" w:type="dxa"/>
            <w:vAlign w:val="bottom"/>
          </w:tcPr>
          <w:p>
            <w:pPr>
              <w:spacing w:after="0"/>
              <w:rPr>
                <w:sz w:val="20"/>
                <w:szCs w:val="20"/>
                <w:color w:val="auto"/>
              </w:rPr>
            </w:pPr>
          </w:p>
        </w:tc>
      </w:tr>
      <w:tr>
        <w:trPr>
          <w:trHeight w:val="210"/>
        </w:trPr>
        <w:tc>
          <w:tcPr>
            <w:tcW w:w="21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$3.71 - $3.94</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204,244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0.81</w:t>
            </w:r>
          </w:p>
        </w:tc>
        <w:tc>
          <w:tcPr>
            <w:tcW w:w="1140" w:type="dxa"/>
            <w:vAlign w:val="bottom"/>
            <w:shd w:val="clear" w:color="auto" w:fill="CCEEFF"/>
          </w:tcPr>
          <w:p>
            <w:pPr>
              <w:jc w:val="right"/>
              <w:ind w:right="97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3.80</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204,244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r>
      <w:tr>
        <w:trPr>
          <w:trHeight w:val="216"/>
        </w:trPr>
        <w:tc>
          <w:tcPr>
            <w:tcW w:w="1000" w:type="dxa"/>
            <w:vAlign w:val="bottom"/>
          </w:tcPr>
          <w:p>
            <w:pPr>
              <w:ind w:left="560"/>
              <w:spacing w:after="0"/>
              <w:rPr>
                <w:sz w:val="20"/>
                <w:szCs w:val="20"/>
                <w:color w:val="auto"/>
              </w:rPr>
            </w:pPr>
            <w:r>
              <w:rPr>
                <w:rFonts w:ascii="Arial" w:cs="Arial" w:eastAsia="Arial" w:hAnsi="Arial"/>
                <w:sz w:val="18"/>
                <w:szCs w:val="18"/>
                <w:color w:val="auto"/>
                <w:w w:val="93"/>
              </w:rPr>
              <w:t>$4.29</w:t>
            </w:r>
          </w:p>
        </w:tc>
        <w:tc>
          <w:tcPr>
            <w:tcW w:w="1160" w:type="dxa"/>
            <w:vAlign w:val="bottom"/>
          </w:tcPr>
          <w:p>
            <w:pPr>
              <w:jc w:val="right"/>
              <w:ind w:right="490"/>
              <w:spacing w:after="0"/>
              <w:rPr>
                <w:sz w:val="20"/>
                <w:szCs w:val="20"/>
                <w:color w:val="auto"/>
              </w:rPr>
            </w:pPr>
            <w:r>
              <w:rPr>
                <w:rFonts w:ascii="Arial" w:cs="Arial" w:eastAsia="Arial" w:hAnsi="Arial"/>
                <w:sz w:val="18"/>
                <w:szCs w:val="18"/>
                <w:color w:val="auto"/>
                <w:w w:val="99"/>
              </w:rPr>
              <w:t>- $5.71</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317,667</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2.78</w:t>
            </w:r>
          </w:p>
        </w:tc>
        <w:tc>
          <w:tcPr>
            <w:tcW w:w="11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4.93</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317,667</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r>
      <w:tr>
        <w:trPr>
          <w:trHeight w:val="216"/>
        </w:trPr>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$6.24</w:t>
            </w:r>
          </w:p>
        </w:tc>
        <w:tc>
          <w:tcPr>
            <w:tcW w:w="11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 $7.16</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267,333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6.13</w:t>
            </w:r>
          </w:p>
        </w:tc>
        <w:tc>
          <w:tcPr>
            <w:tcW w:w="1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6.54</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13,667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r>
      <w:tr>
        <w:trPr>
          <w:trHeight w:val="216"/>
        </w:trPr>
        <w:tc>
          <w:tcPr>
            <w:tcW w:w="1000" w:type="dxa"/>
            <w:vAlign w:val="bottom"/>
          </w:tcPr>
          <w:p>
            <w:pPr>
              <w:ind w:left="560"/>
              <w:spacing w:after="0"/>
              <w:rPr>
                <w:sz w:val="20"/>
                <w:szCs w:val="20"/>
                <w:color w:val="auto"/>
              </w:rPr>
            </w:pPr>
            <w:r>
              <w:rPr>
                <w:rFonts w:ascii="Arial" w:cs="Arial" w:eastAsia="Arial" w:hAnsi="Arial"/>
                <w:sz w:val="18"/>
                <w:szCs w:val="18"/>
                <w:color w:val="auto"/>
                <w:w w:val="93"/>
              </w:rPr>
              <w:t>$8.25</w:t>
            </w:r>
          </w:p>
        </w:tc>
        <w:tc>
          <w:tcPr>
            <w:tcW w:w="1160" w:type="dxa"/>
            <w:vAlign w:val="bottom"/>
          </w:tcPr>
          <w:p>
            <w:pPr>
              <w:jc w:val="right"/>
              <w:ind w:right="490"/>
              <w:spacing w:after="0"/>
              <w:rPr>
                <w:sz w:val="20"/>
                <w:szCs w:val="20"/>
                <w:color w:val="auto"/>
              </w:rPr>
            </w:pPr>
            <w:r>
              <w:rPr>
                <w:rFonts w:ascii="Arial" w:cs="Arial" w:eastAsia="Arial" w:hAnsi="Arial"/>
                <w:sz w:val="18"/>
                <w:szCs w:val="18"/>
                <w:color w:val="auto"/>
                <w:w w:val="99"/>
              </w:rPr>
              <w:t>- $9.96</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427,919</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5.01</w:t>
            </w:r>
          </w:p>
        </w:tc>
        <w:tc>
          <w:tcPr>
            <w:tcW w:w="11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8.92</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202,874</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r>
      <w:tr>
        <w:trPr>
          <w:trHeight w:val="209"/>
        </w:trPr>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 w:type="dxa"/>
            <w:vAlign w:val="bottom"/>
          </w:tcPr>
          <w:p>
            <w:pPr>
              <w:ind w:left="560"/>
              <w:spacing w:after="0"/>
              <w:rPr>
                <w:sz w:val="20"/>
                <w:szCs w:val="20"/>
                <w:color w:val="auto"/>
              </w:rPr>
            </w:pPr>
            <w:r>
              <w:rPr>
                <w:rFonts w:ascii="Arial" w:cs="Arial" w:eastAsia="Arial" w:hAnsi="Arial"/>
                <w:sz w:val="18"/>
                <w:szCs w:val="18"/>
                <w:color w:val="auto"/>
                <w:w w:val="93"/>
              </w:rPr>
              <w:t>$3.71</w:t>
            </w:r>
          </w:p>
        </w:tc>
        <w:tc>
          <w:tcPr>
            <w:tcW w:w="1160" w:type="dxa"/>
            <w:vAlign w:val="bottom"/>
          </w:tcPr>
          <w:p>
            <w:pPr>
              <w:jc w:val="right"/>
              <w:ind w:right="490"/>
              <w:spacing w:after="0"/>
              <w:rPr>
                <w:sz w:val="20"/>
                <w:szCs w:val="20"/>
                <w:color w:val="auto"/>
              </w:rPr>
            </w:pPr>
            <w:r>
              <w:rPr>
                <w:rFonts w:ascii="Arial" w:cs="Arial" w:eastAsia="Arial" w:hAnsi="Arial"/>
                <w:sz w:val="18"/>
                <w:szCs w:val="18"/>
                <w:color w:val="auto"/>
                <w:w w:val="99"/>
              </w:rPr>
              <w:t>- $9.96</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1,217,163</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3.97</w:t>
            </w:r>
          </w:p>
        </w:tc>
        <w:tc>
          <w:tcPr>
            <w:tcW w:w="1140" w:type="dxa"/>
            <w:vAlign w:val="bottom"/>
          </w:tcPr>
          <w:p>
            <w:pPr>
              <w:jc w:val="right"/>
              <w:ind w:right="97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6.50</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738,452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r>
      <w:tr>
        <w:trPr>
          <w:trHeight w:val="20"/>
        </w:trPr>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fair value of options granted during the years ended December 31, 2020 and 2019 was $2.78 and $3.77, respectively. The total intrinsic value of options (which is the amount by which the stock price exceeded the exercise price of the options on the date of exercise) exercised during the years ended December 31, 2020 and 2019 was $427 and $931,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received from stock option exercises under our stock-based compensation plans for the years ended December 31, 2020 and 2019 was $238 and $930, respectively.</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October 2020, 5,000 shares of restricted stock were awarded to an employee at a weighted-average grant date fair value of $6.08 per share. In April 2019, 20,000 shares of restricted stock were awarded to certain of our employees at a weighted-average grant date fair value of $11.12 per share. In January</w:t>
      </w:r>
    </w:p>
    <w:p>
      <w:pPr>
        <w:sectPr>
          <w:pgSz w:w="11900" w:h="16902" w:orient="portrait"/>
          <w:cols w:equalWidth="0" w:num="1">
            <w:col w:w="11240"/>
          </w:cols>
          <w:pgMar w:left="320" w:top="125" w:right="339" w:bottom="0" w:gutter="0" w:footer="0" w:header="0"/>
        </w:sectPr>
      </w:pPr>
    </w:p>
    <w:bookmarkStart w:id="42" w:name="page43"/>
    <w:bookmarkEnd w:id="42"/>
    <w:p>
      <w:pPr>
        <w:jc w:val="both"/>
        <w:spacing w:after="0" w:line="286" w:lineRule="auto"/>
        <w:rPr>
          <w:sz w:val="20"/>
          <w:szCs w:val="20"/>
          <w:color w:val="auto"/>
        </w:rPr>
      </w:pPr>
      <w:r>
        <w:rPr>
          <w:rFonts w:ascii="Arial" w:cs="Arial" w:eastAsia="Arial" w:hAnsi="Arial"/>
          <w:sz w:val="17"/>
          <w:szCs w:val="17"/>
          <w:color w:val="auto"/>
        </w:rPr>
        <w:t>2018, 17,500 shares of restricted stock were awarded to certain of our employees at a weighted-average grant date fair value of $7.16 per share. All outstanding restricted shares vest in equal annual installments over three years. As of December 31, 2020, there was $70 of total unrecognized compensation costs related to outstanding restricted shares, which we expect to recognize over a weighted average period of 1.9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 were 249,604 shares of common stock available for future issuance under equity compensation plans as of December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and 2019, we recognized income tax expense of $1,692 and $1,457, respectively.</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6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r>
      <w:tr>
        <w:trPr>
          <w:trHeight w:val="20"/>
        </w:trPr>
        <w:tc>
          <w:tcPr>
            <w:tcW w:w="6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306</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1,673</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1,236</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6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1,386</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1,211</w:t>
            </w:r>
          </w:p>
        </w:tc>
      </w:tr>
      <w:tr>
        <w:trPr>
          <w:trHeight w:val="20"/>
        </w:trPr>
        <w:tc>
          <w:tcPr>
            <w:tcW w:w="6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1,457</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Deferred income taxes reflect the net tax effect of temporary differences between the carrying amounts of assets and liabilities for financial reporting purposes and the amount used for income tax purposes. Significant components of our deferred tax assets and liabilities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9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12,481</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14,579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9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1,352</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reserves and other</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2,176</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984</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19,063</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20,034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(1,942)</w:t>
            </w: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17,121</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18,092</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(5,538)</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(5,800)</w:t>
            </w: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11,321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12,663</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w w:val="98"/>
              </w:rPr>
              <w:t>Net deferred tax assets (liabilities) are comprised of the following balance sheet amounts: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11,836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13,222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11,321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12,663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financial reporting purposes, income from continuing operations before income taxes is as follows: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22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6,586</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5,992</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Foreign</w:t>
            </w:r>
          </w:p>
        </w:tc>
        <w:tc>
          <w:tcPr>
            <w:tcW w:w="10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437</w:t>
            </w:r>
          </w:p>
        </w:tc>
        <w:tc>
          <w:tcPr>
            <w:tcW w:w="10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779</w:t>
            </w:r>
          </w:p>
        </w:tc>
      </w:tr>
      <w:tr>
        <w:trPr>
          <w:trHeight w:val="20"/>
        </w:trPr>
        <w:tc>
          <w:tcPr>
            <w:tcW w:w="6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7,023</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6,771</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line="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income from continuing operations before income taxes as follows:</w:t>
      </w:r>
    </w:p>
    <w:p>
      <w:pPr>
        <w:spacing w:after="0" w:line="166"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income tax 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Increase (decrease) in tax provision resulting from:</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compensation</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r>
      <w:tr>
        <w:trPr>
          <w:trHeight w:val="216"/>
        </w:trPr>
        <w:tc>
          <w:tcPr>
            <w:tcW w:w="7180" w:type="dxa"/>
            <w:vAlign w:val="bottom"/>
            <w:gridSpan w:val="2"/>
          </w:tcPr>
          <w:p>
            <w:pPr>
              <w:ind w:left="180"/>
              <w:spacing w:after="0"/>
              <w:rPr>
                <w:sz w:val="20"/>
                <w:szCs w:val="20"/>
                <w:color w:val="auto"/>
              </w:rPr>
            </w:pPr>
            <w:r>
              <w:rPr>
                <w:rFonts w:ascii="Arial" w:cs="Arial" w:eastAsia="Arial" w:hAnsi="Arial"/>
                <w:sz w:val="18"/>
                <w:szCs w:val="18"/>
                <w:color w:val="auto"/>
              </w:rPr>
              <w:t>Income tax credits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r>
      <w:tr>
        <w:trPr>
          <w:trHeight w:val="216"/>
        </w:trPr>
        <w:tc>
          <w:tcPr>
            <w:tcW w:w="7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tax rates</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r>
      <w:tr>
        <w:trPr>
          <w:trHeight w:val="20"/>
        </w:trPr>
        <w:tc>
          <w:tcPr>
            <w:tcW w:w="6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0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0"/>
        </w:trPr>
        <w:tc>
          <w:tcPr>
            <w:tcW w:w="6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it was concluded that it is more likely than not that our U.S. deferred tax assets will be fully realized on the basis of management’s assessment. In evaluating the realizability of our U.S. deferred tax assets, management considered all available evidence and concluded that positive factors, including our sustained profitability and continued improvement in our ability to achieve internal earnings forecasts, outweighed all negative factors, including our history of operating losses (prior to 2015) and historical operating volatility. Our assessment also considered our ability to fully utilize before expiration our domestic net operating loss carryforwards, which expire 2021 thru 2035, and our general business tax credit carryforwards, which expire 2028 thru 2039. As of December 31, 2020, our domestic net operating loss carryforwards and general business tax credits were $47,755 and $2,070, respectively.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for certain past operations in the U.K., we continue to report a valuation allowance for net operating loss carryforwards of approximately $11,000, nearly all of which can be carried forward indefinitely. Management has concluded that utilization of the U.K. net operating losses may be limited due to the change in the past U.K. operation, and that they cannot currently be used to reduce taxable income of our other U.K. subsidiary, Accutronics Ltd. There are no other deferred tax assets related to the past U.K.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have not recognized a valuation allowance against our other foreign deferred tax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December 31, 2020 and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Company maintains its assertion that all foreign earnings will be indefinitely reinvested in those operations, other than earnings generated in the U.K.</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result of our operations, we file income tax returns in various jurisdictions including U.S. federal, U.S. state and foreign jurisdictions. We are routinely subject to examination by taxing authorities in these various jurisdictions. In August 2020, the Internal Revenue Service (“IRS”) completed its examination of the Company’s federal tax returns for 2016-2018 with no material adjustments identified. Our U.S. tax matters for 2019 remain subject to IRS examination. Our U.S. tax matters for 2001, 2002, 2005-2007 and 2011-2015 also remain subject to IRS examination due to the remaining availability of net operating loss carryforwards generated in those years. Our U.S. tax matters for 2001, 2002, 2005-2007 and 2011-2019 remain subject to examination by various state and local tax jurisdictions. Our tax matters for the years 2010 through 2019 remain subject to examination by the respective foreign tax jurisdiction authorities.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Operating 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operating leases predominantly for operating facilities. As of December 31, 2020, the remaining lease terms on our operating leases range from approximately one year to less than four years. Renewal options not yet exercised and termination options are not reasonably certain of exercise by the Company. There is no transfer of title or option to purchase the leased assets upon expiration. There are no residual value guarantees or material restrictive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5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1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10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628</w:t>
            </w:r>
          </w:p>
        </w:tc>
      </w:tr>
      <w:tr>
        <w:trPr>
          <w:trHeight w:val="216"/>
        </w:trPr>
        <w:tc>
          <w:tcPr>
            <w:tcW w:w="6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Variable lease cost</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0"/>
        </w:trPr>
        <w:tc>
          <w:tcPr>
            <w:tcW w:w="660" w:type="dxa"/>
            <w:vAlign w:val="bottom"/>
          </w:tcPr>
          <w:p>
            <w:pPr>
              <w:spacing w:after="0" w:line="20" w:lineRule="exact"/>
              <w:rPr>
                <w:sz w:val="1"/>
                <w:szCs w:val="1"/>
                <w:color w:val="auto"/>
              </w:rPr>
            </w:pPr>
          </w:p>
        </w:tc>
        <w:tc>
          <w:tcPr>
            <w:tcW w:w="55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cost</w:t>
            </w: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10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712</w:t>
            </w:r>
          </w:p>
        </w:tc>
      </w:tr>
      <w:tr>
        <w:trPr>
          <w:trHeight w:val="20"/>
        </w:trPr>
        <w:tc>
          <w:tcPr>
            <w:tcW w:w="66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22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4"/>
              </w:rPr>
              <w:t>Year ended December 31,</w:t>
            </w:r>
          </w:p>
        </w:tc>
      </w:tr>
      <w:tr>
        <w:trPr>
          <w:trHeight w:val="209"/>
        </w:trPr>
        <w:tc>
          <w:tcPr>
            <w:tcW w:w="5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320"/>
              <w:spacing w:after="0"/>
              <w:rPr>
                <w:sz w:val="20"/>
                <w:szCs w:val="20"/>
                <w:color w:val="auto"/>
              </w:rPr>
            </w:pPr>
            <w:r>
              <w:rPr>
                <w:rFonts w:ascii="Arial" w:cs="Arial" w:eastAsia="Arial" w:hAnsi="Arial"/>
                <w:sz w:val="18"/>
                <w:szCs w:val="18"/>
                <w:color w:val="auto"/>
              </w:rPr>
              <w:t>Operating cash flows from operating leases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r>
      <w:tr>
        <w:trPr>
          <w:trHeight w:val="20"/>
        </w:trPr>
        <w:tc>
          <w:tcPr>
            <w:tcW w:w="59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r>
      <w:tr>
        <w:trPr>
          <w:trHeight w:val="20"/>
        </w:trPr>
        <w:tc>
          <w:tcPr>
            <w:tcW w:w="59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21"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03200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32000" cy="5715"/>
                    </a:xfrm>
                    <a:prstGeom prst="rect">
                      <a:avLst/>
                    </a:prstGeom>
                    <a:noFill/>
                  </pic:spPr>
                </pic:pic>
              </a:graphicData>
            </a:graphic>
          </wp:anchor>
        </w:drawing>
      </w:r>
    </w:p>
    <w:p>
      <w:pPr>
        <w:sectPr>
          <w:pgSz w:w="11900" w:h="16864" w:orient="portrait"/>
          <w:cols w:equalWidth="0" w:num="1">
            <w:col w:w="11240"/>
          </w:cols>
          <w:pgMar w:left="320" w:top="611" w:right="339" w:bottom="0" w:gutter="0" w:footer="0" w:header="0"/>
        </w:sectPr>
      </w:pPr>
    </w:p>
    <w:bookmarkStart w:id="44" w:name="page45"/>
    <w:bookmarkEnd w:id="4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Classification</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w:t>
            </w:r>
          </w:p>
        </w:tc>
        <w:tc>
          <w:tcPr>
            <w:tcW w:w="37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2,189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1,866</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liability</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620</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20" w:type="dxa"/>
            <w:vAlign w:val="bottom"/>
            <w:gridSpan w:val="3"/>
          </w:tcPr>
          <w:p>
            <w:pPr>
              <w:ind w:left="180"/>
              <w:spacing w:after="0"/>
              <w:rPr>
                <w:sz w:val="20"/>
                <w:szCs w:val="20"/>
                <w:color w:val="auto"/>
              </w:rPr>
            </w:pPr>
            <w:r>
              <w:rPr>
                <w:rFonts w:ascii="Arial" w:cs="Arial" w:eastAsia="Arial" w:hAnsi="Arial"/>
                <w:sz w:val="18"/>
                <w:szCs w:val="18"/>
                <w:color w:val="auto"/>
              </w:rPr>
              <w:t>Operating lease liability, net of current portionOther noncurrent liabilities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1,524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1,247</w:t>
            </w:r>
          </w:p>
        </w:tc>
        <w:tc>
          <w:tcPr>
            <w:tcW w:w="4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lease liability</w:t>
            </w:r>
          </w:p>
        </w:tc>
        <w:tc>
          <w:tcPr>
            <w:tcW w:w="37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1,867</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Weighted-average remaining lease term (years)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8"/>
                <w:szCs w:val="18"/>
                <w:color w:val="auto"/>
              </w:rPr>
            </w:pPr>
          </w:p>
        </w:tc>
      </w:tr>
      <w:tr>
        <w:trPr>
          <w:trHeight w:val="432"/>
        </w:trPr>
        <w:tc>
          <w:tcPr>
            <w:tcW w:w="7380" w:type="dxa"/>
            <w:vAlign w:val="bottom"/>
            <w:gridSpan w:val="4"/>
          </w:tcPr>
          <w:p>
            <w:pPr>
              <w:jc w:val="right"/>
              <w:ind w:right="1990"/>
              <w:spacing w:after="0"/>
              <w:rPr>
                <w:sz w:val="20"/>
                <w:szCs w:val="20"/>
                <w:color w:val="auto"/>
              </w:rPr>
            </w:pPr>
            <w:r>
              <w:rPr>
                <w:rFonts w:ascii="Arial" w:cs="Arial" w:eastAsia="Arial" w:hAnsi="Arial"/>
                <w:sz w:val="18"/>
                <w:szCs w:val="18"/>
                <w:color w:val="auto"/>
                <w:w w:val="89"/>
              </w:rPr>
              <w:t>Future minimum lease payments as of December 31, 2020 are as follows: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Maturity of Operating Lease Liabilities</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9"/>
        </w:trPr>
        <w:tc>
          <w:tcPr>
            <w:tcW w:w="660" w:type="dxa"/>
            <w:vAlign w:val="bottom"/>
            <w:gridSpan w:val="2"/>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660" w:type="dxa"/>
            <w:vAlign w:val="bottom"/>
            <w:gridSpan w:val="2"/>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2022</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660" w:type="dxa"/>
            <w:vAlign w:val="bottom"/>
            <w:gridSpan w:val="2"/>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660" w:type="dxa"/>
            <w:vAlign w:val="bottom"/>
            <w:gridSpan w:val="2"/>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2024</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lease payments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2,405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Present value of remaining lease payments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426"/>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3700" w:type="dxa"/>
            <w:vAlign w:val="bottom"/>
            <w:tcBorders>
              <w:top w:val="single" w:sz="8" w:color="auto"/>
            </w:tcBorders>
          </w:tcPr>
          <w:p>
            <w:pPr>
              <w:jc w:val="right"/>
              <w:ind w:right="1570"/>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10 - 401(k) Retirement Benefit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 defined contribution 401(k) plan covering substantially all employees. Employees can contribute a portion of their salary or wages as prescribed under Section 401(k) of the Internal Revenue Code and, subject to certain limitations, we may, at the discretion of our Board of Directors, authorize an employer contribution based on a portion of the employees' contributions. For the years ended December 31, 2020 and 2019, the Company matched 50% on the first 6% contributed by an employee, or a maximum of 3% of the employee’s income. For 2020 and 2019, we contributed $338 and $319, respectively, to the 401(k) plan.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Business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jc w:val="right"/>
              <w:ind w:right="3850"/>
              <w:spacing w:after="0"/>
              <w:rPr>
                <w:sz w:val="20"/>
                <w:szCs w:val="20"/>
                <w:color w:val="auto"/>
              </w:rPr>
            </w:pPr>
            <w:r>
              <w:rPr>
                <w:rFonts w:ascii="Arial" w:cs="Arial" w:eastAsia="Arial" w:hAnsi="Arial"/>
                <w:sz w:val="18"/>
                <w:szCs w:val="18"/>
                <w:b w:val="1"/>
                <w:bCs w:val="1"/>
                <w:color w:val="auto"/>
                <w:w w:val="86"/>
              </w:rPr>
              <w:t>2020: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14"/>
        </w:trPr>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Battery &amp;</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Energy</w:t>
            </w:r>
          </w:p>
        </w:tc>
        <w:tc>
          <w:tcPr>
            <w:tcW w:w="1660" w:type="dxa"/>
            <w:vAlign w:val="bottom"/>
            <w:gridSpan w:val="4"/>
          </w:tcPr>
          <w:p>
            <w:pPr>
              <w:ind w:left="160"/>
              <w:spacing w:after="0"/>
              <w:rPr>
                <w:sz w:val="20"/>
                <w:szCs w:val="20"/>
                <w:color w:val="auto"/>
              </w:rPr>
            </w:pPr>
            <w:r>
              <w:rPr>
                <w:rFonts w:ascii="Arial" w:cs="Arial" w:eastAsia="Arial" w:hAnsi="Arial"/>
                <w:sz w:val="18"/>
                <w:szCs w:val="18"/>
                <w:b w:val="1"/>
                <w:bCs w:val="1"/>
                <w:color w:val="auto"/>
              </w:rPr>
              <w:t>Communications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Systems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91,907</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107,712</w:t>
            </w:r>
          </w:p>
        </w:tc>
        <w:tc>
          <w:tcPr>
            <w:tcW w:w="15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23,400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5,759</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(23,458)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5,701</w:t>
            </w:r>
          </w:p>
        </w:tc>
        <w:tc>
          <w:tcPr>
            <w:tcW w:w="15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w:t>
            </w:r>
          </w:p>
        </w:tc>
        <w:tc>
          <w:tcPr>
            <w:tcW w:w="15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1,692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1,692</w:t>
            </w:r>
          </w:p>
        </w:tc>
        <w:tc>
          <w:tcPr>
            <w:tcW w:w="15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5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5,232</w:t>
            </w:r>
          </w:p>
        </w:tc>
        <w:tc>
          <w:tcPr>
            <w:tcW w:w="15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85,112</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26,425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26,164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137,701</w:t>
            </w:r>
          </w:p>
        </w:tc>
        <w:tc>
          <w:tcPr>
            <w:tcW w:w="15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3,031</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c>
          <w:tcPr>
            <w:tcW w:w="15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15,525</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11,493</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27,018</w:t>
            </w:r>
          </w:p>
        </w:tc>
        <w:tc>
          <w:tcPr>
            <w:tcW w:w="15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2,269</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w:t>
            </w:r>
          </w:p>
        </w:tc>
        <w:tc>
          <w:tcPr>
            <w:tcW w:w="152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c>
          <w:tcPr>
            <w:tcW w:w="1520" w:type="dxa"/>
            <w:vAlign w:val="bottom"/>
          </w:tcPr>
          <w:p>
            <w:pPr>
              <w:spacing w:after="0"/>
              <w:rPr>
                <w:sz w:val="20"/>
                <w:szCs w:val="20"/>
                <w:color w:val="auto"/>
              </w:rPr>
            </w:pPr>
          </w:p>
        </w:tc>
      </w:tr>
      <w:tr>
        <w:trPr>
          <w:trHeight w:val="418"/>
        </w:trPr>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66</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Battery &amp;</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Energy</w:t>
            </w: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Communications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1"/>
        </w:trPr>
        <w:tc>
          <w:tcPr>
            <w:tcW w:w="42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Products</w:t>
            </w:r>
          </w:p>
        </w:tc>
        <w:tc>
          <w:tcPr>
            <w:tcW w:w="18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Systems</w:t>
            </w:r>
          </w:p>
        </w:tc>
        <w:tc>
          <w:tcPr>
            <w:tcW w:w="18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Corporate</w:t>
            </w:r>
          </w:p>
        </w:tc>
        <w:tc>
          <w:tcPr>
            <w:tcW w:w="18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4"/>
                <w:szCs w:val="24"/>
                <w:color w:val="auto"/>
              </w:rPr>
            </w:pPr>
          </w:p>
        </w:tc>
      </w:tr>
    </w:tbl>
    <w:p>
      <w:pPr>
        <w:sectPr>
          <w:pgSz w:w="11900" w:h="16900" w:orient="portrait"/>
          <w:cols w:equalWidth="0" w:num="1">
            <w:col w:w="11240"/>
          </w:cols>
          <w:pgMar w:left="320" w:top="121" w:right="339" w:bottom="0" w:gutter="0" w:footer="0" w:header="0"/>
        </w:sectPr>
      </w:pPr>
    </w:p>
    <w:bookmarkStart w:id="45" w:name="page46"/>
    <w:bookmarkEnd w:id="45"/>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83,996</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106,795</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6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22,813</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8,352</w:t>
            </w:r>
          </w:p>
        </w:tc>
        <w:tc>
          <w:tcPr>
            <w:tcW w:w="4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(23,797)</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7,368</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1,457</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10"/>
        </w:trPr>
        <w:tc>
          <w:tcPr>
            <w:tcW w:w="39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income attributable to Ultralife</w:t>
            </w: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5,205</w:t>
            </w:r>
          </w:p>
        </w:tc>
        <w:tc>
          <w:tcPr>
            <w:tcW w:w="100" w:type="dxa"/>
            <w:vAlign w:val="bottom"/>
            <w:tcBorders>
              <w:top w:val="single" w:sz="8" w:color="CCEEFF"/>
            </w:tcBorders>
          </w:tcPr>
          <w:p>
            <w:pPr>
              <w:spacing w:after="0"/>
              <w:rPr>
                <w:sz w:val="18"/>
                <w:szCs w:val="18"/>
                <w:color w:val="auto"/>
              </w:rPr>
            </w:pPr>
          </w:p>
        </w:tc>
      </w:tr>
      <w:tr>
        <w:trPr>
          <w:trHeight w:val="216"/>
        </w:trPr>
        <w:tc>
          <w:tcPr>
            <w:tcW w:w="3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79,413</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40,458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24,686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144,557</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5,805</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6,281</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15,260</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11,493</w:t>
            </w:r>
          </w:p>
        </w:tc>
        <w:tc>
          <w:tcPr>
            <w:tcW w:w="44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26,753</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Depreciation and amortization of intangible assets</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2,104</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279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Long-lived assets (comprised of property, plant and equipment; goodwill; and other intangible assets) held outside the U.S., principally in the United Kingdom and China, were $12,456 and $12,414 as of December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Commercial and Government/Defense Revenue Information:</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53"/>
        </w:trPr>
        <w:tc>
          <w:tcPr>
            <w:tcW w:w="5160" w:type="dxa"/>
            <w:vAlign w:val="bottom"/>
            <w:gridSpan w:val="4"/>
          </w:tcPr>
          <w:p>
            <w:pPr>
              <w:spacing w:after="0"/>
              <w:rPr>
                <w:sz w:val="20"/>
                <w:szCs w:val="20"/>
                <w:color w:val="auto"/>
              </w:rPr>
            </w:pPr>
            <w:r>
              <w:rPr>
                <w:rFonts w:ascii="Arial" w:cs="Arial" w:eastAsia="Arial" w:hAnsi="Arial"/>
                <w:sz w:val="18"/>
                <w:szCs w:val="18"/>
                <w:b w:val="1"/>
                <w:bCs w:val="1"/>
                <w:color w:val="auto"/>
              </w:rPr>
              <w:t>Year ended December 31, 2020:</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Government/</w:t>
            </w:r>
          </w:p>
        </w:tc>
        <w:tc>
          <w:tcPr>
            <w:tcW w:w="98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Commercial</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91,907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62,330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29,577</w:t>
            </w:r>
          </w:p>
        </w:tc>
        <w:tc>
          <w:tcPr>
            <w:tcW w:w="9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Communications Systems</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15,805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15,805</w:t>
            </w:r>
          </w:p>
        </w:tc>
        <w:tc>
          <w:tcPr>
            <w:tcW w:w="98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5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62,330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45,382</w:t>
            </w:r>
          </w:p>
        </w:tc>
        <w:tc>
          <w:tcPr>
            <w:tcW w:w="98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58%</w:t>
            </w:r>
          </w:p>
        </w:tc>
        <w:tc>
          <w:tcPr>
            <w:tcW w:w="1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i w:val="1"/>
                <w:iCs w:val="1"/>
                <w:color w:val="auto"/>
              </w:rPr>
              <w:t>42%</w:t>
            </w:r>
          </w:p>
        </w:tc>
        <w:tc>
          <w:tcPr>
            <w:tcW w:w="980" w:type="dxa"/>
            <w:vAlign w:val="bottom"/>
          </w:tcPr>
          <w:p>
            <w:pPr>
              <w:spacing w:after="0"/>
              <w:rPr>
                <w:sz w:val="18"/>
                <w:szCs w:val="18"/>
                <w:color w:val="auto"/>
              </w:rPr>
            </w:pPr>
          </w:p>
        </w:tc>
      </w:tr>
      <w:tr>
        <w:trPr>
          <w:trHeight w:val="418"/>
        </w:trPr>
        <w:tc>
          <w:tcPr>
            <w:tcW w:w="5160" w:type="dxa"/>
            <w:vAlign w:val="bottom"/>
            <w:gridSpan w:val="4"/>
          </w:tcPr>
          <w:p>
            <w:pPr>
              <w:spacing w:after="0"/>
              <w:rPr>
                <w:sz w:val="20"/>
                <w:szCs w:val="20"/>
                <w:color w:val="auto"/>
              </w:rPr>
            </w:pPr>
            <w:r>
              <w:rPr>
                <w:rFonts w:ascii="Arial" w:cs="Arial" w:eastAsia="Arial" w:hAnsi="Arial"/>
                <w:sz w:val="18"/>
                <w:szCs w:val="18"/>
                <w:b w:val="1"/>
                <w:bCs w:val="1"/>
                <w:color w:val="auto"/>
              </w:rPr>
              <w:t>Year ended December 31, 2019:</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Government/</w:t>
            </w:r>
          </w:p>
        </w:tc>
        <w:tc>
          <w:tcPr>
            <w:tcW w:w="98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Commercial</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83,996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59,682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24,314</w:t>
            </w:r>
          </w:p>
        </w:tc>
        <w:tc>
          <w:tcPr>
            <w:tcW w:w="9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Communications Systems</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22,799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22,799</w:t>
            </w:r>
          </w:p>
        </w:tc>
        <w:tc>
          <w:tcPr>
            <w:tcW w:w="98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0"/>
        </w:trPr>
        <w:tc>
          <w:tcPr>
            <w:tcW w:w="160" w:type="dxa"/>
            <w:vAlign w:val="bottom"/>
          </w:tcPr>
          <w:p>
            <w:pPr>
              <w:spacing w:after="0"/>
              <w:rPr>
                <w:sz w:val="19"/>
                <w:szCs w:val="19"/>
                <w:color w:val="auto"/>
              </w:rPr>
            </w:pPr>
          </w:p>
        </w:tc>
        <w:tc>
          <w:tcPr>
            <w:tcW w:w="5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106,795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59,682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47,113</w:t>
            </w:r>
          </w:p>
        </w:tc>
        <w:tc>
          <w:tcPr>
            <w:tcW w:w="98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56%</w:t>
            </w:r>
          </w:p>
        </w:tc>
        <w:tc>
          <w:tcPr>
            <w:tcW w:w="1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i w:val="1"/>
                <w:iCs w:val="1"/>
                <w:color w:val="auto"/>
              </w:rPr>
              <w:t>44%</w:t>
            </w:r>
          </w:p>
        </w:tc>
        <w:tc>
          <w:tcPr>
            <w:tcW w:w="980" w:type="dxa"/>
            <w:vAlign w:val="bottom"/>
          </w:tcPr>
          <w:p>
            <w:pPr>
              <w:spacing w:after="0"/>
              <w:rPr>
                <w:sz w:val="18"/>
                <w:szCs w:val="18"/>
                <w:color w:val="auto"/>
              </w:rPr>
            </w:pPr>
          </w:p>
        </w:tc>
      </w:tr>
      <w:tr>
        <w:trPr>
          <w:trHeight w:val="418"/>
        </w:trPr>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85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3060" w:type="dxa"/>
            <w:vAlign w:val="bottom"/>
            <w:tcBorders>
              <w:bottom w:val="single" w:sz="8" w:color="9A9A9A"/>
            </w:tcBorders>
            <w:gridSpan w:val="2"/>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r>
        <w:trPr>
          <w:trHeight w:val="770"/>
        </w:trPr>
        <w:tc>
          <w:tcPr>
            <w:tcW w:w="5160" w:type="dxa"/>
            <w:vAlign w:val="bottom"/>
            <w:gridSpan w:val="4"/>
          </w:tcPr>
          <w:p>
            <w:pPr>
              <w:spacing w:after="0"/>
              <w:rPr>
                <w:sz w:val="20"/>
                <w:szCs w:val="20"/>
                <w:color w:val="auto"/>
              </w:rPr>
            </w:pPr>
            <w:r>
              <w:rPr>
                <w:rFonts w:ascii="Arial" w:cs="Arial" w:eastAsia="Arial" w:hAnsi="Arial"/>
                <w:sz w:val="18"/>
                <w:szCs w:val="18"/>
                <w:color w:val="auto"/>
              </w:rPr>
              <w:t>U.S. and Non-U.S. Revenue Information</w:t>
            </w:r>
            <w:r>
              <w:rPr>
                <w:rFonts w:ascii="Arial" w:cs="Arial" w:eastAsia="Arial" w:hAnsi="Arial"/>
                <w:sz w:val="13"/>
                <w:szCs w:val="13"/>
                <w:color w:val="auto"/>
              </w:rPr>
              <w:t>1</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3"/>
        </w:trPr>
        <w:tc>
          <w:tcPr>
            <w:tcW w:w="30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ended December 31, 2020:</w:t>
            </w:r>
          </w:p>
        </w:tc>
        <w:tc>
          <w:tcPr>
            <w:tcW w:w="21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United</w:t>
            </w:r>
          </w:p>
        </w:tc>
        <w:tc>
          <w:tcPr>
            <w:tcW w:w="18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Non-United</w:t>
            </w:r>
          </w:p>
        </w:tc>
        <w:tc>
          <w:tcPr>
            <w:tcW w:w="98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States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States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91,907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41,977</w:t>
            </w:r>
          </w:p>
        </w:tc>
        <w:tc>
          <w:tcPr>
            <w:tcW w:w="9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Communications Systems</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15,805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12,325</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3,480</w:t>
            </w:r>
          </w:p>
        </w:tc>
        <w:tc>
          <w:tcPr>
            <w:tcW w:w="98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0"/>
        </w:trPr>
        <w:tc>
          <w:tcPr>
            <w:tcW w:w="160" w:type="dxa"/>
            <w:vAlign w:val="bottom"/>
          </w:tcPr>
          <w:p>
            <w:pPr>
              <w:spacing w:after="0"/>
              <w:rPr>
                <w:sz w:val="19"/>
                <w:szCs w:val="19"/>
                <w:color w:val="auto"/>
              </w:rPr>
            </w:pPr>
          </w:p>
        </w:tc>
        <w:tc>
          <w:tcPr>
            <w:tcW w:w="5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45,457</w:t>
            </w:r>
          </w:p>
        </w:tc>
        <w:tc>
          <w:tcPr>
            <w:tcW w:w="98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58%</w:t>
            </w:r>
          </w:p>
        </w:tc>
        <w:tc>
          <w:tcPr>
            <w:tcW w:w="1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i w:val="1"/>
                <w:iCs w:val="1"/>
                <w:color w:val="auto"/>
              </w:rPr>
              <w:t>42%</w:t>
            </w:r>
          </w:p>
        </w:tc>
        <w:tc>
          <w:tcPr>
            <w:tcW w:w="980" w:type="dxa"/>
            <w:vAlign w:val="bottom"/>
          </w:tcPr>
          <w:p>
            <w:pPr>
              <w:spacing w:after="0"/>
              <w:rPr>
                <w:sz w:val="18"/>
                <w:szCs w:val="18"/>
                <w:color w:val="auto"/>
              </w:rPr>
            </w:pPr>
          </w:p>
        </w:tc>
      </w:tr>
      <w:tr>
        <w:trPr>
          <w:trHeight w:val="418"/>
        </w:trPr>
        <w:tc>
          <w:tcPr>
            <w:tcW w:w="5160" w:type="dxa"/>
            <w:vAlign w:val="bottom"/>
            <w:gridSpan w:val="4"/>
          </w:tcPr>
          <w:p>
            <w:pPr>
              <w:spacing w:after="0"/>
              <w:rPr>
                <w:sz w:val="20"/>
                <w:szCs w:val="20"/>
                <w:color w:val="auto"/>
              </w:rPr>
            </w:pPr>
            <w:r>
              <w:rPr>
                <w:rFonts w:ascii="Arial" w:cs="Arial" w:eastAsia="Arial" w:hAnsi="Arial"/>
                <w:sz w:val="18"/>
                <w:szCs w:val="18"/>
                <w:b w:val="1"/>
                <w:bCs w:val="1"/>
                <w:color w:val="auto"/>
              </w:rPr>
              <w:t>Year ended December 31, 2019:</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United</w:t>
            </w:r>
          </w:p>
        </w:tc>
        <w:tc>
          <w:tcPr>
            <w:tcW w:w="18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Non-United</w:t>
            </w:r>
          </w:p>
        </w:tc>
        <w:tc>
          <w:tcPr>
            <w:tcW w:w="98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States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States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83,996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41,772</w:t>
            </w:r>
          </w:p>
        </w:tc>
        <w:tc>
          <w:tcPr>
            <w:tcW w:w="9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Communications Systems</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22,799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21,151</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1,648</w:t>
            </w:r>
          </w:p>
        </w:tc>
        <w:tc>
          <w:tcPr>
            <w:tcW w:w="98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5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106,795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43,420</w:t>
            </w:r>
          </w:p>
        </w:tc>
        <w:tc>
          <w:tcPr>
            <w:tcW w:w="98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59%</w:t>
            </w:r>
          </w:p>
        </w:tc>
        <w:tc>
          <w:tcPr>
            <w:tcW w:w="1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i w:val="1"/>
                <w:iCs w:val="1"/>
                <w:color w:val="auto"/>
              </w:rPr>
              <w:t>41%</w:t>
            </w:r>
          </w:p>
        </w:tc>
        <w:tc>
          <w:tcPr>
            <w:tcW w:w="9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-3086100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-3094355</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Sales classified to U.S. include shipments to U.S.-based prime contractors which in some cases may serve non-U.S. projects.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Impact of COVID-19</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created significant economic disruption and uncertainty around the world. The Company continues to closely monitor the developments surrounding COVID-19 and take actions to mitigate the business risks involved. During this challenging time, we remain focused on ensuring the health and safety of our employees by implementing the protocols established by public health officials in addition to meeting the demand of our customers. As an essential supplier currently exempt from government-mandated shutdown directives, we are striving to ensure an uninterrupted flow of our mission critical products serving medical device, first responder, public safety, energy and national security customers. For 2020, we have maintained normal operations at all our facilities with the exception of an approximately one-month closure of our China facility as was mandated by the Chinese government through early March 2020.</w:t>
      </w:r>
    </w:p>
    <w:p>
      <w:pPr>
        <w:sectPr>
          <w:pgSz w:w="11900" w:h="16838" w:orient="portrait"/>
          <w:cols w:equalWidth="0" w:num="1">
            <w:col w:w="11240"/>
          </w:cols>
          <w:pgMar w:left="320" w:top="140" w:right="339" w:bottom="0" w:gutter="0" w:footer="0" w:header="0"/>
        </w:sectPr>
      </w:pPr>
    </w:p>
    <w:bookmarkStart w:id="46" w:name="page47"/>
    <w:bookmarkEnd w:id="46"/>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COVID-19 adversely impacted our operating results during 2020 primarily as a result of overall disruptions in supply chains impacting both commercial and government/defense markets, revenue declines in oil and gas and international industrial markets, and the approximately one-month closure of our China facility. This negative impact was partially offset by increased demand for our medical batteries, especially those used in ventilators, respirators and infusion pumps.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extent to which COVID-19 may further impact our business is uncertain and will depend on many evolving factors which we continue to monitor but cannot predict, including the duration and scope of the pandemic and actions taken by governments, businesses and individuals in response to the pandemic. Potential effects of COVID-19 that may adversely impact our future business include limited availability and/or increased cost of raw materials and components used in our products, reduced demand and/or pricing for our products, inability of our customers to pay for our products or remain solvent, and reduced availability of our workforce. Prolonged adverse effects of COVID-19 on our business could result in the impairment of long-lived assets including goodwill and other intangible assets. Further, we cannot predict all possible adverse effects the COVID-19 pandemic. While we continue to closely monitor the developments surrounding COVID-19 and take actions when possible to mitigate the business risks involved, the potential effects of COVID-19 on our business, alone or taken together, may pose a material risk to our future operating results and financial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u w:val="single" w:color="auto"/>
          <w:color w:val="auto"/>
        </w:rPr>
        <w:t>Evaluation of Disclosure Controls and Procedures</w:t>
      </w:r>
      <w:r>
        <w:rPr>
          <w:rFonts w:ascii="Arial" w:cs="Arial" w:eastAsia="Arial" w:hAnsi="Arial"/>
          <w:sz w:val="17"/>
          <w:szCs w:val="17"/>
          <w:b w:val="1"/>
          <w:bCs w:val="1"/>
          <w:color w:val="auto"/>
        </w:rPr>
        <w:t xml:space="preserve"> </w:t>
      </w:r>
      <w:r>
        <w:rPr>
          <w:rFonts w:ascii="Arial" w:cs="Arial" w:eastAsia="Arial" w:hAnsi="Arial"/>
          <w:sz w:val="17"/>
          <w:szCs w:val="17"/>
          <w:color w:val="auto"/>
        </w:rPr>
        <w:t>– Our president and chief executive officer (principal executive officer) and our 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treasurer (principal financial officer) have evaluated our disclosure controls and procedures (as defined in Securities Exchange Act Rule 13a-15(e)) as of the end of the period covered by this annual report. Based on this evaluation, our president and chief executive officer and chief financial officer and treasurer concluded that our disclosure controls and procedures were effective as of such date.</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Changes in Internal Controls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–There has been no change in our internal control over financial reporting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Rule 13a-15(f)) that occurred during the fourth quarter of the fiscal year covered by this annual report that has materially affected, or is reasonably likely to materially affect, our internal control over financial reporting.</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u w:val="single" w:color="auto"/>
          <w:color w:val="auto"/>
        </w:rPr>
        <w:t>Management’s Report on Internal Control Over Financial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 Our management team is responsible for establishing and maintaining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 control over our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the inherent limitations of internal control systems,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2020. In making this assessment, we used the criteria set forth by the Committee of Sponsoring Organizations of the Treadway Commission (“COSO”) in Internal Control-Integrated Framework (2013). Based on our assessment, we concluded that, as of December 31, 2020, our internal control over financial reporting was effective based on those criteria.</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Freed Maxick CPAs, P.C., an independent registered public accounting firm, which has audited and reported on the consolidated financial statements contained in this Annual Report on Form 10-K, has audited the effectiveness of the Company’s internal control over financial reporting as stated in their report, which is included in Part II, Item 8.</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required by Part III, other than as set forth in Item 12, and each of the following items is omitted from this report and will be presented in our definitive proxy statement (“Proxy Statement”) to be filed pursuant to Regulation 14A, not later than 120 days after the end of the fiscal year covered by this report, in connection with our 2021 Annual Meeting of Shareholders, which information included therein is incorporated herein by reference.</w:t>
      </w:r>
    </w:p>
    <w:p>
      <w:pPr>
        <w:spacing w:after="0" w:line="3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sections entitled “Election of Directors”, “Executive Officers”, “Delinquent Section 16(a) Reports Compliance” and “Corporate Governance” in the Proxy Statement are incorporated herein by reference.</w:t>
      </w:r>
    </w:p>
    <w:p>
      <w:pPr>
        <w:spacing w:after="0" w:line="3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sections entitled “Executive Compensation”, “Directors Compensation”, “Employment Arrangements” and “Compensation and Management Committee” in the Proxy Statement are incorporated herein by reference.</w:t>
      </w:r>
    </w:p>
    <w:p>
      <w:pPr>
        <w:sectPr>
          <w:pgSz w:w="11900" w:h="16922" w:orient="portrait"/>
          <w:cols w:equalWidth="0" w:num="1">
            <w:col w:w="11240"/>
          </w:cols>
          <w:pgMar w:left="320" w:top="341" w:right="339" w:bottom="0" w:gutter="0" w:footer="0" w:header="0"/>
        </w:sectPr>
      </w:pPr>
    </w:p>
    <w:bookmarkStart w:id="47" w:name="page48"/>
    <w:bookmarkEnd w:id="47"/>
    <w:p>
      <w:pPr>
        <w:spacing w:after="0" w:line="66"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section entitled “Security Ownership of Certain Beneficial Owners” and “Security Ownership of Management” in the Proxy Statement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3"/>
          </w:tcPr>
          <w:p>
            <w:pPr>
              <w:ind w:left="4100"/>
              <w:spacing w:after="0"/>
              <w:rPr>
                <w:sz w:val="20"/>
                <w:szCs w:val="20"/>
                <w:color w:val="auto"/>
              </w:rPr>
            </w:pPr>
            <w:r>
              <w:rPr>
                <w:rFonts w:ascii="Arial" w:cs="Arial" w:eastAsia="Arial" w:hAnsi="Arial"/>
                <w:sz w:val="18"/>
                <w:szCs w:val="18"/>
                <w:b w:val="1"/>
                <w:bCs w:val="1"/>
                <w:color w:val="auto"/>
                <w:w w:val="97"/>
              </w:rPr>
              <w:t>Equity Compensation Plan Information</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 securities</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remaining</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available for future</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issuance under</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equity compensation</w:t>
            </w:r>
          </w:p>
        </w:tc>
      </w:tr>
      <w:tr>
        <w:trPr>
          <w:trHeight w:val="216"/>
        </w:trPr>
        <w:tc>
          <w:tcPr>
            <w:tcW w:w="530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Number of securities to</w:t>
            </w:r>
          </w:p>
        </w:tc>
        <w:tc>
          <w:tcPr>
            <w:tcW w:w="12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Weighted-average</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plans</w:t>
            </w:r>
          </w:p>
        </w:tc>
      </w:tr>
      <w:tr>
        <w:trPr>
          <w:trHeight w:val="216"/>
        </w:trPr>
        <w:tc>
          <w:tcPr>
            <w:tcW w:w="530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be issued upon exercise</w:t>
            </w:r>
          </w:p>
        </w:tc>
        <w:tc>
          <w:tcPr>
            <w:tcW w:w="1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exercise price of</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(excluding securities</w:t>
            </w:r>
          </w:p>
        </w:tc>
      </w:tr>
      <w:tr>
        <w:trPr>
          <w:trHeight w:val="216"/>
        </w:trPr>
        <w:tc>
          <w:tcPr>
            <w:tcW w:w="530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of outstanding options,</w:t>
            </w:r>
          </w:p>
        </w:tc>
        <w:tc>
          <w:tcPr>
            <w:tcW w:w="12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 options,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reflected in</w:t>
            </w:r>
          </w:p>
        </w:tc>
      </w:tr>
      <w:tr>
        <w:trPr>
          <w:trHeight w:val="216"/>
        </w:trPr>
        <w:tc>
          <w:tcPr>
            <w:tcW w:w="530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warrants and rights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column (a)</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Plan Category</w:t>
            </w: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20"/>
                <w:szCs w:val="20"/>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r>
      <w:tr>
        <w:trPr>
          <w:trHeight w:val="210"/>
        </w:trPr>
        <w:tc>
          <w:tcPr>
            <w:tcW w:w="53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1,217,163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249,604</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30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1,217,163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249,604</w:t>
            </w:r>
          </w:p>
        </w:tc>
      </w:tr>
      <w:tr>
        <w:trPr>
          <w:trHeight w:val="20"/>
        </w:trPr>
        <w:tc>
          <w:tcPr>
            <w:tcW w:w="53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7 in the notes to consolidated financial statements for additional information.</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section entitled “Corporate Governance – General” in the Proxy Statement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“Proposal to Ratify the Selection of Independent Registered Accounting Firm - Principal Accountant Fees and Services” in the Proxy Statement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660" w:right="7840" w:hanging="652"/>
        <w:spacing w:after="0" w:line="51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 xml:space="preserve">Documents filed as part of this report: </w:t>
      </w:r>
      <w:r>
        <w:rPr>
          <w:rFonts w:ascii="Arial" w:cs="Arial" w:eastAsia="Arial" w:hAnsi="Arial"/>
          <w:sz w:val="18"/>
          <w:szCs w:val="18"/>
          <w:color w:val="auto"/>
        </w:rPr>
        <w:t xml:space="preserve">1. </w:t>
      </w:r>
      <w:r>
        <w:rPr>
          <w:rFonts w:ascii="Arial" w:cs="Arial" w:eastAsia="Arial" w:hAnsi="Arial"/>
          <w:sz w:val="18"/>
          <w:szCs w:val="18"/>
          <w:u w:val="single" w:color="auto"/>
          <w:color w:val="auto"/>
        </w:rPr>
        <w:t>Financial Statements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and schedules required by this Item 15 are set forth in Part II, Item 8 of this Form 10-K.</w:t>
      </w:r>
    </w:p>
    <w:p>
      <w:pPr>
        <w:spacing w:after="0" w:line="225"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filed as a part of this report:</w:t>
      </w:r>
    </w:p>
    <w:p>
      <w:pPr>
        <w:spacing w:after="0" w:line="200" w:lineRule="exact"/>
        <w:rPr>
          <w:sz w:val="20"/>
          <w:szCs w:val="20"/>
          <w:color w:val="auto"/>
        </w:rPr>
      </w:pP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Exhibit</w:t>
            </w:r>
          </w:p>
        </w:tc>
        <w:tc>
          <w:tcPr>
            <w:tcW w:w="9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7"/>
              </w:rPr>
              <w:t>Filed Herewith or Incorporated by Reference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Index</w:t>
            </w:r>
          </w:p>
        </w:tc>
        <w:tc>
          <w:tcPr>
            <w:tcW w:w="5620" w:type="dxa"/>
            <w:vAlign w:val="bottom"/>
            <w:gridSpan w:val="7"/>
          </w:tcPr>
          <w:p>
            <w:pPr>
              <w:spacing w:after="0"/>
              <w:rPr>
                <w:sz w:val="20"/>
                <w:szCs w:val="20"/>
                <w:color w:val="auto"/>
              </w:rPr>
            </w:pPr>
            <w:r>
              <w:rPr>
                <w:rFonts w:ascii="Arial" w:cs="Arial" w:eastAsia="Arial" w:hAnsi="Arial"/>
                <w:sz w:val="18"/>
                <w:szCs w:val="18"/>
                <w:color w:val="auto"/>
              </w:rPr>
              <w:t>Description of Document</w:t>
            </w:r>
          </w:p>
        </w:tc>
        <w:tc>
          <w:tcPr>
            <w:tcW w:w="3600" w:type="dxa"/>
            <w:vAlign w:val="bottom"/>
          </w:tcPr>
          <w:p>
            <w:pPr>
              <w:ind w:left="140"/>
              <w:spacing w:after="0"/>
              <w:rPr>
                <w:sz w:val="20"/>
                <w:szCs w:val="20"/>
                <w:color w:val="auto"/>
              </w:rPr>
            </w:pPr>
            <w:r>
              <w:rPr>
                <w:rFonts w:ascii="Arial" w:cs="Arial" w:eastAsia="Arial" w:hAnsi="Arial"/>
                <w:sz w:val="18"/>
                <w:szCs w:val="18"/>
                <w:color w:val="auto"/>
              </w:rPr>
              <w:t>from:</w:t>
            </w:r>
          </w:p>
        </w:tc>
      </w:tr>
      <w:tr>
        <w:trPr>
          <w:trHeight w:val="391"/>
        </w:trPr>
        <w:tc>
          <w:tcPr>
            <w:tcW w:w="1080" w:type="dxa"/>
            <w:vAlign w:val="bottom"/>
          </w:tcPr>
          <w:p>
            <w:pPr>
              <w:spacing w:after="0"/>
              <w:rPr>
                <w:sz w:val="20"/>
                <w:szCs w:val="20"/>
                <w:color w:val="auto"/>
              </w:rPr>
            </w:pPr>
            <w:r>
              <w:rPr>
                <w:rFonts w:ascii="Arial" w:cs="Arial" w:eastAsia="Arial" w:hAnsi="Arial"/>
                <w:sz w:val="18"/>
                <w:szCs w:val="18"/>
                <w:color w:val="auto"/>
              </w:rPr>
              <w:t>2.1</w:t>
            </w:r>
          </w:p>
        </w:tc>
        <w:tc>
          <w:tcPr>
            <w:tcW w:w="5620" w:type="dxa"/>
            <w:vAlign w:val="bottom"/>
            <w:gridSpan w:val="7"/>
          </w:tcPr>
          <w:p>
            <w:pPr>
              <w:spacing w:after="0"/>
              <w:rPr>
                <w:rFonts w:ascii="Arial" w:cs="Arial" w:eastAsia="Arial" w:hAnsi="Arial"/>
                <w:sz w:val="18"/>
                <w:szCs w:val="18"/>
                <w:color w:val="0000EE"/>
                <w:w w:val="98"/>
              </w:rPr>
            </w:pPr>
            <w:hyperlink r:id="rId105">
              <w:r>
                <w:rPr>
                  <w:rFonts w:ascii="Arial" w:cs="Arial" w:eastAsia="Arial" w:hAnsi="Arial"/>
                  <w:sz w:val="18"/>
                  <w:szCs w:val="18"/>
                  <w:color w:val="0000EE"/>
                  <w:w w:val="98"/>
                </w:rPr>
                <w:t>Stock Purchase Agreement, dated May 1, 2019, by and among Ultralife</w:t>
              </w:r>
            </w:hyperlink>
          </w:p>
        </w:tc>
        <w:tc>
          <w:tcPr>
            <w:tcW w:w="3600" w:type="dxa"/>
            <w:vAlign w:val="bottom"/>
          </w:tcPr>
          <w:p>
            <w:pPr>
              <w:ind w:left="140"/>
              <w:spacing w:after="0"/>
              <w:rPr>
                <w:sz w:val="20"/>
                <w:szCs w:val="20"/>
                <w:color w:val="auto"/>
              </w:rPr>
            </w:pPr>
            <w:r>
              <w:rPr>
                <w:rFonts w:ascii="Arial" w:cs="Arial" w:eastAsia="Arial" w:hAnsi="Arial"/>
                <w:sz w:val="18"/>
                <w:szCs w:val="18"/>
                <w:color w:val="auto"/>
                <w:w w:val="99"/>
              </w:rPr>
              <w:t>Exhibit 10.1 of the Form 8-K filed on May 2,</w:t>
            </w:r>
          </w:p>
        </w:tc>
      </w:tr>
      <w:tr>
        <w:trPr>
          <w:trHeight w:val="196"/>
        </w:trPr>
        <w:tc>
          <w:tcPr>
            <w:tcW w:w="1080" w:type="dxa"/>
            <w:vAlign w:val="bottom"/>
          </w:tcPr>
          <w:p>
            <w:pPr>
              <w:spacing w:after="0"/>
              <w:rPr>
                <w:sz w:val="17"/>
                <w:szCs w:val="17"/>
                <w:color w:val="auto"/>
              </w:rPr>
            </w:pPr>
          </w:p>
        </w:tc>
        <w:tc>
          <w:tcPr>
            <w:tcW w:w="5140" w:type="dxa"/>
            <w:vAlign w:val="bottom"/>
            <w:tcBorders>
              <w:top w:val="single" w:sz="8" w:color="0000EE"/>
            </w:tcBorders>
            <w:gridSpan w:val="5"/>
          </w:tcPr>
          <w:p>
            <w:pPr>
              <w:spacing w:after="0" w:line="196" w:lineRule="exact"/>
              <w:rPr>
                <w:rFonts w:ascii="Arial" w:cs="Arial" w:eastAsia="Arial" w:hAnsi="Arial"/>
                <w:sz w:val="18"/>
                <w:szCs w:val="18"/>
                <w:color w:val="0000EE"/>
                <w:w w:val="97"/>
              </w:rPr>
            </w:pPr>
            <w:hyperlink r:id="rId105">
              <w:r>
                <w:rPr>
                  <w:rFonts w:ascii="Arial" w:cs="Arial" w:eastAsia="Arial" w:hAnsi="Arial"/>
                  <w:sz w:val="18"/>
                  <w:szCs w:val="18"/>
                  <w:color w:val="0000EE"/>
                  <w:w w:val="97"/>
                </w:rPr>
                <w:t>Corporation, Southwest Electronic Energy Corporation, Southwest</w:t>
              </w:r>
            </w:hyperlink>
          </w:p>
        </w:tc>
        <w:tc>
          <w:tcPr>
            <w:tcW w:w="480" w:type="dxa"/>
            <w:vAlign w:val="bottom"/>
            <w:gridSpan w:val="2"/>
          </w:tcPr>
          <w:p>
            <w:pPr>
              <w:spacing w:after="0"/>
              <w:rPr>
                <w:sz w:val="17"/>
                <w:szCs w:val="17"/>
                <w:color w:val="auto"/>
              </w:rPr>
            </w:pPr>
          </w:p>
        </w:tc>
        <w:tc>
          <w:tcPr>
            <w:tcW w:w="3600" w:type="dxa"/>
            <w:vAlign w:val="bottom"/>
          </w:tcPr>
          <w:p>
            <w:pPr>
              <w:ind w:left="140"/>
              <w:spacing w:after="0" w:line="196" w:lineRule="exact"/>
              <w:rPr>
                <w:sz w:val="20"/>
                <w:szCs w:val="20"/>
                <w:color w:val="auto"/>
              </w:rPr>
            </w:pPr>
            <w:r>
              <w:rPr>
                <w:rFonts w:ascii="Arial" w:cs="Arial" w:eastAsia="Arial" w:hAnsi="Arial"/>
                <w:sz w:val="18"/>
                <w:szCs w:val="18"/>
                <w:color w:val="auto"/>
              </w:rPr>
              <w:t>2019</w:t>
            </w:r>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8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Electronic Energy Medical Research Institute, and Claude Leonard</w:t>
              </w:r>
            </w:hyperlink>
          </w:p>
        </w:tc>
        <w:tc>
          <w:tcPr>
            <w:tcW w:w="800" w:type="dxa"/>
            <w:vAlign w:val="bottom"/>
            <w:gridSpan w:val="3"/>
          </w:tcPr>
          <w:p>
            <w:pPr>
              <w:spacing w:after="0"/>
              <w:rPr>
                <w:sz w:val="17"/>
                <w:szCs w:val="17"/>
                <w:color w:val="auto"/>
              </w:rPr>
            </w:pPr>
          </w:p>
        </w:tc>
        <w:tc>
          <w:tcPr>
            <w:tcW w:w="36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20" w:type="dxa"/>
            <w:vAlign w:val="bottom"/>
            <w:gridSpan w:val="7"/>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Benckenstein</w:t>
              </w:r>
            </w:hyperlink>
          </w:p>
        </w:tc>
        <w:tc>
          <w:tcPr>
            <w:tcW w:w="36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5620" w:type="dxa"/>
            <w:vAlign w:val="bottom"/>
            <w:gridSpan w:val="7"/>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Stock Purchase Agreement Relating to Accutronics Limited by and between</w:t>
              </w:r>
            </w:hyperlink>
          </w:p>
        </w:tc>
        <w:tc>
          <w:tcPr>
            <w:tcW w:w="3600" w:type="dxa"/>
            <w:vAlign w:val="bottom"/>
          </w:tcPr>
          <w:p>
            <w:pPr>
              <w:ind w:left="140"/>
              <w:spacing w:after="0" w:line="196" w:lineRule="exact"/>
              <w:rPr>
                <w:sz w:val="20"/>
                <w:szCs w:val="20"/>
                <w:color w:val="auto"/>
              </w:rPr>
            </w:pPr>
            <w:r>
              <w:rPr>
                <w:rFonts w:ascii="Arial" w:cs="Arial" w:eastAsia="Arial" w:hAnsi="Arial"/>
                <w:sz w:val="18"/>
                <w:szCs w:val="18"/>
                <w:color w:val="auto"/>
                <w:w w:val="91"/>
              </w:rPr>
              <w:t>Exhibit 2.2 of the Form 10-K for the year ended</w:t>
            </w:r>
          </w:p>
        </w:tc>
      </w:tr>
      <w:tr>
        <w:trPr>
          <w:trHeight w:val="196"/>
        </w:trPr>
        <w:tc>
          <w:tcPr>
            <w:tcW w:w="1080" w:type="dxa"/>
            <w:vAlign w:val="bottom"/>
          </w:tcPr>
          <w:p>
            <w:pPr>
              <w:spacing w:after="0"/>
              <w:rPr>
                <w:sz w:val="17"/>
                <w:szCs w:val="17"/>
                <w:color w:val="auto"/>
              </w:rPr>
            </w:pPr>
          </w:p>
        </w:tc>
        <w:tc>
          <w:tcPr>
            <w:tcW w:w="54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Robert Andrew Phillips and Others and Ultralife Corporation</w:t>
              </w:r>
            </w:hyperlink>
          </w:p>
        </w:tc>
        <w:tc>
          <w:tcPr>
            <w:tcW w:w="140" w:type="dxa"/>
            <w:vAlign w:val="bottom"/>
          </w:tcPr>
          <w:p>
            <w:pPr>
              <w:spacing w:after="0"/>
              <w:rPr>
                <w:sz w:val="17"/>
                <w:szCs w:val="17"/>
                <w:color w:val="auto"/>
              </w:rPr>
            </w:pPr>
          </w:p>
        </w:tc>
        <w:tc>
          <w:tcPr>
            <w:tcW w:w="3600" w:type="dxa"/>
            <w:vAlign w:val="bottom"/>
          </w:tcPr>
          <w:p>
            <w:pPr>
              <w:ind w:left="140"/>
              <w:spacing w:after="0" w:line="196" w:lineRule="exact"/>
              <w:rPr>
                <w:sz w:val="20"/>
                <w:szCs w:val="20"/>
                <w:color w:val="auto"/>
              </w:rPr>
            </w:pPr>
            <w:r>
              <w:rPr>
                <w:rFonts w:ascii="Arial" w:cs="Arial" w:eastAsia="Arial" w:hAnsi="Arial"/>
                <w:sz w:val="18"/>
                <w:szCs w:val="18"/>
                <w:color w:val="auto"/>
              </w:rPr>
              <w:t>December 31, 2015, filed March 2, 2016</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4400" w:type="dxa"/>
            <w:vAlign w:val="bottom"/>
            <w:tcBorders>
              <w:top w:val="single" w:sz="8" w:color="0000EE"/>
            </w:tcBorders>
            <w:gridSpan w:val="2"/>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Restated Certificate of Incorporation</w:t>
              </w:r>
            </w:hyperlink>
          </w:p>
        </w:tc>
        <w:tc>
          <w:tcPr>
            <w:tcW w:w="1220" w:type="dxa"/>
            <w:vAlign w:val="bottom"/>
            <w:gridSpan w:val="5"/>
          </w:tcPr>
          <w:p>
            <w:pPr>
              <w:spacing w:after="0"/>
              <w:rPr>
                <w:sz w:val="19"/>
                <w:szCs w:val="19"/>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1"/>
              </w:rPr>
              <w:t>Exhibit 3.1 of the Form 10-K for the year ended</w:t>
            </w:r>
          </w:p>
        </w:tc>
      </w:tr>
      <w:tr>
        <w:trPr>
          <w:trHeight w:val="216"/>
        </w:trPr>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December 31, 2008, filed March 13, 2009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5620" w:type="dxa"/>
            <w:vAlign w:val="bottom"/>
            <w:gridSpan w:val="7"/>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Amended and Restated By-laws</w:t>
              </w:r>
            </w:hyperlink>
          </w:p>
        </w:tc>
        <w:tc>
          <w:tcPr>
            <w:tcW w:w="3600" w:type="dxa"/>
            <w:vAlign w:val="bottom"/>
          </w:tcPr>
          <w:p>
            <w:pPr>
              <w:ind w:left="140"/>
              <w:spacing w:after="0"/>
              <w:rPr>
                <w:sz w:val="20"/>
                <w:szCs w:val="20"/>
                <w:color w:val="auto"/>
              </w:rPr>
            </w:pPr>
            <w:r>
              <w:rPr>
                <w:rFonts w:ascii="Arial" w:cs="Arial" w:eastAsia="Arial" w:hAnsi="Arial"/>
                <w:sz w:val="18"/>
                <w:szCs w:val="18"/>
                <w:color w:val="auto"/>
                <w:w w:val="95"/>
              </w:rPr>
              <w:t>Exhibit 3.2 of the Form 8-K filed December 9,</w:t>
            </w:r>
          </w:p>
        </w:tc>
      </w:tr>
      <w:tr>
        <w:trPr>
          <w:trHeight w:val="216"/>
        </w:trPr>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2011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5620" w:type="dxa"/>
            <w:vAlign w:val="bottom"/>
            <w:gridSpan w:val="7"/>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Specimen Stock Certificate</w:t>
              </w:r>
            </w:hyperlink>
          </w:p>
        </w:tc>
        <w:tc>
          <w:tcPr>
            <w:tcW w:w="3600" w:type="dxa"/>
            <w:vAlign w:val="bottom"/>
          </w:tcPr>
          <w:p>
            <w:pPr>
              <w:ind w:left="140"/>
              <w:spacing w:after="0"/>
              <w:rPr>
                <w:sz w:val="20"/>
                <w:szCs w:val="20"/>
                <w:color w:val="auto"/>
              </w:rPr>
            </w:pPr>
            <w:r>
              <w:rPr>
                <w:rFonts w:ascii="Arial" w:cs="Arial" w:eastAsia="Arial" w:hAnsi="Arial"/>
                <w:sz w:val="18"/>
                <w:szCs w:val="18"/>
                <w:color w:val="auto"/>
                <w:w w:val="91"/>
              </w:rPr>
              <w:t>Exhibit 4.1 of the Form 10-K for the year ended</w:t>
            </w:r>
          </w:p>
        </w:tc>
      </w:tr>
      <w:tr>
        <w:trPr>
          <w:trHeight w:val="216"/>
        </w:trPr>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December 31, 2008, filed March 13, 2009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4.2</w:t>
            </w:r>
          </w:p>
        </w:tc>
        <w:tc>
          <w:tcPr>
            <w:tcW w:w="5620" w:type="dxa"/>
            <w:vAlign w:val="bottom"/>
            <w:gridSpan w:val="7"/>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Description of Registrant’s Securities</w:t>
              </w:r>
            </w:hyperlink>
          </w:p>
        </w:tc>
        <w:tc>
          <w:tcPr>
            <w:tcW w:w="3600" w:type="dxa"/>
            <w:vAlign w:val="bottom"/>
          </w:tcPr>
          <w:p>
            <w:pPr>
              <w:ind w:left="140"/>
              <w:spacing w:after="0"/>
              <w:rPr>
                <w:sz w:val="20"/>
                <w:szCs w:val="20"/>
                <w:color w:val="auto"/>
              </w:rPr>
            </w:pPr>
            <w:r>
              <w:rPr>
                <w:rFonts w:ascii="Arial" w:cs="Arial" w:eastAsia="Arial" w:hAnsi="Arial"/>
                <w:sz w:val="18"/>
                <w:szCs w:val="18"/>
                <w:color w:val="auto"/>
              </w:rPr>
              <w:t>Exhibit 4.2 of the Form 10-K/A for the year</w:t>
            </w:r>
          </w:p>
        </w:tc>
      </w:tr>
      <w:tr>
        <w:trPr>
          <w:trHeight w:val="216"/>
        </w:trPr>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2"/>
              </w:rPr>
              <w:t>ended December 31, 2019, filed April 28, 2020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5620" w:type="dxa"/>
            <w:vAlign w:val="bottom"/>
            <w:gridSpan w:val="7"/>
          </w:tcPr>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Amendment to the Agreement relating to rechargeable batteries</w:t>
              </w:r>
            </w:hyperlink>
          </w:p>
        </w:tc>
        <w:tc>
          <w:tcPr>
            <w:tcW w:w="3600" w:type="dxa"/>
            <w:vAlign w:val="bottom"/>
          </w:tcPr>
          <w:p>
            <w:pPr>
              <w:ind w:left="140"/>
              <w:spacing w:after="0"/>
              <w:rPr>
                <w:sz w:val="20"/>
                <w:szCs w:val="20"/>
                <w:color w:val="auto"/>
              </w:rPr>
            </w:pPr>
            <w:r>
              <w:rPr>
                <w:rFonts w:ascii="Arial" w:cs="Arial" w:eastAsia="Arial" w:hAnsi="Arial"/>
                <w:sz w:val="18"/>
                <w:szCs w:val="18"/>
                <w:color w:val="auto"/>
                <w:w w:val="99"/>
              </w:rPr>
              <w:t>Exhibit 10.24 of our Form 10-K for the fiscal</w:t>
            </w:r>
          </w:p>
        </w:tc>
      </w:tr>
      <w:tr>
        <w:trPr>
          <w:trHeight w:val="216"/>
        </w:trPr>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2"/>
              </w:rPr>
              <w:t>year ended June 30, 1996 (this Exhibit may be</w:t>
            </w:r>
          </w:p>
        </w:tc>
      </w:tr>
      <w:tr>
        <w:trPr>
          <w:trHeight w:val="230"/>
        </w:trPr>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found in SEC File No. 0-20852)</w:t>
            </w:r>
          </w:p>
        </w:tc>
      </w:tr>
    </w:tbl>
    <w:p>
      <w:pPr>
        <w:sectPr>
          <w:pgSz w:w="11900" w:h="16905" w:orient="portrait"/>
          <w:cols w:equalWidth="0" w:num="1">
            <w:col w:w="11240"/>
          </w:cols>
          <w:pgMar w:left="320" w:top="553" w:right="3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10.2†</w:t>
            </w:r>
          </w:p>
        </w:tc>
        <w:tc>
          <w:tcPr>
            <w:tcW w:w="5620" w:type="dxa"/>
            <w:vAlign w:val="bottom"/>
            <w:gridSpan w:val="16"/>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Ultralife Corporation 2014 Long-Term Incentive Plan</w:t>
              </w:r>
            </w:hyperlink>
          </w:p>
        </w:tc>
        <w:tc>
          <w:tcPr>
            <w:tcW w:w="4200" w:type="dxa"/>
            <w:vAlign w:val="bottom"/>
          </w:tcPr>
          <w:p>
            <w:pPr>
              <w:ind w:left="140"/>
              <w:spacing w:after="0"/>
              <w:rPr>
                <w:sz w:val="20"/>
                <w:szCs w:val="20"/>
                <w:color w:val="auto"/>
              </w:rPr>
            </w:pPr>
            <w:r>
              <w:rPr>
                <w:rFonts w:ascii="Arial" w:cs="Arial" w:eastAsia="Arial" w:hAnsi="Arial"/>
                <w:sz w:val="18"/>
                <w:szCs w:val="18"/>
                <w:color w:val="auto"/>
              </w:rPr>
              <w:t>Appendix A to our Definitive Proxy Statement</w:t>
            </w:r>
          </w:p>
        </w:tc>
      </w:tr>
      <w:tr>
        <w:trPr>
          <w:trHeight w:val="216"/>
        </w:trPr>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filed on April 21, 2014</w:t>
            </w:r>
          </w:p>
        </w:tc>
      </w:tr>
      <w:tr>
        <w:trPr>
          <w:trHeight w:val="190"/>
        </w:trPr>
        <w:tc>
          <w:tcPr>
            <w:tcW w:w="1420" w:type="dxa"/>
            <w:vAlign w:val="bottom"/>
          </w:tcPr>
          <w:p>
            <w:pPr>
              <w:ind w:left="340"/>
              <w:spacing w:after="0" w:line="190" w:lineRule="exact"/>
              <w:rPr>
                <w:sz w:val="20"/>
                <w:szCs w:val="20"/>
                <w:color w:val="auto"/>
              </w:rPr>
            </w:pPr>
            <w:r>
              <w:rPr>
                <w:rFonts w:ascii="Arial" w:cs="Arial" w:eastAsia="Arial" w:hAnsi="Arial"/>
                <w:sz w:val="18"/>
                <w:szCs w:val="18"/>
                <w:color w:val="auto"/>
              </w:rPr>
              <w:t>10.3†</w:t>
            </w:r>
          </w:p>
        </w:tc>
        <w:tc>
          <w:tcPr>
            <w:tcW w:w="5360" w:type="dxa"/>
            <w:vAlign w:val="bottom"/>
            <w:tcBorders>
              <w:bottom w:val="single" w:sz="8" w:color="0000EE"/>
            </w:tcBorders>
            <w:gridSpan w:val="14"/>
          </w:tcPr>
          <w:p>
            <w:pPr>
              <w:spacing w:after="0" w:line="190"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Ultralife Batteries, Inc. Amended and Restated 2004 Long-Term Incentive</w:t>
              </w:r>
            </w:hyperlink>
          </w:p>
        </w:tc>
        <w:tc>
          <w:tcPr>
            <w:tcW w:w="260" w:type="dxa"/>
            <w:vAlign w:val="bottom"/>
            <w:gridSpan w:val="2"/>
          </w:tcPr>
          <w:p>
            <w:pPr>
              <w:spacing w:after="0"/>
              <w:rPr>
                <w:sz w:val="16"/>
                <w:szCs w:val="16"/>
                <w:color w:val="auto"/>
              </w:rPr>
            </w:pPr>
          </w:p>
        </w:tc>
        <w:tc>
          <w:tcPr>
            <w:tcW w:w="4200" w:type="dxa"/>
            <w:vAlign w:val="bottom"/>
          </w:tcPr>
          <w:p>
            <w:pPr>
              <w:ind w:left="140"/>
              <w:spacing w:after="0" w:line="190" w:lineRule="exact"/>
              <w:rPr>
                <w:sz w:val="20"/>
                <w:szCs w:val="20"/>
                <w:color w:val="auto"/>
              </w:rPr>
            </w:pPr>
            <w:r>
              <w:rPr>
                <w:rFonts w:ascii="Arial" w:cs="Arial" w:eastAsia="Arial" w:hAnsi="Arial"/>
                <w:sz w:val="18"/>
                <w:szCs w:val="18"/>
                <w:color w:val="auto"/>
              </w:rPr>
              <w:t>Exhibit 99.2 of our Registration Statement on</w:t>
            </w:r>
          </w:p>
        </w:tc>
      </w:tr>
      <w:tr>
        <w:trPr>
          <w:trHeight w:val="196"/>
        </w:trPr>
        <w:tc>
          <w:tcPr>
            <w:tcW w:w="14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Plan</w:t>
              </w:r>
            </w:hyperlink>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Form S-8 filed on July 26, 2004, File No. 333-</w:t>
            </w:r>
          </w:p>
        </w:tc>
      </w:tr>
      <w:tr>
        <w:trPr>
          <w:trHeight w:val="222"/>
        </w:trPr>
        <w:tc>
          <w:tcPr>
            <w:tcW w:w="142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117662</w:t>
            </w:r>
          </w:p>
        </w:tc>
      </w:tr>
      <w:tr>
        <w:trPr>
          <w:trHeight w:val="190"/>
        </w:trPr>
        <w:tc>
          <w:tcPr>
            <w:tcW w:w="1420" w:type="dxa"/>
            <w:vAlign w:val="bottom"/>
          </w:tcPr>
          <w:p>
            <w:pPr>
              <w:ind w:left="340"/>
              <w:spacing w:after="0" w:line="190" w:lineRule="exact"/>
              <w:rPr>
                <w:sz w:val="20"/>
                <w:szCs w:val="20"/>
                <w:color w:val="auto"/>
              </w:rPr>
            </w:pPr>
            <w:r>
              <w:rPr>
                <w:rFonts w:ascii="Arial" w:cs="Arial" w:eastAsia="Arial" w:hAnsi="Arial"/>
                <w:sz w:val="18"/>
                <w:szCs w:val="18"/>
                <w:color w:val="auto"/>
              </w:rPr>
              <w:t>10.4†</w:t>
            </w:r>
          </w:p>
        </w:tc>
        <w:tc>
          <w:tcPr>
            <w:tcW w:w="534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Amendment No. 1 to Ultralife Batteries, Inc. Amended and Restated 2004</w:t>
              </w:r>
            </w:hyperlink>
          </w:p>
        </w:tc>
        <w:tc>
          <w:tcPr>
            <w:tcW w:w="280" w:type="dxa"/>
            <w:vAlign w:val="bottom"/>
            <w:gridSpan w:val="3"/>
          </w:tcPr>
          <w:p>
            <w:pPr>
              <w:spacing w:after="0"/>
              <w:rPr>
                <w:sz w:val="16"/>
                <w:szCs w:val="16"/>
                <w:color w:val="auto"/>
              </w:rPr>
            </w:pPr>
          </w:p>
        </w:tc>
        <w:tc>
          <w:tcPr>
            <w:tcW w:w="4200" w:type="dxa"/>
            <w:vAlign w:val="bottom"/>
          </w:tcPr>
          <w:p>
            <w:pPr>
              <w:ind w:left="140"/>
              <w:spacing w:after="0" w:line="190" w:lineRule="exact"/>
              <w:rPr>
                <w:sz w:val="20"/>
                <w:szCs w:val="20"/>
                <w:color w:val="auto"/>
              </w:rPr>
            </w:pPr>
            <w:r>
              <w:rPr>
                <w:rFonts w:ascii="Arial" w:cs="Arial" w:eastAsia="Arial" w:hAnsi="Arial"/>
                <w:sz w:val="18"/>
                <w:szCs w:val="18"/>
                <w:color w:val="auto"/>
              </w:rPr>
              <w:t>Exhibit 99.3 of our Registration Statement on</w:t>
            </w:r>
          </w:p>
        </w:tc>
      </w:tr>
      <w:tr>
        <w:trPr>
          <w:trHeight w:val="196"/>
        </w:trPr>
        <w:tc>
          <w:tcPr>
            <w:tcW w:w="14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Long-Term Incentive Plan</w:t>
              </w:r>
            </w:hyperlink>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Form S-8 filed August 18, 2006, File No. 333-</w:t>
            </w:r>
          </w:p>
        </w:tc>
      </w:tr>
      <w:tr>
        <w:trPr>
          <w:trHeight w:val="222"/>
        </w:trPr>
        <w:tc>
          <w:tcPr>
            <w:tcW w:w="142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136737</w:t>
            </w:r>
          </w:p>
        </w:tc>
      </w:tr>
      <w:tr>
        <w:trPr>
          <w:trHeight w:val="190"/>
        </w:trPr>
        <w:tc>
          <w:tcPr>
            <w:tcW w:w="1420" w:type="dxa"/>
            <w:vAlign w:val="bottom"/>
          </w:tcPr>
          <w:p>
            <w:pPr>
              <w:ind w:left="340"/>
              <w:spacing w:after="0" w:line="190" w:lineRule="exact"/>
              <w:rPr>
                <w:sz w:val="20"/>
                <w:szCs w:val="20"/>
                <w:color w:val="auto"/>
              </w:rPr>
            </w:pPr>
            <w:r>
              <w:rPr>
                <w:rFonts w:ascii="Arial" w:cs="Arial" w:eastAsia="Arial" w:hAnsi="Arial"/>
                <w:sz w:val="18"/>
                <w:szCs w:val="18"/>
                <w:color w:val="auto"/>
              </w:rPr>
              <w:t>10.5†</w:t>
            </w:r>
          </w:p>
        </w:tc>
        <w:tc>
          <w:tcPr>
            <w:tcW w:w="534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Amendment No. 2 to Ultralife Batteries, Inc. Amended and Restated 2004</w:t>
              </w:r>
            </w:hyperlink>
          </w:p>
        </w:tc>
        <w:tc>
          <w:tcPr>
            <w:tcW w:w="280" w:type="dxa"/>
            <w:vAlign w:val="bottom"/>
            <w:gridSpan w:val="3"/>
          </w:tcPr>
          <w:p>
            <w:pPr>
              <w:spacing w:after="0"/>
              <w:rPr>
                <w:sz w:val="16"/>
                <w:szCs w:val="16"/>
                <w:color w:val="auto"/>
              </w:rPr>
            </w:pPr>
          </w:p>
        </w:tc>
        <w:tc>
          <w:tcPr>
            <w:tcW w:w="4200" w:type="dxa"/>
            <w:vAlign w:val="bottom"/>
          </w:tcPr>
          <w:p>
            <w:pPr>
              <w:ind w:left="140"/>
              <w:spacing w:after="0" w:line="190" w:lineRule="exact"/>
              <w:rPr>
                <w:sz w:val="20"/>
                <w:szCs w:val="20"/>
                <w:color w:val="auto"/>
              </w:rPr>
            </w:pPr>
            <w:r>
              <w:rPr>
                <w:rFonts w:ascii="Arial" w:cs="Arial" w:eastAsia="Arial" w:hAnsi="Arial"/>
                <w:sz w:val="18"/>
                <w:szCs w:val="18"/>
                <w:color w:val="auto"/>
              </w:rPr>
              <w:t>Exhibit 99.4 of our Registration Statement on</w:t>
            </w:r>
          </w:p>
        </w:tc>
      </w:tr>
      <w:tr>
        <w:trPr>
          <w:trHeight w:val="196"/>
        </w:trPr>
        <w:tc>
          <w:tcPr>
            <w:tcW w:w="14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Long-Term Incentive Plan</w:t>
              </w:r>
            </w:hyperlink>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Form S-8 filed November 13, 2008, File No.</w:t>
            </w:r>
          </w:p>
        </w:tc>
      </w:tr>
      <w:tr>
        <w:trPr>
          <w:trHeight w:val="222"/>
        </w:trPr>
        <w:tc>
          <w:tcPr>
            <w:tcW w:w="142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333-155349</w:t>
            </w:r>
          </w:p>
        </w:tc>
      </w:tr>
      <w:tr>
        <w:trPr>
          <w:trHeight w:val="190"/>
        </w:trPr>
        <w:tc>
          <w:tcPr>
            <w:tcW w:w="1420" w:type="dxa"/>
            <w:vAlign w:val="bottom"/>
          </w:tcPr>
          <w:p>
            <w:pPr>
              <w:ind w:left="340"/>
              <w:spacing w:after="0" w:line="190" w:lineRule="exact"/>
              <w:rPr>
                <w:sz w:val="20"/>
                <w:szCs w:val="20"/>
                <w:color w:val="auto"/>
              </w:rPr>
            </w:pPr>
            <w:r>
              <w:rPr>
                <w:rFonts w:ascii="Arial" w:cs="Arial" w:eastAsia="Arial" w:hAnsi="Arial"/>
                <w:sz w:val="18"/>
                <w:szCs w:val="18"/>
                <w:color w:val="auto"/>
              </w:rPr>
              <w:t>10.6†</w:t>
            </w:r>
          </w:p>
        </w:tc>
        <w:tc>
          <w:tcPr>
            <w:tcW w:w="534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Amendment No. 3 to Ultralife Batteries, Inc. Amended and Restated 2004</w:t>
              </w:r>
            </w:hyperlink>
          </w:p>
        </w:tc>
        <w:tc>
          <w:tcPr>
            <w:tcW w:w="280" w:type="dxa"/>
            <w:vAlign w:val="bottom"/>
            <w:gridSpan w:val="3"/>
          </w:tcPr>
          <w:p>
            <w:pPr>
              <w:spacing w:after="0"/>
              <w:rPr>
                <w:sz w:val="16"/>
                <w:szCs w:val="16"/>
                <w:color w:val="auto"/>
              </w:rPr>
            </w:pPr>
          </w:p>
        </w:tc>
        <w:tc>
          <w:tcPr>
            <w:tcW w:w="4200" w:type="dxa"/>
            <w:vAlign w:val="bottom"/>
          </w:tcPr>
          <w:p>
            <w:pPr>
              <w:ind w:left="140"/>
              <w:spacing w:after="0" w:line="190" w:lineRule="exact"/>
              <w:rPr>
                <w:sz w:val="20"/>
                <w:szCs w:val="20"/>
                <w:color w:val="auto"/>
              </w:rPr>
            </w:pPr>
            <w:r>
              <w:rPr>
                <w:rFonts w:ascii="Arial" w:cs="Arial" w:eastAsia="Arial" w:hAnsi="Arial"/>
                <w:sz w:val="18"/>
                <w:szCs w:val="18"/>
                <w:color w:val="auto"/>
              </w:rPr>
              <w:t>Exhibit 99.5 of our Registration Statement on</w:t>
            </w:r>
          </w:p>
        </w:tc>
      </w:tr>
      <w:tr>
        <w:trPr>
          <w:trHeight w:val="196"/>
        </w:trPr>
        <w:tc>
          <w:tcPr>
            <w:tcW w:w="14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Long-Term Incentive Plan</w:t>
              </w:r>
            </w:hyperlink>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Form S-8 filed November 13, 2008, File No.</w:t>
            </w:r>
          </w:p>
        </w:tc>
      </w:tr>
      <w:tr>
        <w:trPr>
          <w:trHeight w:val="222"/>
        </w:trPr>
        <w:tc>
          <w:tcPr>
            <w:tcW w:w="142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333-155349</w:t>
            </w:r>
          </w:p>
        </w:tc>
      </w:tr>
      <w:tr>
        <w:trPr>
          <w:trHeight w:val="190"/>
        </w:trPr>
        <w:tc>
          <w:tcPr>
            <w:tcW w:w="1420" w:type="dxa"/>
            <w:vAlign w:val="bottom"/>
          </w:tcPr>
          <w:p>
            <w:pPr>
              <w:ind w:left="340"/>
              <w:spacing w:after="0" w:line="190" w:lineRule="exact"/>
              <w:rPr>
                <w:sz w:val="20"/>
                <w:szCs w:val="20"/>
                <w:color w:val="auto"/>
              </w:rPr>
            </w:pPr>
            <w:r>
              <w:rPr>
                <w:rFonts w:ascii="Arial" w:cs="Arial" w:eastAsia="Arial" w:hAnsi="Arial"/>
                <w:sz w:val="18"/>
                <w:szCs w:val="18"/>
                <w:color w:val="auto"/>
              </w:rPr>
              <w:t>10.7†</w:t>
            </w:r>
          </w:p>
        </w:tc>
        <w:tc>
          <w:tcPr>
            <w:tcW w:w="5620" w:type="dxa"/>
            <w:vAlign w:val="bottom"/>
            <w:gridSpan w:val="16"/>
          </w:tcPr>
          <w:p>
            <w:pPr>
              <w:spacing w:after="0" w:line="190" w:lineRule="exact"/>
              <w:rPr>
                <w:rFonts w:ascii="Arial" w:cs="Arial" w:eastAsia="Arial" w:hAnsi="Arial"/>
                <w:sz w:val="18"/>
                <w:szCs w:val="18"/>
                <w:color w:val="0000EE"/>
                <w:w w:val="96"/>
              </w:rPr>
            </w:pPr>
            <w:hyperlink r:id="rId117">
              <w:r>
                <w:rPr>
                  <w:rFonts w:ascii="Arial" w:cs="Arial" w:eastAsia="Arial" w:hAnsi="Arial"/>
                  <w:sz w:val="18"/>
                  <w:szCs w:val="18"/>
                  <w:color w:val="0000EE"/>
                  <w:w w:val="96"/>
                </w:rPr>
                <w:t>Employment Agreement between the Registrant and Michael D. Popielec</w:t>
              </w:r>
            </w:hyperlink>
          </w:p>
        </w:tc>
        <w:tc>
          <w:tcPr>
            <w:tcW w:w="4200" w:type="dxa"/>
            <w:vAlign w:val="bottom"/>
          </w:tcPr>
          <w:p>
            <w:pPr>
              <w:ind w:left="140"/>
              <w:spacing w:after="0" w:line="190" w:lineRule="exact"/>
              <w:rPr>
                <w:sz w:val="20"/>
                <w:szCs w:val="20"/>
                <w:color w:val="auto"/>
              </w:rPr>
            </w:pPr>
            <w:r>
              <w:rPr>
                <w:rFonts w:ascii="Arial" w:cs="Arial" w:eastAsia="Arial" w:hAnsi="Arial"/>
                <w:sz w:val="18"/>
                <w:szCs w:val="18"/>
                <w:color w:val="auto"/>
              </w:rPr>
              <w:t>Exhibit 10.40 of the Form 10-K for the year</w:t>
            </w:r>
          </w:p>
        </w:tc>
      </w:tr>
      <w:tr>
        <w:trPr>
          <w:trHeight w:val="196"/>
        </w:trPr>
        <w:tc>
          <w:tcPr>
            <w:tcW w:w="14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17">
              <w:r>
                <w:rPr>
                  <w:rFonts w:ascii="Arial" w:cs="Arial" w:eastAsia="Arial" w:hAnsi="Arial"/>
                  <w:sz w:val="18"/>
                  <w:szCs w:val="18"/>
                  <w:color w:val="0000EE"/>
                  <w:w w:val="87"/>
                </w:rPr>
                <w:t>dated December 6, 2010</w:t>
              </w:r>
            </w:hyperlink>
          </w:p>
        </w:tc>
        <w:tc>
          <w:tcPr>
            <w:tcW w:w="3520" w:type="dxa"/>
            <w:vAlign w:val="bottom"/>
            <w:tcBorders>
              <w:top w:val="single" w:sz="8" w:color="0000EE"/>
            </w:tcBorders>
            <w:gridSpan w:val="9"/>
          </w:tcPr>
          <w:p>
            <w:pPr>
              <w:spacing w:after="0"/>
              <w:rPr>
                <w:sz w:val="17"/>
                <w:szCs w:val="17"/>
                <w:color w:val="auto"/>
              </w:rPr>
            </w:pPr>
          </w:p>
        </w:tc>
        <w:tc>
          <w:tcPr>
            <w:tcW w:w="340" w:type="dxa"/>
            <w:vAlign w:val="bottom"/>
            <w:gridSpan w:val="5"/>
          </w:tcPr>
          <w:p>
            <w:pPr>
              <w:spacing w:after="0"/>
              <w:rPr>
                <w:sz w:val="17"/>
                <w:szCs w:val="17"/>
                <w:color w:val="auto"/>
              </w:rPr>
            </w:pPr>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ended December 31, 2010, filed March 15, 2011</w:t>
            </w: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10.8†</w:t>
            </w:r>
          </w:p>
        </w:tc>
        <w:tc>
          <w:tcPr>
            <w:tcW w:w="52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Amendment No. 4 to Ultralife Corporation Amended and Restated 2004</w:t>
              </w:r>
            </w:hyperlink>
          </w:p>
        </w:tc>
        <w:tc>
          <w:tcPr>
            <w:tcW w:w="400" w:type="dxa"/>
            <w:vAlign w:val="bottom"/>
            <w:gridSpan w:val="7"/>
          </w:tcPr>
          <w:p>
            <w:pPr>
              <w:spacing w:after="0"/>
              <w:rPr>
                <w:sz w:val="17"/>
                <w:szCs w:val="17"/>
                <w:color w:val="auto"/>
              </w:rPr>
            </w:pPr>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Exhibit 4.5 of the Registration Statement on</w:t>
            </w:r>
          </w:p>
        </w:tc>
      </w:tr>
      <w:tr>
        <w:trPr>
          <w:trHeight w:val="196"/>
        </w:trPr>
        <w:tc>
          <w:tcPr>
            <w:tcW w:w="14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Long-Term Incentive Plan</w:t>
              </w:r>
            </w:hyperlink>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Form S-8 filed on January 30, 2012, File No.</w:t>
            </w:r>
          </w:p>
        </w:tc>
      </w:tr>
      <w:tr>
        <w:trPr>
          <w:trHeight w:val="237"/>
        </w:trPr>
        <w:tc>
          <w:tcPr>
            <w:tcW w:w="142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4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333-179235</w:t>
            </w:r>
          </w:p>
        </w:tc>
      </w:tr>
      <w:tr>
        <w:trPr>
          <w:trHeight w:val="432"/>
        </w:trPr>
        <w:tc>
          <w:tcPr>
            <w:tcW w:w="1420" w:type="dxa"/>
            <w:vAlign w:val="bottom"/>
          </w:tcPr>
          <w:p>
            <w:pPr>
              <w:spacing w:after="0"/>
              <w:rPr>
                <w:sz w:val="24"/>
                <w:szCs w:val="24"/>
                <w:color w:val="auto"/>
              </w:rPr>
            </w:pPr>
          </w:p>
        </w:tc>
        <w:tc>
          <w:tcPr>
            <w:tcW w:w="4900" w:type="dxa"/>
            <w:vAlign w:val="bottom"/>
            <w:gridSpan w:val="7"/>
          </w:tcPr>
          <w:p>
            <w:pPr>
              <w:ind w:left="412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r>
      <w:tr>
        <w:trPr>
          <w:trHeight w:val="743"/>
        </w:trPr>
        <w:tc>
          <w:tcPr>
            <w:tcW w:w="1420" w:type="dxa"/>
            <w:vAlign w:val="bottom"/>
          </w:tcPr>
          <w:p>
            <w:pPr>
              <w:ind w:left="340"/>
              <w:spacing w:after="0"/>
              <w:rPr>
                <w:sz w:val="20"/>
                <w:szCs w:val="20"/>
                <w:color w:val="auto"/>
              </w:rPr>
            </w:pPr>
            <w:r>
              <w:rPr>
                <w:rFonts w:ascii="Arial" w:cs="Arial" w:eastAsia="Arial" w:hAnsi="Arial"/>
                <w:sz w:val="18"/>
                <w:szCs w:val="18"/>
                <w:color w:val="auto"/>
              </w:rPr>
              <w:t>10.9†</w:t>
            </w:r>
          </w:p>
        </w:tc>
        <w:tc>
          <w:tcPr>
            <w:tcW w:w="5220" w:type="dxa"/>
            <w:vAlign w:val="bottom"/>
            <w:tcBorders>
              <w:bottom w:val="single" w:sz="8" w:color="0000EE"/>
            </w:tcBorders>
            <w:gridSpan w:val="9"/>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Amendment No. 5 to Ultralife Corporation Amended and Restated 2004</w:t>
              </w:r>
            </w:hyperlink>
          </w:p>
        </w:tc>
        <w:tc>
          <w:tcPr>
            <w:tcW w:w="400" w:type="dxa"/>
            <w:vAlign w:val="bottom"/>
            <w:gridSpan w:val="7"/>
          </w:tcPr>
          <w:p>
            <w:pPr>
              <w:spacing w:after="0"/>
              <w:rPr>
                <w:sz w:val="24"/>
                <w:szCs w:val="24"/>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Exhibit 10.1 of the Form 8-K filed on May 26,</w:t>
            </w:r>
          </w:p>
        </w:tc>
      </w:tr>
      <w:tr>
        <w:trPr>
          <w:trHeight w:val="196"/>
        </w:trPr>
        <w:tc>
          <w:tcPr>
            <w:tcW w:w="1420" w:type="dxa"/>
            <w:vAlign w:val="bottom"/>
          </w:tcPr>
          <w:p>
            <w:pPr>
              <w:spacing w:after="0"/>
              <w:rPr>
                <w:sz w:val="17"/>
                <w:szCs w:val="17"/>
                <w:color w:val="auto"/>
              </w:rPr>
            </w:pPr>
          </w:p>
        </w:tc>
        <w:tc>
          <w:tcPr>
            <w:tcW w:w="5620" w:type="dxa"/>
            <w:vAlign w:val="bottom"/>
            <w:gridSpan w:val="1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Long-Term Incentive Plan</w:t>
              </w:r>
            </w:hyperlink>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2011</w:t>
            </w:r>
          </w:p>
        </w:tc>
      </w:tr>
      <w:tr>
        <w:trPr>
          <w:trHeight w:val="20"/>
        </w:trPr>
        <w:tc>
          <w:tcPr>
            <w:tcW w:w="142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10.10†</w:t>
            </w:r>
          </w:p>
        </w:tc>
        <w:tc>
          <w:tcPr>
            <w:tcW w:w="5620" w:type="dxa"/>
            <w:vAlign w:val="bottom"/>
            <w:gridSpan w:val="1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Restricted Stock Unit Agreement between Ultralife Corporation and</w:t>
              </w:r>
            </w:hyperlink>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Exhibit 10.1 of the Form 10-Q for the quarter</w:t>
            </w:r>
          </w:p>
        </w:tc>
      </w:tr>
      <w:tr>
        <w:trPr>
          <w:trHeight w:val="196"/>
        </w:trPr>
        <w:tc>
          <w:tcPr>
            <w:tcW w:w="1420" w:type="dxa"/>
            <w:vAlign w:val="bottom"/>
          </w:tcPr>
          <w:p>
            <w:pPr>
              <w:spacing w:after="0"/>
              <w:rPr>
                <w:sz w:val="17"/>
                <w:szCs w:val="17"/>
                <w:color w:val="auto"/>
              </w:rPr>
            </w:pPr>
          </w:p>
        </w:tc>
        <w:tc>
          <w:tcPr>
            <w:tcW w:w="49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Michael D. Popielec. Dated June 4, 2013</w:t>
              </w:r>
            </w:hyperlink>
          </w:p>
        </w:tc>
        <w:tc>
          <w:tcPr>
            <w:tcW w:w="720" w:type="dxa"/>
            <w:vAlign w:val="bottom"/>
            <w:gridSpan w:val="9"/>
          </w:tcPr>
          <w:p>
            <w:pPr>
              <w:spacing w:after="0"/>
              <w:rPr>
                <w:sz w:val="17"/>
                <w:szCs w:val="17"/>
                <w:color w:val="auto"/>
              </w:rPr>
            </w:pPr>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ended June 30, 2013, filed August 9, 2013</w:t>
            </w:r>
          </w:p>
        </w:tc>
      </w:tr>
      <w:tr>
        <w:trPr>
          <w:trHeight w:val="20"/>
        </w:trPr>
        <w:tc>
          <w:tcPr>
            <w:tcW w:w="1420" w:type="dxa"/>
            <w:vAlign w:val="bottom"/>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10.11†</w:t>
            </w:r>
          </w:p>
        </w:tc>
        <w:tc>
          <w:tcPr>
            <w:tcW w:w="5620" w:type="dxa"/>
            <w:vAlign w:val="bottom"/>
            <w:gridSpan w:val="16"/>
          </w:tcPr>
          <w:p>
            <w:pPr>
              <w:spacing w:after="0" w:line="196" w:lineRule="exact"/>
              <w:rPr>
                <w:rFonts w:ascii="Arial" w:cs="Arial" w:eastAsia="Arial" w:hAnsi="Arial"/>
                <w:sz w:val="18"/>
                <w:szCs w:val="18"/>
                <w:color w:val="0000EE"/>
                <w:w w:val="97"/>
              </w:rPr>
            </w:pPr>
            <w:hyperlink r:id="rId121">
              <w:r>
                <w:rPr>
                  <w:rFonts w:ascii="Arial" w:cs="Arial" w:eastAsia="Arial" w:hAnsi="Arial"/>
                  <w:sz w:val="18"/>
                  <w:szCs w:val="18"/>
                  <w:color w:val="0000EE"/>
                  <w:w w:val="97"/>
                </w:rPr>
                <w:t>Amendment No. 6. to Ultralife Corporation Amended and Restated 2004</w:t>
              </w:r>
            </w:hyperlink>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Appendix A of Form DEF 14A filed on April 22,</w:t>
            </w:r>
          </w:p>
        </w:tc>
      </w:tr>
      <w:tr>
        <w:trPr>
          <w:trHeight w:val="196"/>
        </w:trPr>
        <w:tc>
          <w:tcPr>
            <w:tcW w:w="1420" w:type="dxa"/>
            <w:vAlign w:val="bottom"/>
          </w:tcPr>
          <w:p>
            <w:pPr>
              <w:spacing w:after="0"/>
              <w:rPr>
                <w:sz w:val="17"/>
                <w:szCs w:val="17"/>
                <w:color w:val="auto"/>
              </w:rPr>
            </w:pPr>
          </w:p>
        </w:tc>
        <w:tc>
          <w:tcPr>
            <w:tcW w:w="52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Long-Term Incentive Plan</w:t>
              </w:r>
            </w:hyperlink>
          </w:p>
        </w:tc>
        <w:tc>
          <w:tcPr>
            <w:tcW w:w="380" w:type="dxa"/>
            <w:vAlign w:val="bottom"/>
            <w:gridSpan w:val="6"/>
          </w:tcPr>
          <w:p>
            <w:pPr>
              <w:spacing w:after="0"/>
              <w:rPr>
                <w:sz w:val="17"/>
                <w:szCs w:val="17"/>
                <w:color w:val="auto"/>
              </w:rPr>
            </w:pPr>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2013</w:t>
            </w:r>
          </w:p>
        </w:tc>
      </w:tr>
      <w:tr>
        <w:trPr>
          <w:trHeight w:val="20"/>
        </w:trPr>
        <w:tc>
          <w:tcPr>
            <w:tcW w:w="142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10.12</w:t>
            </w:r>
          </w:p>
        </w:tc>
        <w:tc>
          <w:tcPr>
            <w:tcW w:w="54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Credit and Security Agreement between Ultralife Corporation and KeyBank</w:t>
              </w:r>
            </w:hyperlink>
          </w:p>
        </w:tc>
        <w:tc>
          <w:tcPr>
            <w:tcW w:w="140" w:type="dxa"/>
            <w:vAlign w:val="bottom"/>
          </w:tcPr>
          <w:p>
            <w:pPr>
              <w:spacing w:after="0"/>
              <w:rPr>
                <w:sz w:val="17"/>
                <w:szCs w:val="17"/>
                <w:color w:val="auto"/>
              </w:rPr>
            </w:pPr>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Exhibit 10.1 of the Form 8-K filed on June 6,</w:t>
            </w:r>
          </w:p>
        </w:tc>
      </w:tr>
      <w:tr>
        <w:trPr>
          <w:trHeight w:val="196"/>
        </w:trPr>
        <w:tc>
          <w:tcPr>
            <w:tcW w:w="1420" w:type="dxa"/>
            <w:vAlign w:val="bottom"/>
          </w:tcPr>
          <w:p>
            <w:pPr>
              <w:spacing w:after="0"/>
              <w:rPr>
                <w:sz w:val="17"/>
                <w:szCs w:val="17"/>
                <w:color w:val="auto"/>
              </w:rPr>
            </w:pPr>
          </w:p>
        </w:tc>
        <w:tc>
          <w:tcPr>
            <w:tcW w:w="30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National Association dated May 31, 2017</w:t>
              </w:r>
            </w:hyperlink>
          </w:p>
        </w:tc>
        <w:tc>
          <w:tcPr>
            <w:tcW w:w="2620" w:type="dxa"/>
            <w:vAlign w:val="bottom"/>
            <w:gridSpan w:val="10"/>
          </w:tcPr>
          <w:p>
            <w:pPr>
              <w:spacing w:after="0"/>
              <w:rPr>
                <w:sz w:val="17"/>
                <w:szCs w:val="17"/>
                <w:color w:val="auto"/>
              </w:rPr>
            </w:pPr>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2017</w:t>
            </w: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10.13</w:t>
            </w:r>
          </w:p>
        </w:tc>
        <w:tc>
          <w:tcPr>
            <w:tcW w:w="5620" w:type="dxa"/>
            <w:vAlign w:val="bottom"/>
            <w:gridSpan w:val="16"/>
          </w:tcPr>
          <w:p>
            <w:pPr>
              <w:spacing w:after="0" w:line="196" w:lineRule="exact"/>
              <w:rPr>
                <w:rFonts w:ascii="Arial" w:cs="Arial" w:eastAsia="Arial" w:hAnsi="Arial"/>
                <w:sz w:val="18"/>
                <w:szCs w:val="18"/>
                <w:color w:val="0000EE"/>
                <w:w w:val="96"/>
              </w:rPr>
            </w:pPr>
            <w:hyperlink r:id="rId123">
              <w:r>
                <w:rPr>
                  <w:rFonts w:ascii="Arial" w:cs="Arial" w:eastAsia="Arial" w:hAnsi="Arial"/>
                  <w:sz w:val="18"/>
                  <w:szCs w:val="18"/>
                  <w:color w:val="0000EE"/>
                  <w:w w:val="96"/>
                </w:rPr>
                <w:t>First Amendment Agreement, dated May 1, 2019, by and among Ultralife</w:t>
              </w:r>
            </w:hyperlink>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Exhibit 10.1 of the Form 8-K filed on May 2,</w:t>
            </w:r>
          </w:p>
        </w:tc>
      </w:tr>
      <w:tr>
        <w:trPr>
          <w:trHeight w:val="196"/>
        </w:trPr>
        <w:tc>
          <w:tcPr>
            <w:tcW w:w="1420" w:type="dxa"/>
            <w:vAlign w:val="bottom"/>
          </w:tcPr>
          <w:p>
            <w:pPr>
              <w:spacing w:after="0"/>
              <w:rPr>
                <w:sz w:val="17"/>
                <w:szCs w:val="17"/>
                <w:color w:val="auto"/>
              </w:rPr>
            </w:pPr>
          </w:p>
        </w:tc>
        <w:tc>
          <w:tcPr>
            <w:tcW w:w="5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Corporation, Southwest Electronic Energy Corporation, CLB, INC., and</w:t>
              </w:r>
            </w:hyperlink>
          </w:p>
        </w:tc>
        <w:tc>
          <w:tcPr>
            <w:tcW w:w="100" w:type="dxa"/>
            <w:vAlign w:val="bottom"/>
            <w:tcBorders>
              <w:top w:val="single" w:sz="8" w:color="0000EE"/>
            </w:tcBorders>
            <w:gridSpan w:val="4"/>
          </w:tcPr>
          <w:p>
            <w:pPr>
              <w:spacing w:after="0"/>
              <w:rPr>
                <w:sz w:val="17"/>
                <w:szCs w:val="17"/>
                <w:color w:val="auto"/>
              </w:rPr>
            </w:pPr>
          </w:p>
        </w:tc>
        <w:tc>
          <w:tcPr>
            <w:tcW w:w="320" w:type="dxa"/>
            <w:vAlign w:val="bottom"/>
            <w:gridSpan w:val="4"/>
          </w:tcPr>
          <w:p>
            <w:pPr>
              <w:spacing w:after="0"/>
              <w:rPr>
                <w:sz w:val="17"/>
                <w:szCs w:val="17"/>
                <w:color w:val="auto"/>
              </w:rPr>
            </w:pPr>
          </w:p>
        </w:tc>
        <w:tc>
          <w:tcPr>
            <w:tcW w:w="4200" w:type="dxa"/>
            <w:vAlign w:val="bottom"/>
          </w:tcPr>
          <w:p>
            <w:pPr>
              <w:ind w:left="140"/>
              <w:spacing w:after="0" w:line="196" w:lineRule="exact"/>
              <w:rPr>
                <w:sz w:val="20"/>
                <w:szCs w:val="20"/>
                <w:color w:val="auto"/>
              </w:rPr>
            </w:pPr>
            <w:r>
              <w:rPr>
                <w:rFonts w:ascii="Arial" w:cs="Arial" w:eastAsia="Arial" w:hAnsi="Arial"/>
                <w:sz w:val="18"/>
                <w:szCs w:val="18"/>
                <w:color w:val="auto"/>
              </w:rPr>
              <w:t>2019</w:t>
            </w:r>
          </w:p>
        </w:tc>
      </w:tr>
      <w:tr>
        <w:trPr>
          <w:trHeight w:val="196"/>
        </w:trPr>
        <w:tc>
          <w:tcPr>
            <w:tcW w:w="1420" w:type="dxa"/>
            <w:vAlign w:val="bottom"/>
          </w:tcPr>
          <w:p>
            <w:pPr>
              <w:spacing w:after="0"/>
              <w:rPr>
                <w:sz w:val="17"/>
                <w:szCs w:val="17"/>
                <w:color w:val="auto"/>
              </w:rPr>
            </w:pPr>
          </w:p>
        </w:tc>
        <w:tc>
          <w:tcPr>
            <w:tcW w:w="22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KeyBank National Association</w:t>
              </w:r>
            </w:hyperlink>
          </w:p>
        </w:tc>
        <w:tc>
          <w:tcPr>
            <w:tcW w:w="3380" w:type="dxa"/>
            <w:vAlign w:val="bottom"/>
            <w:gridSpan w:val="12"/>
          </w:tcPr>
          <w:p>
            <w:pPr>
              <w:spacing w:after="0"/>
              <w:rPr>
                <w:sz w:val="17"/>
                <w:szCs w:val="17"/>
                <w:color w:val="auto"/>
              </w:rPr>
            </w:pPr>
          </w:p>
        </w:tc>
        <w:tc>
          <w:tcPr>
            <w:tcW w:w="4200" w:type="dxa"/>
            <w:vAlign w:val="bottom"/>
          </w:tcPr>
          <w:p>
            <w:pPr>
              <w:spacing w:after="0"/>
              <w:rPr>
                <w:sz w:val="17"/>
                <w:szCs w:val="17"/>
                <w:color w:val="auto"/>
              </w:rPr>
            </w:pPr>
          </w:p>
        </w:tc>
      </w:tr>
      <w:tr>
        <w:trPr>
          <w:trHeight w:val="222"/>
        </w:trPr>
        <w:tc>
          <w:tcPr>
            <w:tcW w:w="1420" w:type="dxa"/>
            <w:vAlign w:val="bottom"/>
          </w:tcPr>
          <w:p>
            <w:pPr>
              <w:ind w:left="340"/>
              <w:spacing w:after="0"/>
              <w:rPr>
                <w:sz w:val="20"/>
                <w:szCs w:val="20"/>
                <w:color w:val="auto"/>
              </w:rPr>
            </w:pPr>
            <w:r>
              <w:rPr>
                <w:rFonts w:ascii="Arial" w:cs="Arial" w:eastAsia="Arial" w:hAnsi="Arial"/>
                <w:sz w:val="18"/>
                <w:szCs w:val="18"/>
                <w:color w:val="auto"/>
              </w:rPr>
              <w:t>21</w:t>
            </w:r>
          </w:p>
        </w:tc>
        <w:tc>
          <w:tcPr>
            <w:tcW w:w="5620" w:type="dxa"/>
            <w:vAlign w:val="bottom"/>
            <w:gridSpan w:val="16"/>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Subsidiaries</w:t>
              </w:r>
            </w:hyperlink>
          </w:p>
        </w:tc>
        <w:tc>
          <w:tcPr>
            <w:tcW w:w="42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23.1</w:t>
            </w:r>
          </w:p>
        </w:tc>
        <w:tc>
          <w:tcPr>
            <w:tcW w:w="5620" w:type="dxa"/>
            <w:vAlign w:val="bottom"/>
            <w:gridSpan w:val="16"/>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Consent of Freed Maxick CPAs, P.C.</w:t>
              </w:r>
            </w:hyperlink>
          </w:p>
        </w:tc>
        <w:tc>
          <w:tcPr>
            <w:tcW w:w="42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31.1</w:t>
            </w:r>
          </w:p>
        </w:tc>
        <w:tc>
          <w:tcPr>
            <w:tcW w:w="5620" w:type="dxa"/>
            <w:vAlign w:val="bottom"/>
            <w:gridSpan w:val="16"/>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Rule 13a-14(a) / 15d-14(a) CEO Certifications</w:t>
              </w:r>
            </w:hyperlink>
          </w:p>
        </w:tc>
        <w:tc>
          <w:tcPr>
            <w:tcW w:w="42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31.2</w:t>
            </w:r>
          </w:p>
        </w:tc>
        <w:tc>
          <w:tcPr>
            <w:tcW w:w="5620" w:type="dxa"/>
            <w:vAlign w:val="bottom"/>
            <w:gridSpan w:val="16"/>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Rule 13a-14(a) / 15d-14(a) CFO Certifications</w:t>
              </w:r>
            </w:hyperlink>
          </w:p>
        </w:tc>
        <w:tc>
          <w:tcPr>
            <w:tcW w:w="42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32</w:t>
            </w:r>
          </w:p>
        </w:tc>
        <w:tc>
          <w:tcPr>
            <w:tcW w:w="5620" w:type="dxa"/>
            <w:vAlign w:val="bottom"/>
            <w:gridSpan w:val="16"/>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Section 1350 Certifications</w:t>
              </w:r>
            </w:hyperlink>
          </w:p>
        </w:tc>
        <w:tc>
          <w:tcPr>
            <w:tcW w:w="42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101.INS</w:t>
            </w:r>
          </w:p>
        </w:tc>
        <w:tc>
          <w:tcPr>
            <w:tcW w:w="562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c>
          <w:tcPr>
            <w:tcW w:w="42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101.SCH</w:t>
            </w:r>
          </w:p>
        </w:tc>
        <w:tc>
          <w:tcPr>
            <w:tcW w:w="56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42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101.CAL</w:t>
            </w:r>
          </w:p>
        </w:tc>
        <w:tc>
          <w:tcPr>
            <w:tcW w:w="562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2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101.LAB</w:t>
            </w:r>
          </w:p>
        </w:tc>
        <w:tc>
          <w:tcPr>
            <w:tcW w:w="562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2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101.PRE</w:t>
            </w:r>
          </w:p>
        </w:tc>
        <w:tc>
          <w:tcPr>
            <w:tcW w:w="562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2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101.DEF</w:t>
            </w:r>
          </w:p>
        </w:tc>
        <w:tc>
          <w:tcPr>
            <w:tcW w:w="562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2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104</w:t>
            </w:r>
          </w:p>
        </w:tc>
        <w:tc>
          <w:tcPr>
            <w:tcW w:w="5620" w:type="dxa"/>
            <w:vAlign w:val="bottom"/>
            <w:gridSpan w:val="16"/>
          </w:tcPr>
          <w:p>
            <w:pPr>
              <w:spacing w:after="0"/>
              <w:rPr>
                <w:sz w:val="20"/>
                <w:szCs w:val="20"/>
                <w:color w:val="auto"/>
              </w:rPr>
            </w:pPr>
            <w:r>
              <w:rPr>
                <w:rFonts w:ascii="Arial" w:cs="Arial" w:eastAsia="Arial" w:hAnsi="Arial"/>
                <w:sz w:val="18"/>
                <w:szCs w:val="18"/>
                <w:color w:val="auto"/>
                <w:w w:val="95"/>
              </w:rPr>
              <w:t>Cover Page Interactive Data File (formatted as Inline XBRL and contained</w:t>
            </w:r>
          </w:p>
        </w:tc>
        <w:tc>
          <w:tcPr>
            <w:tcW w:w="42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30"/>
        </w:trPr>
        <w:tc>
          <w:tcPr>
            <w:tcW w:w="1420" w:type="dxa"/>
            <w:vAlign w:val="bottom"/>
          </w:tcPr>
          <w:p>
            <w:pPr>
              <w:spacing w:after="0"/>
              <w:rPr>
                <w:sz w:val="20"/>
                <w:szCs w:val="20"/>
                <w:color w:val="auto"/>
              </w:rPr>
            </w:pPr>
          </w:p>
        </w:tc>
        <w:tc>
          <w:tcPr>
            <w:tcW w:w="5620" w:type="dxa"/>
            <w:vAlign w:val="bottom"/>
            <w:gridSpan w:val="16"/>
          </w:tcPr>
          <w:p>
            <w:pPr>
              <w:spacing w:after="0"/>
              <w:rPr>
                <w:sz w:val="20"/>
                <w:szCs w:val="20"/>
                <w:color w:val="auto"/>
              </w:rPr>
            </w:pPr>
            <w:r>
              <w:rPr>
                <w:rFonts w:ascii="Arial" w:cs="Arial" w:eastAsia="Arial" w:hAnsi="Arial"/>
                <w:sz w:val="18"/>
                <w:szCs w:val="18"/>
                <w:color w:val="auto"/>
              </w:rPr>
              <w:t>in Exhibit 101)</w:t>
            </w:r>
          </w:p>
        </w:tc>
        <w:tc>
          <w:tcPr>
            <w:tcW w:w="4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-3660140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82" w:lineRule="exact"/>
        <w:rPr>
          <w:sz w:val="20"/>
          <w:szCs w:val="20"/>
          <w:color w:val="auto"/>
        </w:rPr>
      </w:pPr>
    </w:p>
    <w:p>
      <w:pPr>
        <w:ind w:left="800" w:hanging="144"/>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of this exhibit.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Attached as Exhibit 101 to this report are the following formatted in iXBRL (Inline eXtensible Business Reporting Language): (i) Consolidated Balance Sheets as of December 31, 2020 and December 31, 2019, (ii) Consolidated Statements of Income and Comprehensive Income for the years ended December 31, 2020 and December 31, 2019, (iii) Consolidated Statements of Cash Flows for the years ended December 31, 2020 and December 31, 2019,</w:t>
      </w:r>
    </w:p>
    <w:p>
      <w:pPr>
        <w:spacing w:after="0" w:line="2" w:lineRule="exact"/>
        <w:rPr>
          <w:sz w:val="20"/>
          <w:szCs w:val="20"/>
          <w:color w:val="auto"/>
        </w:rPr>
      </w:pPr>
    </w:p>
    <w:p>
      <w:pPr>
        <w:ind w:right="20" w:firstLine="8"/>
        <w:spacing w:after="0" w:line="260" w:lineRule="auto"/>
        <w:tabs>
          <w:tab w:leader="none" w:pos="333"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Consolidated Statements of Changes in Shareholders’ Equity for the years ended December 31, 2020 and December 31, 2019, and (v)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ULTRALIFE CORPORATION</w:t>
      </w:r>
    </w:p>
    <w:p>
      <w:pPr>
        <w:sectPr>
          <w:pgSz w:w="11900" w:h="16838" w:orient="portrait"/>
          <w:cols w:equalWidth="0" w:num="1">
            <w:col w:w="11240"/>
          </w:cols>
          <w:pgMar w:left="320" w:top="125" w:right="339" w:bottom="74"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February 4,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D. Popielec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D. Popielec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ectPr>
          <w:pgSz w:w="11900" w:h="16838" w:orient="portrait"/>
          <w:cols w:equalWidth="0" w:num="2">
            <w:col w:w="5260" w:space="720"/>
            <w:col w:w="5260"/>
          </w:cols>
          <w:pgMar w:left="320" w:top="125" w:right="339" w:bottom="74" w:gutter="0" w:footer="0" w:header="0"/>
          <w:type w:val="continuous"/>
        </w:sectPr>
      </w:pPr>
    </w:p>
    <w:bookmarkStart w:id="49" w:name="page50"/>
    <w:bookmarkEnd w:id="49"/>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Date: February 4, 2021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Michael D. Popielec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D. Popielec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ectPr>
          <w:pgSz w:w="11900" w:h="16838" w:orient="portrait"/>
          <w:cols w:equalWidth="0" w:num="2">
            <w:col w:w="5260" w:space="720"/>
            <w:col w:w="5260"/>
          </w:cols>
          <w:pgMar w:left="320" w:top="125" w:right="3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Date: February 4, 2021</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Philip A. Fain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Philip A. Fain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 and Principal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ectPr>
          <w:pgSz w:w="11900" w:h="16838" w:orient="portrait"/>
          <w:cols w:equalWidth="0" w:num="2">
            <w:col w:w="5260" w:space="720"/>
            <w:col w:w="5260"/>
          </w:cols>
          <w:pgMar w:left="320" w:top="125"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4,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Thomas L. Saeli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Thomas L. Saeli (Director)</w:t>
      </w:r>
    </w:p>
    <w:p>
      <w:pPr>
        <w:spacing w:after="0" w:line="200" w:lineRule="exact"/>
        <w:rPr>
          <w:sz w:val="20"/>
          <w:szCs w:val="20"/>
          <w:color w:val="auto"/>
        </w:rPr>
      </w:pPr>
    </w:p>
    <w:p>
      <w:pPr>
        <w:sectPr>
          <w:pgSz w:w="11900" w:h="16838" w:orient="portrait"/>
          <w:cols w:equalWidth="0" w:num="2">
            <w:col w:w="5260" w:space="720"/>
            <w:col w:w="5260"/>
          </w:cols>
          <w:pgMar w:left="320" w:top="125" w:right="3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Date: February 4, 2021</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Robert W. Shaw II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Robert W. Shaw II (Director)</w:t>
      </w:r>
    </w:p>
    <w:p>
      <w:pPr>
        <w:spacing w:after="0" w:line="200" w:lineRule="exact"/>
        <w:rPr>
          <w:sz w:val="20"/>
          <w:szCs w:val="20"/>
          <w:color w:val="auto"/>
        </w:rPr>
      </w:pPr>
    </w:p>
    <w:p>
      <w:pPr>
        <w:sectPr>
          <w:pgSz w:w="11900" w:h="16838" w:orient="portrait"/>
          <w:cols w:equalWidth="0" w:num="2">
            <w:col w:w="5260" w:space="720"/>
            <w:col w:w="5260"/>
          </w:cols>
          <w:pgMar w:left="320" w:top="125" w:right="3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Date: February 4, 2021</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Ranjit C. Singh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Ranjit C. Singh (Director)</w:t>
      </w:r>
    </w:p>
    <w:p>
      <w:pPr>
        <w:spacing w:after="0" w:line="200" w:lineRule="exact"/>
        <w:rPr>
          <w:sz w:val="20"/>
          <w:szCs w:val="20"/>
          <w:color w:val="auto"/>
        </w:rPr>
      </w:pPr>
    </w:p>
    <w:p>
      <w:pPr>
        <w:sectPr>
          <w:pgSz w:w="11900" w:h="16838" w:orient="portrait"/>
          <w:cols w:equalWidth="0" w:num="2">
            <w:col w:w="5260" w:space="720"/>
            <w:col w:w="5260"/>
          </w:cols>
          <w:pgMar w:left="320" w:top="125" w:right="3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Date: February 4, 2021</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Bradford T. Whitmore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Bradford T. Whitmore (Director)</w:t>
      </w:r>
    </w:p>
    <w:p>
      <w:pPr>
        <w:spacing w:after="0" w:line="200" w:lineRule="exact"/>
        <w:rPr>
          <w:sz w:val="20"/>
          <w:szCs w:val="20"/>
          <w:color w:val="auto"/>
        </w:rPr>
      </w:pPr>
    </w:p>
    <w:p>
      <w:pPr>
        <w:sectPr>
          <w:pgSz w:w="11900" w:h="16838" w:orient="portrait"/>
          <w:cols w:equalWidth="0" w:num="2">
            <w:col w:w="5260" w:space="720"/>
            <w:col w:w="5260"/>
          </w:cols>
          <w:pgMar w:left="320" w:top="125" w:right="339" w:bottom="1440" w:gutter="0" w:footer="0" w:header="0"/>
          <w:type w:val="continuous"/>
        </w:sectPr>
      </w:pP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320" w:top="125" w:right="3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Batteries (UK) LTD, incorporated in the United Kingdom.</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a 100% ownership interest in ABLE New Energy Co., Limited, incorporated in Hong Kong, which has a 100% ownership interest in ABLE New Energy Co., Ltd, incorporated in the People’s Republic of China.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Energy Services Corporation, incorporated in 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a 51% ownership interest in Ultralife Batteries India Private Limited, incorporated in India.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Through our ownership interest in Ultralife UK LTD, we have a 100% controlling interest in Accutronics, Ltd., also incorporated in the United Kingdom.</w:t>
      </w:r>
    </w:p>
    <w:p>
      <w:pPr>
        <w:spacing w:after="0" w:line="2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100% ownership interest in Southwest Electronic Energy Corporation and its wholly-owned subsidiary, CLB, Inc. (collectively “SWE”), both incorporated in Texas.</w:t>
      </w:r>
    </w:p>
    <w:p>
      <w:pPr>
        <w:sectPr>
          <w:pgSz w:w="11900" w:h="16838" w:orient="portrait"/>
          <w:cols w:equalWidth="0" w:num="1">
            <w:col w:w="11240"/>
          </w:cols>
          <w:pgMar w:left="320" w:top="121" w:right="339" w:bottom="1440" w:gutter="0" w:footer="0" w:header="0"/>
        </w:sectPr>
      </w:pPr>
    </w:p>
    <w:bookmarkStart w:id="51" w:name="page52"/>
    <w:bookmarkEnd w:id="51"/>
    <w:p>
      <w:pPr>
        <w:ind w:left="1032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on Form S-8 (Nos. 333-117662, 333-136737, 333-155349, 333-179235 and 333-203037) of our report dated February 4, 2021, relating to the consolidated financial statements and effectiveness of internal control over financial reporting of Ultralife Corporation appearing in this Annual Report on Form 10-K for the year ended 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Freed Maxick CPAs,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Rochester,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4, 2021</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960" w:hanging="656"/>
        <w:spacing w:after="0" w:line="286" w:lineRule="auto"/>
        <w:tabs>
          <w:tab w:leader="none" w:pos="19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1960" w:hanging="656"/>
        <w:spacing w:after="0" w:line="263" w:lineRule="auto"/>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February 4,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Popielec</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960" w:hanging="656"/>
        <w:spacing w:after="0" w:line="286" w:lineRule="auto"/>
        <w:tabs>
          <w:tab w:leader="none" w:pos="19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1960" w:hanging="656"/>
        <w:spacing w:after="0" w:line="263" w:lineRule="auto"/>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February 4,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 Fain</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Section 1350 Certification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Annual Report on Form 10-K for the year ended December 31, 2020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February 4,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Popielec</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Date: February 4,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 Fain</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we specifically incorporate this certification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1."/>
      <w:numFmt w:val="lowerLetter"/>
      <w:start w:val="2"/>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Letter"/>
      <w:start w:val="2"/>
    </w:lvl>
  </w:abstractNum>
  <w:abstractNum w:abstractNumId="7">
    <w:nsid w:val="B03E0C6"/>
    <w:multiLevelType w:val="hybridMultilevel"/>
    <w:lvl w:ilvl="0">
      <w:lvlJc w:val="left"/>
      <w:lvlText w:val="%1."/>
      <w:numFmt w:val="lowerLetter"/>
      <w:start w:val="3"/>
    </w:lvl>
  </w:abstractNum>
  <w:abstractNum w:abstractNumId="8">
    <w:nsid w:val="189A769B"/>
    <w:multiLevelType w:val="hybridMultilevel"/>
    <w:lvl w:ilvl="0">
      <w:lvlJc w:val="left"/>
      <w:lvlText w:val="%1."/>
      <w:numFmt w:val="lowerLetter"/>
      <w:start w:val="4"/>
    </w:lvl>
  </w:abstractNum>
  <w:abstractNum w:abstractNumId="9">
    <w:nsid w:val="54E49EB4"/>
    <w:multiLevelType w:val="hybridMultilevel"/>
    <w:lvl w:ilvl="0">
      <w:lvlJc w:val="left"/>
      <w:lvlText w:val="%1."/>
      <w:numFmt w:val="lowerLetter"/>
      <w:start w:val="6"/>
    </w:lvl>
  </w:abstractNum>
  <w:abstractNum w:abstractNumId="10">
    <w:nsid w:val="71F32454"/>
    <w:multiLevelType w:val="hybridMultilevel"/>
    <w:lvl w:ilvl="0">
      <w:lvlJc w:val="left"/>
      <w:lvlText w:val="%1."/>
      <w:numFmt w:val="lowerLetter"/>
      <w:start w:val="7"/>
    </w:lvl>
  </w:abstractNum>
  <w:abstractNum w:abstractNumId="11">
    <w:nsid w:val="2CA88611"/>
    <w:multiLevelType w:val="hybridMultilevel"/>
    <w:lvl w:ilvl="0">
      <w:lvlJc w:val="left"/>
      <w:lvlText w:val="%1."/>
      <w:numFmt w:val="lowerLetter"/>
      <w:start w:val="8"/>
    </w:lvl>
  </w:abstractNum>
  <w:abstractNum w:abstractNumId="12">
    <w:nsid w:val="836C40E"/>
    <w:multiLevelType w:val="hybridMultilevel"/>
    <w:lvl w:ilvl="0">
      <w:lvlJc w:val="left"/>
      <w:lvlText w:val="%1."/>
      <w:numFmt w:val="lowerRoman"/>
      <w:start w:val="1"/>
    </w:lvl>
  </w:abstractNum>
  <w:abstractNum w:abstractNumId="13">
    <w:nsid w:val="2901D82"/>
    <w:multiLevelType w:val="hybridMultilevel"/>
    <w:lvl w:ilvl="0">
      <w:lvlJc w:val="left"/>
      <w:lvlText w:val="%1."/>
      <w:numFmt w:val="lowerLetter"/>
      <w:start w:val="10"/>
    </w:lvl>
  </w:abstractNum>
  <w:abstractNum w:abstractNumId="14">
    <w:nsid w:val="3A95F874"/>
    <w:multiLevelType w:val="hybridMultilevel"/>
    <w:lvl w:ilvl="0">
      <w:lvlJc w:val="left"/>
      <w:lvlText w:val="%1."/>
      <w:numFmt w:val="lowerLetter"/>
      <w:start w:val="11"/>
    </w:lvl>
  </w:abstractNum>
  <w:abstractNum w:abstractNumId="15">
    <w:nsid w:val="8138641"/>
    <w:multiLevelType w:val="hybridMultilevel"/>
    <w:lvl w:ilvl="0">
      <w:lvlJc w:val="left"/>
      <w:lvlText w:val="%1."/>
      <w:numFmt w:val="lowerLetter"/>
      <w:start w:val="12"/>
    </w:lvl>
  </w:abstractNum>
  <w:abstractNum w:abstractNumId="16">
    <w:nsid w:val="1E7FF521"/>
    <w:multiLevelType w:val="hybridMultilevel"/>
    <w:lvl w:ilvl="0">
      <w:lvlJc w:val="left"/>
      <w:lvlText w:val="%1."/>
      <w:numFmt w:val="lowerLetter"/>
      <w:start w:val="13"/>
    </w:lvl>
  </w:abstractNum>
  <w:abstractNum w:abstractNumId="17">
    <w:nsid w:val="7C3DBD3D"/>
    <w:multiLevelType w:val="hybridMultilevel"/>
    <w:lvl w:ilvl="0">
      <w:lvlJc w:val="left"/>
      <w:lvlText w:val="%1."/>
      <w:numFmt w:val="lowerLetter"/>
      <w:start w:val="14"/>
    </w:lvl>
  </w:abstractNum>
  <w:abstractNum w:abstractNumId="18">
    <w:nsid w:val="737B8DDC"/>
    <w:multiLevelType w:val="hybridMultilevel"/>
    <w:lvl w:ilvl="0">
      <w:lvlJc w:val="left"/>
      <w:lvlText w:val="%1."/>
      <w:numFmt w:val="lowerLetter"/>
      <w:start w:val="15"/>
    </w:lvl>
  </w:abstractNum>
  <w:abstractNum w:abstractNumId="19">
    <w:nsid w:val="6CEAF087"/>
    <w:multiLevelType w:val="hybridMultilevel"/>
    <w:lvl w:ilvl="0">
      <w:lvlJc w:val="left"/>
      <w:lvlText w:val="%1."/>
      <w:numFmt w:val="lowerLetter"/>
      <w:start w:val="16"/>
    </w:lvl>
  </w:abstractNum>
  <w:abstractNum w:abstractNumId="20">
    <w:nsid w:val="22221A70"/>
    <w:multiLevelType w:val="hybridMultilevel"/>
    <w:lvl w:ilvl="0">
      <w:lvlJc w:val="left"/>
      <w:lvlText w:val="%1."/>
      <w:numFmt w:val="lowerLetter"/>
      <w:start w:val="17"/>
    </w:lvl>
  </w:abstractNum>
  <w:abstractNum w:abstractNumId="21">
    <w:nsid w:val="4516DDE9"/>
    <w:multiLevelType w:val="hybridMultilevel"/>
    <w:lvl w:ilvl="0">
      <w:lvlJc w:val="left"/>
      <w:lvlText w:val="%1."/>
      <w:numFmt w:val="lowerLetter"/>
      <w:start w:val="18"/>
    </w:lvl>
  </w:abstractNum>
  <w:abstractNum w:abstractNumId="22">
    <w:nsid w:val="3006C83E"/>
    <w:multiLevelType w:val="hybridMultilevel"/>
    <w:lvl w:ilvl="0">
      <w:lvlJc w:val="left"/>
      <w:lvlText w:val="%1."/>
      <w:numFmt w:val="lowerLetter"/>
      <w:start w:val="19"/>
    </w:lvl>
  </w:abstractNum>
  <w:abstractNum w:abstractNumId="23">
    <w:nsid w:val="614FD4A1"/>
    <w:multiLevelType w:val="hybridMultilevel"/>
    <w:lvl w:ilvl="0">
      <w:lvlJc w:val="left"/>
      <w:lvlText w:val="%1."/>
      <w:numFmt w:val="lowerLetter"/>
      <w:start w:val="20"/>
    </w:lvl>
  </w:abstractNum>
  <w:abstractNum w:abstractNumId="24">
    <w:nsid w:val="419AC241"/>
    <w:multiLevelType w:val="hybridMultilevel"/>
    <w:lvl w:ilvl="0">
      <w:lvlJc w:val="left"/>
      <w:lvlText w:val="%1."/>
      <w:numFmt w:val="lowerLetter"/>
      <w:start w:val="21"/>
    </w:lvl>
  </w:abstractNum>
  <w:abstractNum w:abstractNumId="25">
    <w:nsid w:val="5577F8E1"/>
    <w:multiLevelType w:val="hybridMultilevel"/>
    <w:lvl w:ilvl="0">
      <w:lvlJc w:val="left"/>
      <w:lvlText w:val="%1."/>
      <w:numFmt w:val="lowerRoman"/>
      <w:start w:val="5"/>
    </w:lvl>
  </w:abstractNum>
  <w:abstractNum w:abstractNumId="26">
    <w:nsid w:val="440BADFC"/>
    <w:multiLevelType w:val="hybridMultilevel"/>
    <w:lvl w:ilvl="0">
      <w:lvlJc w:val="left"/>
      <w:lvlText w:val="%1."/>
      <w:numFmt w:val="lowerLetter"/>
      <w:start w:val="23"/>
    </w:lvl>
  </w:abstractNum>
  <w:abstractNum w:abstractNumId="27">
    <w:nsid w:val="5072367"/>
    <w:multiLevelType w:val="hybridMultilevel"/>
    <w:lvl w:ilvl="0">
      <w:lvlJc w:val="left"/>
      <w:lvlText w:val="%1."/>
      <w:numFmt w:val="lowerRoman"/>
      <w:start w:val="10"/>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2"/>
    </w:lvl>
  </w:abstractNum>
  <w:abstractNum w:abstractNumId="30">
    <w:nsid w:val="7724C67E"/>
    <w:multiLevelType w:val="hybridMultilevel"/>
    <w:lvl w:ilvl="0">
      <w:lvlJc w:val="left"/>
      <w:lvlText w:val="%1."/>
      <w:numFmt w:val="lowerLetter"/>
      <w:start w:val="4"/>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2"/>
    </w:lvl>
  </w:abstractNum>
  <w:abstractNum w:abstractNumId="33">
    <w:nsid w:val="5E884ADC"/>
    <w:multiLevelType w:val="hybridMultilevel"/>
    <w:lvl w:ilvl="0">
      <w:lvlJc w:val="left"/>
      <w:lvlText w:val="%1."/>
      <w:numFmt w:val="lowerLetter"/>
      <w:start w:val="3"/>
    </w:lvl>
  </w:abstractNum>
  <w:abstractNum w:abstractNumId="34">
    <w:nsid w:val="51EAD36B"/>
    <w:multiLevelType w:val="hybridMultilevel"/>
    <w:lvl w:ilvl="0">
      <w:lvlJc w:val="left"/>
      <w:lvlText w:val="%1."/>
      <w:numFmt w:val="lowerLetter"/>
      <w:start w:val="4"/>
    </w:lvl>
  </w:abstractNum>
  <w:abstractNum w:abstractNumId="35">
    <w:nsid w:val="2D517796"/>
    <w:multiLevelType w:val="hybridMultilevel"/>
    <w:lvl w:ilvl="0">
      <w:lvlJc w:val="left"/>
      <w:lvlText w:val="%1."/>
      <w:numFmt w:val="lowerLetter"/>
      <w:start w:val="5"/>
    </w:lvl>
  </w:abstractNum>
  <w:abstractNum w:abstractNumId="36">
    <w:nsid w:val="580BD78F"/>
    <w:multiLevelType w:val="hybridMultilevel"/>
    <w:lvl w:ilvl="0">
      <w:lvlJc w:val="left"/>
      <w:lvlText w:val="%1."/>
      <w:numFmt w:val="lowerLetter"/>
      <w:start w:val="6"/>
    </w:lvl>
  </w:abstractNum>
  <w:abstractNum w:abstractNumId="37">
    <w:nsid w:val="153EA438"/>
    <w:multiLevelType w:val="hybridMultilevel"/>
    <w:lvl w:ilvl="0">
      <w:lvlJc w:val="left"/>
      <w:lvlText w:val="(%1)"/>
      <w:numFmt w:val="lowerRoman"/>
      <w:start w:val="4"/>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2"/>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lowerRoman"/>
      <w:start w:val="4"/>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05" Type="http://schemas.openxmlformats.org/officeDocument/2006/relationships/hyperlink" Target="http://www.sec.gov/Archives/edgar/data/875657/000143774919008478/ex_142064.htm" TargetMode="External"/><Relationship Id="rId106" Type="http://schemas.openxmlformats.org/officeDocument/2006/relationships/hyperlink" Target="http://www.sec.gov/Archives/edgar/data/875657/000087565716000069/exh22.htm" TargetMode="External"/><Relationship Id="rId107" Type="http://schemas.openxmlformats.org/officeDocument/2006/relationships/hyperlink" Target="http://www.sec.gov/Archives/edgar/data/875657/000095015209002617/l35518aexv3w1.htm" TargetMode="External"/><Relationship Id="rId108" Type="http://schemas.openxmlformats.org/officeDocument/2006/relationships/hyperlink" Target="http://www.sec.gov/Archives/edgar/data/875657/000087565714000021/exhibit3ii.htm" TargetMode="External"/><Relationship Id="rId109" Type="http://schemas.openxmlformats.org/officeDocument/2006/relationships/hyperlink" Target="http://www.sec.gov/Archives/edgar/data/875657/000095015209002617/l35518aexv4w1.htm" TargetMode="External"/><Relationship Id="rId110" Type="http://schemas.openxmlformats.org/officeDocument/2006/relationships/hyperlink" Target="http://www.sec.gov/Archives/edgar/data/875657/000143774920008595/ex_182409.htm" TargetMode="External"/><Relationship Id="rId111" Type="http://schemas.openxmlformats.org/officeDocument/2006/relationships/hyperlink" Target="http://www.sec.gov/Archives/edgar/data/875657/0000950116-96-001038.txt" TargetMode="External"/><Relationship Id="rId112" Type="http://schemas.openxmlformats.org/officeDocument/2006/relationships/hyperlink" Target="http://www.sec.gov/Archives/edgar/data/875657/000117184314001757/def14a_042114.htm" TargetMode="External"/><Relationship Id="rId113" Type="http://schemas.openxmlformats.org/officeDocument/2006/relationships/hyperlink" Target="http://www.sec.gov/Archives/edgar/data/875657/000089109204003484/e18538_ex99-2.txt" TargetMode="External"/><Relationship Id="rId114" Type="http://schemas.openxmlformats.org/officeDocument/2006/relationships/hyperlink" Target="http://www.sec.gov/Archives/edgar/data/875657/000095015206007100/l21954aexv99w3.htm" TargetMode="External"/><Relationship Id="rId115" Type="http://schemas.openxmlformats.org/officeDocument/2006/relationships/hyperlink" Target="http://www.sec.gov/Archives/edgar/data/875657/000095015208009257/l34190aexv99w4.htm" TargetMode="External"/><Relationship Id="rId116" Type="http://schemas.openxmlformats.org/officeDocument/2006/relationships/hyperlink" Target="http://www.sec.gov/Archives/edgar/data/875657/000095015208009257/l34190aexv99w5.htm" TargetMode="External"/><Relationship Id="rId117" Type="http://schemas.openxmlformats.org/officeDocument/2006/relationships/hyperlink" Target="http://www.sec.gov/Archives/edgar/data/875657/000095012311025549/c14158exv10w40.htm" TargetMode="External"/><Relationship Id="rId118" Type="http://schemas.openxmlformats.org/officeDocument/2006/relationships/hyperlink" Target="http://www.sec.gov/Archives/edgar/data/875657/000119312512028718/d290545dex45.htm" TargetMode="External"/><Relationship Id="rId119" Type="http://schemas.openxmlformats.org/officeDocument/2006/relationships/hyperlink" Target="http://www.sec.gov/Archives/edgar/data/875657/000095012311054479/c18045exv10w1.htm" TargetMode="External"/><Relationship Id="rId120" Type="http://schemas.openxmlformats.org/officeDocument/2006/relationships/hyperlink" Target="http://www.sec.gov/Archives/edgar/data/875657/000117184313003316/exh_103.htm" TargetMode="External"/><Relationship Id="rId121" Type="http://schemas.openxmlformats.org/officeDocument/2006/relationships/hyperlink" Target="http://www.sec.gov/Archives/edgar/data/875657/000117184313001443/def14a_042213.htm" TargetMode="External"/><Relationship Id="rId122" Type="http://schemas.openxmlformats.org/officeDocument/2006/relationships/hyperlink" Target="http://www.sec.gov/Archives/edgar/data/875657/000143774917010741/ex10-1.htm" TargetMode="External"/><Relationship Id="rId123" Type="http://schemas.openxmlformats.org/officeDocument/2006/relationships/hyperlink" Target="http://www.sec.gov/Archives/edgar/data/875657/000143774919008478/ex_1421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2021-02-04T06:08:19Z</dcterms:created>
  <dcterms:modified xsi:type="dcterms:W3CDTF">2021-02-04T06:08:19Z</dcterms:modified>
</cp:coreProperties>
</file>