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478790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537845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0"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15"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-375920</wp:posOffset>
            </wp:positionV>
            <wp:extent cx="85725" cy="86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0" w:lineRule="exact"/>
        <w:rPr>
          <w:sz w:val="24"/>
          <w:szCs w:val="24"/>
          <w:color w:val="auto"/>
        </w:rPr>
      </w:pPr>
    </w:p>
    <w:p>
      <w:pPr>
        <w:ind w:left="3360" w:right="2000" w:hanging="3353"/>
        <w:spacing w:after="0" w:line="492" w:lineRule="auto"/>
        <w:tabs>
          <w:tab w:leader="none" w:pos="64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0-20852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-646430</wp:posOffset>
            </wp:positionV>
            <wp:extent cx="85725" cy="8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ULTRALIFE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tbl>
      <w:tblPr>
        <w:tblLayout w:type="fixed"/>
        <w:tblInd w:w="860" w:type="dxa"/>
        <w:tblCellMar>
          <w:top w:w="0" w:type="dxa"/>
          <w:left w:w="0" w:type="dxa"/>
          <w:bottom w:w="0" w:type="dxa"/>
          <w:right w:w="0" w:type="dxa"/>
        </w:tblCellMar>
      </w:tblPr>
      <w:tr>
        <w:trPr>
          <w:trHeight w:val="217"/>
        </w:trPr>
        <w:tc>
          <w:tcPr>
            <w:tcW w:w="5040" w:type="dxa"/>
            <w:vAlign w:val="bottom"/>
          </w:tcPr>
          <w:p>
            <w:pPr>
              <w:jc w:val="center"/>
              <w:ind w:right="711"/>
              <w:spacing w:after="0"/>
              <w:rPr>
                <w:sz w:val="20"/>
                <w:szCs w:val="20"/>
                <w:color w:val="auto"/>
              </w:rPr>
            </w:pPr>
            <w:r>
              <w:rPr>
                <w:rFonts w:ascii="Arial" w:cs="Arial" w:eastAsia="Arial" w:hAnsi="Arial"/>
                <w:sz w:val="18"/>
                <w:szCs w:val="18"/>
                <w:b w:val="1"/>
                <w:bCs w:val="1"/>
                <w:color w:val="auto"/>
                <w:w w:val="91"/>
              </w:rPr>
              <w:t>Delaware</w:t>
            </w:r>
          </w:p>
        </w:tc>
        <w:tc>
          <w:tcPr>
            <w:tcW w:w="4600" w:type="dxa"/>
            <w:vAlign w:val="bottom"/>
          </w:tcPr>
          <w:p>
            <w:pPr>
              <w:jc w:val="center"/>
              <w:ind w:left="691"/>
              <w:spacing w:after="0"/>
              <w:rPr>
                <w:sz w:val="20"/>
                <w:szCs w:val="20"/>
                <w:color w:val="auto"/>
              </w:rPr>
            </w:pPr>
            <w:r>
              <w:rPr>
                <w:rFonts w:ascii="Arial" w:cs="Arial" w:eastAsia="Arial" w:hAnsi="Arial"/>
                <w:sz w:val="18"/>
                <w:szCs w:val="18"/>
                <w:b w:val="1"/>
                <w:bCs w:val="1"/>
                <w:color w:val="auto"/>
                <w:w w:val="89"/>
              </w:rPr>
              <w:t>16-1387013</w:t>
            </w:r>
          </w:p>
        </w:tc>
      </w:tr>
      <w:tr>
        <w:trPr>
          <w:trHeight w:val="226"/>
        </w:trPr>
        <w:tc>
          <w:tcPr>
            <w:tcW w:w="5040" w:type="dxa"/>
            <w:vAlign w:val="bottom"/>
          </w:tcPr>
          <w:p>
            <w:pPr>
              <w:jc w:val="center"/>
              <w:ind w:right="711"/>
              <w:spacing w:after="0"/>
              <w:rPr>
                <w:sz w:val="20"/>
                <w:szCs w:val="20"/>
                <w:color w:val="auto"/>
              </w:rPr>
            </w:pPr>
            <w:r>
              <w:rPr>
                <w:rFonts w:ascii="Arial" w:cs="Arial" w:eastAsia="Arial" w:hAnsi="Arial"/>
                <w:sz w:val="18"/>
                <w:szCs w:val="18"/>
                <w:color w:val="auto"/>
                <w:w w:val="91"/>
              </w:rPr>
              <w:t>(State or other jurisdiction of incorporation of organization)</w:t>
            </w:r>
          </w:p>
        </w:tc>
        <w:tc>
          <w:tcPr>
            <w:tcW w:w="4600" w:type="dxa"/>
            <w:vAlign w:val="bottom"/>
          </w:tcPr>
          <w:p>
            <w:pPr>
              <w:jc w:val="center"/>
              <w:ind w:left="711"/>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5040" w:type="dxa"/>
            <w:vAlign w:val="bottom"/>
          </w:tcPr>
          <w:p>
            <w:pPr>
              <w:jc w:val="center"/>
              <w:ind w:right="711"/>
              <w:spacing w:after="0"/>
              <w:rPr>
                <w:sz w:val="20"/>
                <w:szCs w:val="20"/>
                <w:color w:val="auto"/>
              </w:rPr>
            </w:pPr>
            <w:r>
              <w:rPr>
                <w:rFonts w:ascii="Arial" w:cs="Arial" w:eastAsia="Arial" w:hAnsi="Arial"/>
                <w:sz w:val="18"/>
                <w:szCs w:val="18"/>
                <w:b w:val="1"/>
                <w:bCs w:val="1"/>
                <w:color w:val="auto"/>
                <w:w w:val="89"/>
              </w:rPr>
              <w:t>2000 Technology Parkway Newark, New York 14513</w:t>
            </w:r>
          </w:p>
        </w:tc>
        <w:tc>
          <w:tcPr>
            <w:tcW w:w="4600" w:type="dxa"/>
            <w:vAlign w:val="bottom"/>
          </w:tcPr>
          <w:p>
            <w:pPr>
              <w:jc w:val="center"/>
              <w:ind w:left="671"/>
              <w:spacing w:after="0"/>
              <w:rPr>
                <w:sz w:val="20"/>
                <w:szCs w:val="20"/>
                <w:color w:val="auto"/>
              </w:rPr>
            </w:pPr>
            <w:r>
              <w:rPr>
                <w:rFonts w:ascii="Arial" w:cs="Arial" w:eastAsia="Arial" w:hAnsi="Arial"/>
                <w:sz w:val="18"/>
                <w:szCs w:val="18"/>
                <w:b w:val="1"/>
                <w:bCs w:val="1"/>
                <w:color w:val="auto"/>
                <w:w w:val="90"/>
              </w:rPr>
              <w:t>(315) 332-7100</w:t>
            </w:r>
          </w:p>
        </w:tc>
      </w:tr>
      <w:tr>
        <w:trPr>
          <w:trHeight w:val="226"/>
        </w:trPr>
        <w:tc>
          <w:tcPr>
            <w:tcW w:w="5040" w:type="dxa"/>
            <w:vAlign w:val="bottom"/>
          </w:tcPr>
          <w:p>
            <w:pPr>
              <w:jc w:val="center"/>
              <w:ind w:right="711"/>
              <w:spacing w:after="0"/>
              <w:rPr>
                <w:sz w:val="20"/>
                <w:szCs w:val="20"/>
                <w:color w:val="auto"/>
              </w:rPr>
            </w:pPr>
            <w:r>
              <w:rPr>
                <w:rFonts w:ascii="Arial" w:cs="Arial" w:eastAsia="Arial" w:hAnsi="Arial"/>
                <w:sz w:val="18"/>
                <w:szCs w:val="18"/>
                <w:color w:val="auto"/>
                <w:w w:val="91"/>
              </w:rPr>
              <w:t>(Address of principal executive offices) (Zip Code)</w:t>
            </w:r>
          </w:p>
        </w:tc>
        <w:tc>
          <w:tcPr>
            <w:tcW w:w="4600" w:type="dxa"/>
            <w:vAlign w:val="bottom"/>
          </w:tcPr>
          <w:p>
            <w:pPr>
              <w:jc w:val="center"/>
              <w:ind w:left="711"/>
              <w:spacing w:after="0"/>
              <w:rPr>
                <w:sz w:val="20"/>
                <w:szCs w:val="20"/>
                <w:color w:val="auto"/>
              </w:rPr>
            </w:pPr>
            <w:r>
              <w:rPr>
                <w:rFonts w:ascii="Arial" w:cs="Arial" w:eastAsia="Arial" w:hAnsi="Arial"/>
                <w:sz w:val="18"/>
                <w:szCs w:val="18"/>
                <w:color w:val="auto"/>
                <w:w w:val="88"/>
              </w:rPr>
              <w:t>(Registrant's telephone number, including area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08" w:right="339" w:bottom="784" w:gutter="0" w:footer="0" w:header="0"/>
        </w:sectPr>
      </w:pPr>
    </w:p>
    <w:p>
      <w:pPr>
        <w:spacing w:after="0" w:line="216"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46"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ULBI</w:t>
      </w:r>
    </w:p>
    <w:p>
      <w:pPr>
        <w:spacing w:after="0" w:line="23"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NASDAQ</w:t>
      </w:r>
    </w:p>
    <w:p>
      <w:pPr>
        <w:spacing w:after="0" w:line="23" w:lineRule="exact"/>
        <w:rPr>
          <w:sz w:val="24"/>
          <w:szCs w:val="24"/>
          <w:color w:val="auto"/>
        </w:rPr>
      </w:pPr>
    </w:p>
    <w:p>
      <w:pPr>
        <w:jc w:val="center"/>
        <w:ind w:right="240"/>
        <w:spacing w:after="0"/>
        <w:rPr>
          <w:sz w:val="20"/>
          <w:szCs w:val="20"/>
          <w:color w:val="auto"/>
        </w:rPr>
      </w:pPr>
      <w:r>
        <w:rPr>
          <w:rFonts w:ascii="Arial" w:cs="Arial" w:eastAsia="Arial" w:hAnsi="Arial"/>
          <w:sz w:val="14"/>
          <w:szCs w:val="14"/>
          <w:color w:val="auto"/>
        </w:rPr>
        <w:t>(Name of each exchange on which registered)</w:t>
      </w:r>
    </w:p>
    <w:p>
      <w:pPr>
        <w:spacing w:after="0" w:line="245" w:lineRule="exact"/>
        <w:rPr>
          <w:sz w:val="24"/>
          <w:szCs w:val="24"/>
          <w:color w:val="auto"/>
        </w:rPr>
      </w:pPr>
    </w:p>
    <w:p>
      <w:pPr>
        <w:sectPr>
          <w:pgSz w:w="11900" w:h="16838" w:orient="portrait"/>
          <w:cols w:equalWidth="0" w:num="3">
            <w:col w:w="4260" w:space="720"/>
            <w:col w:w="2040" w:space="720"/>
            <w:col w:w="3500"/>
          </w:cols>
          <w:pgMar w:left="320" w:top="1108" w:right="339" w:bottom="784" w:gutter="0" w:footer="0" w:header="0"/>
          <w:type w:val="continuous"/>
        </w:sectPr>
      </w:pPr>
    </w:p>
    <w:p>
      <w:pPr>
        <w:spacing w:after="0" w:line="7"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1765300</wp:posOffset>
            </wp:positionH>
            <wp:positionV relativeFrom="paragraph">
              <wp:posOffset>-131445</wp:posOffset>
            </wp:positionV>
            <wp:extent cx="85725" cy="86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16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-131445</wp:posOffset>
            </wp:positionV>
            <wp:extent cx="85725" cy="86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16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8" w:right="339" w:bottom="784" w:gutter="0" w:footer="0" w:header="0"/>
          <w:type w:val="continuous"/>
        </w:sectPr>
      </w:pPr>
    </w:p>
    <w:p>
      <w:pPr>
        <w:spacing w:after="0" w:line="15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2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788035</wp:posOffset>
            </wp:positionH>
            <wp:positionV relativeFrom="paragraph">
              <wp:posOffset>-71755</wp:posOffset>
            </wp:positionV>
            <wp:extent cx="85725" cy="86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940" w:space="720"/>
            <w:col w:w="5580"/>
          </w:cols>
          <w:pgMar w:left="320" w:top="1108" w:right="339" w:bottom="784" w:gutter="0" w:footer="0" w:header="0"/>
          <w:type w:val="continuous"/>
        </w:sectPr>
      </w:pP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1268095</wp:posOffset>
            </wp:positionH>
            <wp:positionV relativeFrom="paragraph">
              <wp:posOffset>-71755</wp:posOffset>
            </wp:positionV>
            <wp:extent cx="85725" cy="86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940" w:space="720"/>
            <w:col w:w="5580"/>
          </w:cols>
          <w:pgMar w:left="320" w:top="1108" w:right="339" w:bottom="784" w:gutter="0" w:footer="0" w:header="0"/>
          <w:type w:val="continuous"/>
        </w:sectPr>
      </w:pPr>
    </w:p>
    <w:p>
      <w:pPr>
        <w:spacing w:after="0" w:line="43" w:lineRule="exact"/>
        <w:rPr>
          <w:sz w:val="24"/>
          <w:szCs w:val="24"/>
          <w:color w:val="auto"/>
        </w:rPr>
      </w:pPr>
    </w:p>
    <w:p>
      <w:pPr>
        <w:ind w:left="56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108" w:right="339" w:bottom="784"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5604510</wp:posOffset>
            </wp:positionH>
            <wp:positionV relativeFrom="paragraph">
              <wp:posOffset>-86360</wp:posOffset>
            </wp:positionV>
            <wp:extent cx="8572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July 27, 2020, the registrant had 15,893,889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3422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08" w:right="339" w:bottom="784" w:gutter="0" w:footer="0" w:header="0"/>
          <w:type w:val="continuous"/>
        </w:sectPr>
      </w:pPr>
    </w:p>
    <w:bookmarkStart w:id="1" w:name="page2"/>
    <w:bookmarkEnd w:id="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952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0"/>
        </w:trPr>
        <w:tc>
          <w:tcPr>
            <w:tcW w:w="100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3"/>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Financial Statements (unaudited):</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18"/>
                <w:szCs w:val="18"/>
                <w:color w:val="auto"/>
              </w:rPr>
            </w:pP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Balance Sheets as of June 30, 2020 and December 31, 2019</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9"/>
        </w:trPr>
        <w:tc>
          <w:tcPr>
            <w:tcW w:w="1000" w:type="dxa"/>
            <w:vAlign w:val="bottom"/>
            <w:shd w:val="clear" w:color="auto" w:fill="CCEEFF"/>
          </w:tcPr>
          <w:p>
            <w:pPr>
              <w:spacing w:after="0"/>
              <w:rPr>
                <w:sz w:val="17"/>
                <w:szCs w:val="17"/>
                <w:color w:val="auto"/>
              </w:rPr>
            </w:pPr>
          </w:p>
        </w:tc>
        <w:tc>
          <w:tcPr>
            <w:tcW w:w="9520" w:type="dxa"/>
            <w:vAlign w:val="bottom"/>
            <w:shd w:val="clear" w:color="auto" w:fill="CCEEFF"/>
          </w:tcPr>
          <w:p>
            <w:pPr>
              <w:ind w:left="300"/>
              <w:spacing w:after="0" w:line="199" w:lineRule="exact"/>
              <w:rPr>
                <w:sz w:val="20"/>
                <w:szCs w:val="20"/>
                <w:color w:val="auto"/>
              </w:rPr>
            </w:pPr>
            <w:r>
              <w:rPr>
                <w:rFonts w:ascii="Arial" w:cs="Arial" w:eastAsia="Arial" w:hAnsi="Arial"/>
                <w:sz w:val="18"/>
                <w:szCs w:val="18"/>
                <w:color w:val="auto"/>
                <w:w w:val="93"/>
              </w:rPr>
              <w:t>Consolidated Statements of Income and Comprehensive Income for the Three and Six-Month Periods Ended June 30, 2020</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28"/>
        </w:trPr>
        <w:tc>
          <w:tcPr>
            <w:tcW w:w="1000" w:type="dxa"/>
            <w:vAlign w:val="bottom"/>
            <w:shd w:val="clear" w:color="auto" w:fill="CCEEFF"/>
          </w:tcPr>
          <w:p>
            <w:pPr>
              <w:spacing w:after="0"/>
              <w:rPr>
                <w:sz w:val="19"/>
                <w:szCs w:val="19"/>
                <w:color w:val="auto"/>
              </w:rPr>
            </w:pP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June 30, 2019</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60" w:type="dxa"/>
            <w:vAlign w:val="bottom"/>
            <w:shd w:val="clear" w:color="auto" w:fill="CCEEFF"/>
          </w:tcPr>
          <w:p>
            <w:pPr>
              <w:spacing w:after="0"/>
              <w:rPr>
                <w:sz w:val="19"/>
                <w:szCs w:val="19"/>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18"/>
                <w:szCs w:val="18"/>
                <w:color w:val="auto"/>
              </w:rPr>
            </w:pP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Statements of Cash Flows for the Six-Month Periods Ended June 30, 2020 and June 30, 2019</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9"/>
        </w:trPr>
        <w:tc>
          <w:tcPr>
            <w:tcW w:w="1000" w:type="dxa"/>
            <w:vAlign w:val="bottom"/>
            <w:shd w:val="clear" w:color="auto" w:fill="CCEEFF"/>
          </w:tcPr>
          <w:p>
            <w:pPr>
              <w:spacing w:after="0"/>
              <w:rPr>
                <w:sz w:val="17"/>
                <w:szCs w:val="17"/>
                <w:color w:val="auto"/>
              </w:rPr>
            </w:pPr>
          </w:p>
        </w:tc>
        <w:tc>
          <w:tcPr>
            <w:tcW w:w="9520" w:type="dxa"/>
            <w:vAlign w:val="bottom"/>
            <w:shd w:val="clear" w:color="auto" w:fill="CCEEFF"/>
          </w:tcPr>
          <w:p>
            <w:pPr>
              <w:ind w:left="300"/>
              <w:spacing w:after="0" w:line="199" w:lineRule="exact"/>
              <w:rPr>
                <w:sz w:val="20"/>
                <w:szCs w:val="20"/>
                <w:color w:val="auto"/>
              </w:rPr>
            </w:pPr>
            <w:r>
              <w:rPr>
                <w:rFonts w:ascii="Arial" w:cs="Arial" w:eastAsia="Arial" w:hAnsi="Arial"/>
                <w:sz w:val="18"/>
                <w:szCs w:val="18"/>
                <w:color w:val="auto"/>
                <w:w w:val="95"/>
              </w:rPr>
              <w:t>Consolidated Statements of Changes in Shareholders’ Equity for the Three and Six-Month Periods Ended June 30, 2020</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28"/>
        </w:trPr>
        <w:tc>
          <w:tcPr>
            <w:tcW w:w="1000" w:type="dxa"/>
            <w:vAlign w:val="bottom"/>
            <w:shd w:val="clear" w:color="auto" w:fill="CCEEFF"/>
          </w:tcPr>
          <w:p>
            <w:pPr>
              <w:spacing w:after="0"/>
              <w:rPr>
                <w:sz w:val="19"/>
                <w:szCs w:val="19"/>
                <w:color w:val="auto"/>
              </w:rPr>
            </w:pP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June 30, 2019</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60" w:type="dxa"/>
            <w:vAlign w:val="bottom"/>
            <w:shd w:val="clear" w:color="auto" w:fill="CCEEFF"/>
          </w:tcPr>
          <w:p>
            <w:pPr>
              <w:spacing w:after="0"/>
              <w:rPr>
                <w:sz w:val="19"/>
                <w:szCs w:val="19"/>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18"/>
                <w:szCs w:val="18"/>
                <w:color w:val="auto"/>
              </w:rPr>
            </w:pP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Risk Factors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360" w:type="dxa"/>
            <w:vAlign w:val="bottom"/>
            <w:shd w:val="clear" w:color="auto" w:fill="CCEEFF"/>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3"/>
        </w:trPr>
        <w:tc>
          <w:tcPr>
            <w:tcW w:w="1000" w:type="dxa"/>
            <w:vAlign w:val="bottom"/>
            <w:shd w:val="clear" w:color="auto" w:fill="CCEEFF"/>
          </w:tcPr>
          <w:p>
            <w:pPr>
              <w:spacing w:after="0"/>
              <w:rPr>
                <w:sz w:val="18"/>
                <w:szCs w:val="18"/>
                <w:color w:val="auto"/>
              </w:rPr>
            </w:pPr>
          </w:p>
        </w:tc>
        <w:tc>
          <w:tcPr>
            <w:tcW w:w="9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Signatures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360" w:type="dxa"/>
            <w:vAlign w:val="bottom"/>
            <w:shd w:val="clear" w:color="auto" w:fill="CCEEFF"/>
          </w:tcPr>
          <w:p>
            <w:pPr>
              <w:spacing w:after="0"/>
              <w:rPr>
                <w:sz w:val="18"/>
                <w:szCs w:val="18"/>
                <w:color w:val="auto"/>
              </w:rPr>
            </w:pPr>
          </w:p>
        </w:tc>
      </w:tr>
      <w:tr>
        <w:trPr>
          <w:trHeight w:val="426"/>
        </w:trPr>
        <w:tc>
          <w:tcPr>
            <w:tcW w:w="1000" w:type="dxa"/>
            <w:vAlign w:val="bottom"/>
          </w:tcPr>
          <w:p>
            <w:pPr>
              <w:spacing w:after="0"/>
              <w:rPr>
                <w:sz w:val="24"/>
                <w:szCs w:val="24"/>
                <w:color w:val="auto"/>
              </w:rPr>
            </w:pPr>
          </w:p>
        </w:tc>
        <w:tc>
          <w:tcPr>
            <w:tcW w:w="9520" w:type="dxa"/>
            <w:vAlign w:val="bottom"/>
          </w:tcPr>
          <w:p>
            <w:pPr>
              <w:ind w:left="45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9"/>
                <w:szCs w:val="9"/>
                <w:color w:val="auto"/>
              </w:rPr>
            </w:pPr>
          </w:p>
        </w:tc>
        <w:tc>
          <w:tcPr>
            <w:tcW w:w="9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8000" w:type="dxa"/>
            <w:vAlign w:val="bottom"/>
            <w:shd w:val="clear" w:color="auto" w:fill="CCEEFF"/>
          </w:tcPr>
          <w:p>
            <w:pPr>
              <w:ind w:left="55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$297 and $324, respectively</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26,405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30,106</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28,064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29,759</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2,144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3,103</w:t>
            </w: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65,002</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70,373</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22,713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22,525</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26,753</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9,250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9,721</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13,222</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1,638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144,557</w:t>
            </w:r>
          </w:p>
        </w:tc>
      </w:tr>
      <w:tr>
        <w:trPr>
          <w:trHeight w:val="194"/>
        </w:trPr>
        <w:tc>
          <w:tcPr>
            <w:tcW w:w="80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ind w:left="364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9,388</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3,840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4,775</w:t>
            </w: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14,470</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17,190</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9,284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15,780</w:t>
            </w:r>
          </w:p>
        </w:tc>
      </w:tr>
      <w:tr>
        <w:trPr>
          <w:trHeight w:val="82"/>
        </w:trPr>
        <w:tc>
          <w:tcPr>
            <w:tcW w:w="80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815"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r>
      <w:tr>
        <w:trPr>
          <w:trHeight w:val="20"/>
        </w:trPr>
        <w:tc>
          <w:tcPr>
            <w:tcW w:w="8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8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25,254</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34,807</w:t>
            </w:r>
          </w:p>
        </w:tc>
      </w:tr>
      <w:tr>
        <w:trPr>
          <w:trHeight w:val="207"/>
        </w:trPr>
        <w:tc>
          <w:tcPr>
            <w:tcW w:w="80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9"/>
        </w:trPr>
        <w:tc>
          <w:tcPr>
            <w:tcW w:w="800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w w:val="89"/>
              </w:rPr>
              <w:t>Common stock – par value $.10 per share; authorized 40,000,000 shares; issued – 20,297,182 shares at June</w:t>
            </w: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30, 2020 and 20,268,050 shares at December 31, 2019; outstanding – 15,893,889 shares at June 30, 2020</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15,866,868 shares at December 31, 2019</w:t>
            </w:r>
          </w:p>
        </w:tc>
        <w:tc>
          <w:tcPr>
            <w:tcW w:w="8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184,900</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184,292</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(50,113)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(52,830)</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(3,296)</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(2,531)</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Treasury stock - at cost; 4,403,293 shares at June 30, 2020 and 4,401,182 shares at December 31, 2019</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(21,246)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(21,231)</w:t>
            </w:r>
          </w:p>
        </w:tc>
      </w:tr>
      <w:tr>
        <w:trPr>
          <w:trHeight w:val="20"/>
        </w:trPr>
        <w:tc>
          <w:tcPr>
            <w:tcW w:w="80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Total Ultralife Corporation equity</w:t>
            </w:r>
          </w:p>
        </w:tc>
        <w:tc>
          <w:tcPr>
            <w:tcW w:w="8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112,275</w:t>
            </w:r>
          </w:p>
        </w:tc>
        <w:tc>
          <w:tcPr>
            <w:tcW w:w="4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109,726</w:t>
            </w: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8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8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112,334</w:t>
            </w:r>
          </w:p>
        </w:tc>
        <w:tc>
          <w:tcPr>
            <w:tcW w:w="4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109,750</w:t>
            </w:r>
          </w:p>
        </w:tc>
      </w:tr>
      <w:tr>
        <w:trPr>
          <w:trHeight w:val="207"/>
        </w:trPr>
        <w:tc>
          <w:tcPr>
            <w:tcW w:w="80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137,588</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144,557</w:t>
            </w:r>
          </w:p>
        </w:tc>
      </w:tr>
      <w:tr>
        <w:trPr>
          <w:trHeight w:val="20"/>
        </w:trPr>
        <w:tc>
          <w:tcPr>
            <w:tcW w:w="8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8800" w:type="dxa"/>
            <w:vAlign w:val="bottom"/>
            <w:gridSpan w:val="2"/>
          </w:tcPr>
          <w:p>
            <w:pPr>
              <w:ind w:left="252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ind w:left="558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1"/>
              </w:rPr>
              <w:t>Three-month period ended</w:t>
            </w:r>
          </w:p>
        </w:tc>
        <w:tc>
          <w:tcPr>
            <w:tcW w:w="160" w:type="dxa"/>
            <w:vAlign w:val="bottom"/>
          </w:tcPr>
          <w:p>
            <w:pPr>
              <w:spacing w:after="0"/>
              <w:rPr>
                <w:sz w:val="20"/>
                <w:szCs w:val="20"/>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5"/>
              </w:rPr>
              <w:t>Six-month period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60"/>
              <w:spacing w:after="0" w:line="190" w:lineRule="exact"/>
              <w:rPr>
                <w:sz w:val="20"/>
                <w:szCs w:val="20"/>
                <w:color w:val="auto"/>
              </w:rPr>
            </w:pPr>
            <w:r>
              <w:rPr>
                <w:rFonts w:ascii="Arial" w:cs="Arial" w:eastAsia="Arial" w:hAnsi="Arial"/>
                <w:sz w:val="18"/>
                <w:szCs w:val="18"/>
                <w:b w:val="1"/>
                <w:bCs w:val="1"/>
                <w:color w:val="auto"/>
                <w:w w:val="97"/>
              </w:rPr>
              <w:t>June 30,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1"/>
              <w:spacing w:after="0" w:line="190" w:lineRule="exact"/>
              <w:rPr>
                <w:sz w:val="20"/>
                <w:szCs w:val="20"/>
                <w:color w:val="auto"/>
              </w:rPr>
            </w:pPr>
            <w:r>
              <w:rPr>
                <w:rFonts w:ascii="Arial" w:cs="Arial" w:eastAsia="Arial" w:hAnsi="Arial"/>
                <w:sz w:val="18"/>
                <w:szCs w:val="18"/>
                <w:b w:val="1"/>
                <w:bCs w:val="1"/>
                <w:color w:val="auto"/>
                <w:w w:val="94"/>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60"/>
              <w:spacing w:after="0" w:line="190" w:lineRule="exact"/>
              <w:rPr>
                <w:sz w:val="20"/>
                <w:szCs w:val="20"/>
                <w:color w:val="auto"/>
              </w:rPr>
            </w:pPr>
            <w:r>
              <w:rPr>
                <w:rFonts w:ascii="Arial" w:cs="Arial" w:eastAsia="Arial" w:hAnsi="Arial"/>
                <w:sz w:val="18"/>
                <w:szCs w:val="18"/>
                <w:b w:val="1"/>
                <w:bCs w:val="1"/>
                <w:color w:val="auto"/>
                <w:w w:val="97"/>
              </w:rPr>
              <w:t>June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1"/>
              <w:spacing w:after="0" w:line="190"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54,374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48,279</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20,597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20,532</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39,077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34,330</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1,587</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5,823</w:t>
            </w:r>
          </w:p>
        </w:tc>
        <w:tc>
          <w:tcPr>
            <w:tcW w:w="1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11,518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10,359</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3,042</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2,256</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194"/>
        </w:trPr>
        <w:tc>
          <w:tcPr>
            <w:tcW w:w="59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income per share attributable to Ultralife common shareholders – basic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4"/>
        </w:trPr>
        <w:tc>
          <w:tcPr>
            <w:tcW w:w="59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income per share attributable to Ultralife common shareholders –</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6"/>
                <w:szCs w:val="16"/>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160"/>
              <w:spacing w:after="0" w:line="192" w:lineRule="exact"/>
              <w:rPr>
                <w:sz w:val="20"/>
                <w:szCs w:val="20"/>
                <w:color w:val="auto"/>
              </w:rPr>
            </w:pPr>
            <w:r>
              <w:rPr>
                <w:rFonts w:ascii="Arial" w:cs="Arial" w:eastAsia="Arial" w:hAnsi="Arial"/>
                <w:sz w:val="18"/>
                <w:szCs w:val="18"/>
                <w:b w:val="1"/>
                <w:bCs w:val="1"/>
                <w:color w:val="auto"/>
              </w:rPr>
              <w:t>diluted</w:t>
            </w:r>
          </w:p>
        </w:tc>
        <w:tc>
          <w:tcPr>
            <w:tcW w:w="1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15,741</w:t>
            </w: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89"/>
        </w:trPr>
        <w:tc>
          <w:tcPr>
            <w:tcW w:w="5980" w:type="dxa"/>
            <w:vAlign w:val="bottom"/>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16,133</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16,193</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16,114</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Six-month period ended</w:t>
            </w:r>
          </w:p>
        </w:tc>
      </w:tr>
      <w:tr>
        <w:trPr>
          <w:trHeight w:val="190"/>
        </w:trPr>
        <w:tc>
          <w:tcPr>
            <w:tcW w:w="80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640"/>
              <w:spacing w:after="0" w:line="190"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31"/>
              <w:spacing w:after="0" w:line="190"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r>
      <w:tr>
        <w:trPr>
          <w:trHeight w:val="231"/>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Amortization of financing fees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(5,466)</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(6,779)</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(4,246)</w:t>
            </w:r>
          </w:p>
        </w:tc>
      </w:tr>
      <w:tr>
        <w:trPr>
          <w:trHeight w:val="207"/>
        </w:trPr>
        <w:tc>
          <w:tcPr>
            <w:tcW w:w="80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sale of equipment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SWE, net of cash acquired</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(25,248)</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2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(29,041)</w:t>
            </w:r>
          </w:p>
        </w:tc>
      </w:tr>
      <w:tr>
        <w:trPr>
          <w:trHeight w:val="207"/>
        </w:trPr>
        <w:tc>
          <w:tcPr>
            <w:tcW w:w="80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Paycheck Protection Program loan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Repayment of Paycheck Protection Program loan</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(3,459)</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revolving credit facility</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Payment of term loan facility</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Tax withholdings on stock-based awards</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revolving credit facility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term loan facility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(1,957)</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(6,349)</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14,326</w:t>
            </w:r>
          </w:p>
        </w:tc>
      </w:tr>
      <w:tr>
        <w:trPr>
          <w:trHeight w:val="207"/>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07"/>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(19,118)</w:t>
            </w:r>
          </w:p>
        </w:tc>
      </w:tr>
      <w:tr>
        <w:trPr>
          <w:trHeight w:val="213"/>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Cash, End of period</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8,389</w:t>
            </w:r>
          </w:p>
        </w:tc>
        <w:tc>
          <w:tcPr>
            <w:tcW w:w="2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6,816</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60" w:type="dxa"/>
            <w:vAlign w:val="bottom"/>
          </w:tcPr>
          <w:p>
            <w:pPr>
              <w:spacing w:after="0"/>
              <w:rPr>
                <w:sz w:val="18"/>
                <w:szCs w:val="18"/>
                <w:color w:val="auto"/>
              </w:rPr>
            </w:pPr>
          </w:p>
        </w:tc>
        <w:tc>
          <w:tcPr>
            <w:tcW w:w="182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7"/>
                <w:szCs w:val="17"/>
                <w:color w:val="auto"/>
              </w:rPr>
            </w:pPr>
          </w:p>
        </w:tc>
        <w:tc>
          <w:tcPr>
            <w:tcW w:w="1820" w:type="dxa"/>
            <w:vAlign w:val="bottom"/>
            <w:tcBorders>
              <w:bottom w:val="single" w:sz="8" w:color="auto"/>
            </w:tcBorders>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3"/>
              </w:rPr>
              <w:t>in Excess</w:t>
            </w: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2"/>
              </w:rPr>
              <w:t>of Par</w:t>
            </w:r>
          </w:p>
        </w:tc>
        <w:tc>
          <w:tcPr>
            <w:tcW w:w="200" w:type="dxa"/>
            <w:vAlign w:val="bottom"/>
          </w:tcPr>
          <w:p>
            <w:pPr>
              <w:spacing w:after="0"/>
              <w:rPr>
                <w:sz w:val="15"/>
                <w:szCs w:val="15"/>
                <w:color w:val="auto"/>
              </w:rPr>
            </w:pPr>
          </w:p>
        </w:tc>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89"/>
              </w:rPr>
              <w:t>Comprehensive</w:t>
            </w:r>
          </w:p>
        </w:tc>
        <w:tc>
          <w:tcPr>
            <w:tcW w:w="1320" w:type="dxa"/>
            <w:vAlign w:val="bottom"/>
            <w:gridSpan w:val="3"/>
          </w:tcPr>
          <w:p>
            <w:pPr>
              <w:jc w:val="center"/>
              <w:spacing w:after="0" w:line="180" w:lineRule="exact"/>
              <w:rPr>
                <w:sz w:val="20"/>
                <w:szCs w:val="20"/>
                <w:color w:val="auto"/>
              </w:rPr>
            </w:pPr>
            <w:r>
              <w:rPr>
                <w:rFonts w:ascii="Arial" w:cs="Arial" w:eastAsia="Arial" w:hAnsi="Arial"/>
                <w:sz w:val="16"/>
                <w:szCs w:val="16"/>
                <w:b w:val="1"/>
                <w:bCs w:val="1"/>
                <w:color w:val="auto"/>
                <w:w w:val="91"/>
              </w:rPr>
              <w:t>Accumulated</w:t>
            </w:r>
          </w:p>
        </w:tc>
        <w:tc>
          <w:tcPr>
            <w:tcW w:w="8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1"/>
              </w:rPr>
              <w:t>Controlling</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8"/>
                <w:szCs w:val="18"/>
                <w:color w:val="auto"/>
              </w:rPr>
            </w:pP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Income (Loss)</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6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December 31, 2018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20,053,335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182,630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(2,786)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(58,035)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(19,266)</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104,463</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2,681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Share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(1,957)</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6"/>
                <w:szCs w:val="16"/>
                <w:color w:val="auto"/>
              </w:rPr>
              <w:t>Stock option exercises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104,587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 stock</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w w:val="96"/>
              </w:rPr>
              <w:t>Stock-based compensation - restricted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60" w:type="dxa"/>
            <w:vAlign w:val="bottom"/>
          </w:tcPr>
          <w:p>
            <w:pPr>
              <w:ind w:left="160"/>
              <w:spacing w:after="0"/>
              <w:rPr>
                <w:sz w:val="20"/>
                <w:szCs w:val="20"/>
                <w:color w:val="auto"/>
              </w:rPr>
            </w:pPr>
            <w:r>
              <w:rPr>
                <w:rFonts w:ascii="Arial" w:cs="Arial" w:eastAsia="Arial" w:hAnsi="Arial"/>
                <w:sz w:val="16"/>
                <w:szCs w:val="16"/>
                <w:color w:val="auto"/>
              </w:rPr>
              <w:t>stock</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stock</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7"/>
        </w:trPr>
        <w:tc>
          <w:tcPr>
            <w:tcW w:w="266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2019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20,163,756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183,457</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(55,354)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106,051</w:t>
            </w: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December 31, 2019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20,268,050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184,292</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(52,830)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109,750</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2,717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rPr>
              <w:t>Stock-based compensation – stock</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60" w:type="dxa"/>
            <w:vAlign w:val="bottom"/>
          </w:tcPr>
          <w:p>
            <w:pPr>
              <w:ind w:left="160"/>
              <w:spacing w:after="0"/>
              <w:rPr>
                <w:sz w:val="20"/>
                <w:szCs w:val="20"/>
                <w:color w:val="auto"/>
              </w:rPr>
            </w:pPr>
            <w:r>
              <w:rPr>
                <w:rFonts w:ascii="Arial" w:cs="Arial" w:eastAsia="Arial" w:hAnsi="Arial"/>
                <w:sz w:val="16"/>
                <w:szCs w:val="16"/>
                <w:color w:val="auto"/>
              </w:rPr>
              <w:t>options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9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w w:val="96"/>
              </w:rPr>
              <w:t>Stock-based compensation - restricted</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6"/>
                <w:szCs w:val="16"/>
                <w:color w:val="auto"/>
              </w:rPr>
              <w:t>Vesting of restricted stock</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12,501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(765)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tcPr>
          <w:p>
            <w:pPr>
              <w:spacing w:after="0"/>
              <w:rPr>
                <w:sz w:val="20"/>
                <w:szCs w:val="20"/>
                <w:color w:val="auto"/>
              </w:rPr>
            </w:pPr>
            <w:r>
              <w:rPr>
                <w:rFonts w:ascii="Arial" w:cs="Arial" w:eastAsia="Arial" w:hAnsi="Arial"/>
                <w:sz w:val="16"/>
                <w:szCs w:val="16"/>
                <w:b w:val="1"/>
                <w:bCs w:val="1"/>
                <w:color w:val="auto"/>
              </w:rPr>
              <w:t>Balance – June 30, 2020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20,297,182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2,030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184,900</w:t>
            </w:r>
          </w:p>
        </w:tc>
        <w:tc>
          <w:tcPr>
            <w:tcW w:w="200" w:type="dxa"/>
            <w:vAlign w:val="bottom"/>
          </w:tcPr>
          <w:p>
            <w:pPr>
              <w:spacing w:after="0"/>
              <w:rPr>
                <w:sz w:val="16"/>
                <w:szCs w:val="16"/>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(3,296)</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(50,113)</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(21,246)</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59</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112,334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6"/>
                <w:szCs w:val="16"/>
                <w:b w:val="1"/>
                <w:bCs w:val="1"/>
                <w:color w:val="auto"/>
              </w:rPr>
              <w:t>Balance – March 31, 2019</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20,134,596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2,013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183,163</w:t>
            </w:r>
          </w:p>
        </w:tc>
        <w:tc>
          <w:tcPr>
            <w:tcW w:w="200" w:type="dxa"/>
            <w:vAlign w:val="bottom"/>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(2,351)</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(57,610)</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(21,231)</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(61)</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103,923</w:t>
            </w: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2,256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6"/>
                <w:szCs w:val="16"/>
                <w:color w:val="auto"/>
              </w:rPr>
              <w:t>Stock option exercises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29,160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119</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 stock</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w w:val="96"/>
              </w:rPr>
              <w:t>Stock-based compensation - restricted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60" w:type="dxa"/>
            <w:vAlign w:val="bottom"/>
          </w:tcPr>
          <w:p>
            <w:pPr>
              <w:ind w:left="160"/>
              <w:spacing w:after="0"/>
              <w:rPr>
                <w:sz w:val="20"/>
                <w:szCs w:val="20"/>
                <w:color w:val="auto"/>
              </w:rPr>
            </w:pPr>
            <w:r>
              <w:rPr>
                <w:rFonts w:ascii="Arial" w:cs="Arial" w:eastAsia="Arial" w:hAnsi="Arial"/>
                <w:sz w:val="16"/>
                <w:szCs w:val="16"/>
                <w:color w:val="auto"/>
              </w:rPr>
              <w:t>stock</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(452)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tcPr>
          <w:p>
            <w:pPr>
              <w:spacing w:after="0"/>
              <w:rPr>
                <w:sz w:val="20"/>
                <w:szCs w:val="20"/>
                <w:color w:val="auto"/>
              </w:rPr>
            </w:pPr>
            <w:r>
              <w:rPr>
                <w:rFonts w:ascii="Arial" w:cs="Arial" w:eastAsia="Arial" w:hAnsi="Arial"/>
                <w:sz w:val="16"/>
                <w:szCs w:val="16"/>
                <w:b w:val="1"/>
                <w:bCs w:val="1"/>
                <w:color w:val="auto"/>
              </w:rPr>
              <w:t>Balance – June 30, 2019</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20,163,756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2,016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183,457</w:t>
            </w:r>
          </w:p>
        </w:tc>
        <w:tc>
          <w:tcPr>
            <w:tcW w:w="200" w:type="dxa"/>
            <w:vAlign w:val="bottom"/>
          </w:tcPr>
          <w:p>
            <w:pPr>
              <w:spacing w:after="0"/>
              <w:rPr>
                <w:sz w:val="16"/>
                <w:szCs w:val="16"/>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(2,803)</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(55,354)</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(21,231)</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106,051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6"/>
                <w:szCs w:val="16"/>
                <w:b w:val="1"/>
                <w:bCs w:val="1"/>
                <w:color w:val="auto"/>
              </w:rPr>
              <w:t>Balance – March 31, 2020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20,281,516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2,028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184,550</w:t>
            </w:r>
          </w:p>
        </w:tc>
        <w:tc>
          <w:tcPr>
            <w:tcW w:w="200" w:type="dxa"/>
            <w:vAlign w:val="bottom"/>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(3,338)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(51,771)</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(21,239)</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110,269</w:t>
            </w: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6"/>
                <w:szCs w:val="16"/>
                <w:color w:val="auto"/>
              </w:rPr>
              <w:t>Stock option exercises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8,998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 stock</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w w:val="96"/>
              </w:rPr>
              <w:t>Stock-based compensation - restricted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60" w:type="dxa"/>
            <w:vAlign w:val="bottom"/>
          </w:tcPr>
          <w:p>
            <w:pPr>
              <w:ind w:left="160"/>
              <w:spacing w:after="0"/>
              <w:rPr>
                <w:sz w:val="20"/>
                <w:szCs w:val="20"/>
                <w:color w:val="auto"/>
              </w:rPr>
            </w:pPr>
            <w:r>
              <w:rPr>
                <w:rFonts w:ascii="Arial" w:cs="Arial" w:eastAsia="Arial" w:hAnsi="Arial"/>
                <w:sz w:val="16"/>
                <w:szCs w:val="16"/>
                <w:color w:val="auto"/>
              </w:rPr>
              <w:t>stock</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stock</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2020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20,297,182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184,900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(3,296)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(50,113)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(21,246)</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112,334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7" w:lineRule="exact"/>
        <w:rPr>
          <w:sz w:val="20"/>
          <w:szCs w:val="20"/>
          <w:color w:val="auto"/>
        </w:rPr>
      </w:pPr>
    </w:p>
    <w:p>
      <w:pPr>
        <w:ind w:left="360" w:hanging="353"/>
        <w:spacing w:after="0"/>
        <w:tabs>
          <w:tab w:leader="none" w:pos="3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subsequent interim periods or a full year. Reference should be made to the Consolidated Financial Statements and related notes thereto contained in our Form 10-K for the year ended December 31, 2019.</w:t>
      </w:r>
    </w:p>
    <w:p>
      <w:pPr>
        <w:spacing w:after="0" w:line="19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December 31, 2019 consolidated balance sheet information referenced herein was derived from audited financial statements but does not include all disclosures required by GAAP.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Effective January 1, 2020, the Company’s interim fiscal periods are reported on a calendar month-basis to better align with fiscal period changes of our customer base. Prior to 2020, the Company’s monthly closing schedule was a 4/4/5 week-based cycle for each fiscal quarter. We do not believe this change materially impacts quarterly comparisons.</w:t>
      </w:r>
    </w:p>
    <w:p>
      <w:pPr>
        <w:sectPr>
          <w:pgSz w:w="11900" w:h="16838" w:orient="portrait"/>
          <w:cols w:equalWidth="0" w:num="1">
            <w:col w:w="11240"/>
          </w:cols>
          <w:pgMar w:left="320" w:top="140"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Effective January 1, 2020, the Company adopted Accounting Standards Update (“ASU”) 2017-04, “Intangibles – Goodwill and Other (Topic 350) – Simplifying the Test for Goodwill Impairment”. The new standard eliminates the two-step process that required the identification of potential impairment and a separate measure of the actual impairment. Adoption of the new standard will not materially impact the Company’s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 w:hanging="353"/>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On May 1, 2019, the Company completed the acquisition of 100% of the issued and outstanding shares of Southwest Electronic Energy Corporation, a Texas corporation (“SWE”), for an aggregate purchase price of $26,190 inclusive of $942 cash acquired and post-closing adjustments.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SWE is a leading independent designer and manufacturer of high-performance smart battery systems and battery packs to customer specifications using lithium cells. SWE serves a variety of industrial markets, including oil &amp; gas, remote monitoring, process control and marine, which demand uncompromised safety, service, reliability and quality. The Company acquired SWE as a bolt-on acquisition to further support our strategy of commercial revenue diversification by providing entry to the oil and gas exploration and production, and subsea electrification markets, which were previously unserved by Ultralife.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acquisition of SWE was completed pursuant to a Stock Purchase Agreement dated May 1, 2019 (the “Stock Purchase Agreement”) by and among Ultralife, SWE, Southwest Electronic Energy Medical Research Institute, a Texas non-profit (the “Seller”), and Claude Leonard Backstein, an individual (the “Shareholder”). The Stock Purchase Agreement contains customary terms and conditions including representations, warranties and indemnification provisions. A portion of the consideration paid to the Seller is being held in escrow for indemnification purposes.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aggregate purchase price for the acquisition was funded by the Company through a combination of cash on hand and borrowings under the Credit Facilities (see Note 3).</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purchase price allocation was determined in accordance with the accounting treatment of a business combination pursuant to FASB ASC Topic 805, Business Combinations (ASC 805). Accordingly, the fair value of the consideration was determined, and the assets acquired and liabilities assumed have been recorded at their fair values at the date of the acquisition. The excess of the purchase price over the estimated fair values has been recorded as goodwill.</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of purchase price to the assets acquired and liabilities assumed at the date of the acquisition is presented in the table below. Management is responsible for determining the fair value of the tangible and intangible assets acquired and liabilities assumed as of the date of acquisition. Management considered several factors, including reference to an analysis performed under ASC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may occur.</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3,621</w:t>
            </w:r>
          </w:p>
        </w:tc>
        <w:tc>
          <w:tcPr>
            <w:tcW w:w="80" w:type="dxa"/>
            <w:vAlign w:val="bottom"/>
          </w:tcPr>
          <w:p>
            <w:pPr>
              <w:spacing w:after="0"/>
              <w:rPr>
                <w:sz w:val="18"/>
                <w:szCs w:val="18"/>
                <w:color w:val="auto"/>
              </w:rPr>
            </w:pP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80" w:type="dxa"/>
            <w:vAlign w:val="bottom"/>
            <w:shd w:val="clear" w:color="auto" w:fill="CCEEFF"/>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80" w:type="dxa"/>
            <w:vAlign w:val="bottom"/>
            <w:shd w:val="clear" w:color="auto" w:fill="CCEEFF"/>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6,534</w:t>
            </w:r>
          </w:p>
        </w:tc>
        <w:tc>
          <w:tcPr>
            <w:tcW w:w="80" w:type="dxa"/>
            <w:vAlign w:val="bottom"/>
          </w:tcPr>
          <w:p>
            <w:pPr>
              <w:spacing w:after="0"/>
              <w:rPr>
                <w:sz w:val="18"/>
                <w:szCs w:val="18"/>
                <w:color w:val="auto"/>
              </w:rPr>
            </w:pP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80" w:type="dxa"/>
            <w:vAlign w:val="bottom"/>
            <w:shd w:val="clear" w:color="auto" w:fill="CCEEFF"/>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Trade name</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w:t>
            </w: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r>
      <w:tr>
        <w:trPr>
          <w:trHeight w:val="207"/>
        </w:trPr>
        <w:tc>
          <w:tcPr>
            <w:tcW w:w="7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5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26,190</w:t>
            </w:r>
          </w:p>
        </w:tc>
        <w:tc>
          <w:tcPr>
            <w:tcW w:w="80" w:type="dxa"/>
            <w:vAlign w:val="bottom"/>
            <w:tcBorders>
              <w:top w:val="single" w:sz="8" w:color="CCEEFF"/>
            </w:tcBorders>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SWE’s assembled and trained workforce, the incremental value that SWE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operating results and cash flows of SWE are reflected in the Company’s consolidated financial statements from the date of acquisition. SWE is included in the Battery &amp; Energy Products segment.</w:t>
      </w:r>
    </w:p>
    <w:p>
      <w:pPr>
        <w:spacing w:after="0" w:line="175"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color w:val="auto"/>
        </w:rPr>
        <w:t>For the six months ended June 30, 2020, SWE contributed revenue of $10,304 and net income of $731, inclusive of interest expense of $229 directly related to the financing of the SWE acquisition and amortization expense of $122 on identifiable intangible assets acquired from SWE.</w:t>
      </w:r>
    </w:p>
    <w:p>
      <w:pPr>
        <w:sectPr>
          <w:pgSz w:w="11900" w:h="16838" w:orient="portrait"/>
          <w:cols w:equalWidth="0" w:num="1">
            <w:col w:w="11240"/>
          </w:cols>
          <w:pgMar w:left="320" w:top="125" w:right="339" w:bottom="0" w:gutter="0" w:footer="0" w:header="0"/>
        </w:sectPr>
      </w:pPr>
    </w:p>
    <w:bookmarkStart w:id="6" w:name="page7"/>
    <w:bookmarkEnd w:id="6"/>
    <w:p>
      <w:pPr>
        <w:jc w:val="both"/>
        <w:spacing w:after="0" w:line="274" w:lineRule="auto"/>
        <w:rPr>
          <w:sz w:val="20"/>
          <w:szCs w:val="20"/>
          <w:color w:val="auto"/>
        </w:rPr>
      </w:pPr>
      <w:r>
        <w:rPr>
          <w:rFonts w:ascii="Arial" w:cs="Arial" w:eastAsia="Arial" w:hAnsi="Arial"/>
          <w:sz w:val="17"/>
          <w:szCs w:val="17"/>
          <w:color w:val="auto"/>
        </w:rPr>
        <w:t>For the six-month period ended June 30, 2019, from the May 1, 2019 acquisition date, SWE contributed revenue of $4,750 and net income of $101, inclusive of a $205 increase in cost of products sold for the fair value step-up of acquired inventory sold during the period, non-recurring expenses of $165 directly related to the acquisition, interest expense of $110 directly related to the financing of the SWE acquisition, amortization expense of $41 on acquired identifiable intangible assets and a $23 reduction of depreciation expense as a result of fair value adjustments and useful life changes.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supplemental pro forma information presents the combined results of operations, inclusive of the purchase accounting adjustments and one-time acquisition-related expenses described above, as if the acquisition of SWE had been completed on January 1, 2018, the beginning of the comparable prior period.</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supplemental pro forma results are presented for informational purposes only and should not be considered indicative of the financial position or results of operations had the acquisition been completed as of the dates indicated and does not purport to indicate the future combined financial position or results of operation.</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Set forth below are the unaudited supplemental pro forma results of the Company and SWE for the six-month periods ended June 30, 2020 and June 30, 2019 as if the acquisition had occurred as of January 1,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800"/>
              <w:spacing w:after="0"/>
              <w:rPr>
                <w:sz w:val="20"/>
                <w:szCs w:val="20"/>
                <w:color w:val="auto"/>
              </w:rPr>
            </w:pPr>
            <w:r>
              <w:rPr>
                <w:rFonts w:ascii="Arial" w:cs="Arial" w:eastAsia="Arial" w:hAnsi="Arial"/>
                <w:sz w:val="18"/>
                <w:szCs w:val="18"/>
                <w:color w:val="auto"/>
              </w:rPr>
              <w:t>Six months ended</w:t>
            </w:r>
          </w:p>
        </w:tc>
      </w:tr>
      <w:tr>
        <w:trPr>
          <w:trHeight w:val="208"/>
        </w:trPr>
        <w:tc>
          <w:tcPr>
            <w:tcW w:w="5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June 30, 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2"/>
              </w:rPr>
              <w:t>June 30, 2019</w:t>
            </w:r>
          </w:p>
        </w:tc>
        <w:tc>
          <w:tcPr>
            <w:tcW w:w="80" w:type="dxa"/>
            <w:vAlign w:val="bottom"/>
          </w:tcPr>
          <w:p>
            <w:pPr>
              <w:spacing w:after="0"/>
              <w:rPr>
                <w:sz w:val="18"/>
                <w:szCs w:val="18"/>
                <w:color w:val="auto"/>
              </w:rPr>
            </w:pPr>
          </w:p>
        </w:tc>
      </w:tr>
      <w:tr>
        <w:trPr>
          <w:trHeight w:val="20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54,374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57,074</w:t>
            </w:r>
          </w:p>
        </w:tc>
      </w:tr>
      <w:tr>
        <w:trPr>
          <w:trHeight w:val="213"/>
        </w:trPr>
        <w:tc>
          <w:tcPr>
            <w:tcW w:w="5760" w:type="dxa"/>
            <w:vAlign w:val="bottom"/>
          </w:tcPr>
          <w:p>
            <w:pPr>
              <w:spacing w:after="0"/>
              <w:rPr>
                <w:sz w:val="20"/>
                <w:szCs w:val="20"/>
                <w:color w:val="auto"/>
              </w:rPr>
            </w:pPr>
            <w:r>
              <w:rPr>
                <w:rFonts w:ascii="Arial" w:cs="Arial" w:eastAsia="Arial" w:hAnsi="Arial"/>
                <w:sz w:val="18"/>
                <w:szCs w:val="18"/>
                <w:color w:val="auto"/>
              </w:rPr>
              <w:t>Operating income</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3,779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4,171</w:t>
            </w:r>
          </w:p>
        </w:tc>
      </w:tr>
      <w:tr>
        <w:trPr>
          <w:trHeight w:val="213"/>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Corporation</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2,955</w:t>
            </w:r>
          </w:p>
        </w:tc>
      </w:tr>
      <w:tr>
        <w:trPr>
          <w:trHeight w:val="213"/>
        </w:trPr>
        <w:tc>
          <w:tcPr>
            <w:tcW w:w="5760" w:type="dxa"/>
            <w:vAlign w:val="bottom"/>
          </w:tcPr>
          <w:p>
            <w:pPr>
              <w:spacing w:after="0"/>
              <w:rPr>
                <w:sz w:val="20"/>
                <w:szCs w:val="20"/>
                <w:color w:val="auto"/>
              </w:rPr>
            </w:pPr>
            <w:r>
              <w:rPr>
                <w:rFonts w:ascii="Arial" w:cs="Arial" w:eastAsia="Arial" w:hAnsi="Arial"/>
                <w:sz w:val="18"/>
                <w:szCs w:val="18"/>
                <w:color w:val="auto"/>
              </w:rPr>
              <w:t>Net income per share attributable to Ultralife Corporation:</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r>
      <w:tr>
        <w:trPr>
          <w:trHeight w:val="226"/>
        </w:trPr>
        <w:tc>
          <w:tcPr>
            <w:tcW w:w="5760" w:type="dxa"/>
            <w:vAlign w:val="bottom"/>
          </w:tcPr>
          <w:p>
            <w:pPr>
              <w:ind w:left="640"/>
              <w:spacing w:after="0"/>
              <w:rPr>
                <w:sz w:val="20"/>
                <w:szCs w:val="20"/>
                <w:color w:val="auto"/>
              </w:rPr>
            </w:pPr>
            <w:r>
              <w:rPr>
                <w:rFonts w:ascii="Arial" w:cs="Arial" w:eastAsia="Arial" w:hAnsi="Arial"/>
                <w:sz w:val="18"/>
                <w:szCs w:val="18"/>
                <w:color w:val="auto"/>
              </w:rPr>
              <w:t>Diluted</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 w:hanging="353"/>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DEBT</w:t>
      </w:r>
    </w:p>
    <w:p>
      <w:pPr>
        <w:spacing w:after="0" w:line="219" w:lineRule="exact"/>
        <w:rPr>
          <w:rFonts w:ascii="Arial" w:cs="Arial" w:eastAsia="Arial" w:hAnsi="Arial"/>
          <w:sz w:val="18"/>
          <w:szCs w:val="18"/>
          <w:b w:val="1"/>
          <w:bCs w:val="1"/>
          <w:i w:val="1"/>
          <w:iCs w:val="1"/>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Facilities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 2019, Ultralife,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Upon closing of the SWE acquisition on May 1, 2019, the Company drew down the full amount of the Term Loan Facility and $6,782 under the Revolving Credit Facility. As of June 30, 2020, the Company had $6,424 outstanding principal on the Term Loan Facility, of which $1,482 is included in current portion of long-term debt on the balance sheet, and $4,482 outstanding principal on the Revolving Credit Facility. As of June 30, 2020, total unamortized debt issuance costs of $140 associated with the Amended Credit Agreement are classified as a reduction of long-term debt on the balance sheet.</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is required to repay the borrowings under the Term Loan Facility in sixty (60) equal consecutive monthly payments commencing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fixed charge coverage ratio of equal to or greater than 1.15 to 1.0, and a consolidated senior leverage ratio of equal to or less than 2.5 to 1.0, each as defined in the Amended Credit Agreement. The Company was in full compliance with its covenants as of June 30, 2020.</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 w:name="page8"/>
    <w:bookmarkEnd w:id="7"/>
    <w:p>
      <w:pPr>
        <w:jc w:val="both"/>
        <w:spacing w:after="0" w:line="274" w:lineRule="auto"/>
        <w:rPr>
          <w:sz w:val="20"/>
          <w:szCs w:val="20"/>
          <w:color w:val="auto"/>
        </w:rPr>
      </w:pPr>
      <w:r>
        <w:rPr>
          <w:rFonts w:ascii="Arial" w:cs="Arial" w:eastAsia="Arial" w:hAnsi="Arial"/>
          <w:sz w:val="17"/>
          <w:szCs w:val="17"/>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 to 0.2% based on the average daily unused availability under the Revolving Credit Facility.</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April 14, 2020, the Company entered in a loan agreement with KeyBank National Association (“Lender”) under the terms of which the Lender agreed to make a loan to the Company in an aggregate principal amount of $3,459 (“PPP Loan”) pursuant to the Paycheck Protection Program under the Coronavirus Aid, Relief, and Economic Security (CARES) Act. The loan proceeds were received on April 16, 2020. On April 23, 2020, the Company returned the full amount of the loan proceeds to the Lender which were not used by the Company, to ensure compliance with the FAQ’s and revised Guidelines issued by the U.S. Department of Treasury and the Small Business Administration on April 23, 2020.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0" w:hanging="353"/>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June 30, 2020, 866,910 stock options and 19,165 restricted stock awards were included in the calculation of Diluted EPS as such securities are dilutive. Inclusion of these securities resulted in 250,561 additional shares in the calculation of fully diluted earnings per share. For the comparable three-month period ended June 30, 2019, 1,016,668 stock options and 31,666 restricted stock awards were included in the calculation of Diluted EPS resulting in 450,793 additional shares in the calculation of fully diluted earnings per share. For the six-month periods ended June 30, 2020 and June 30, 2019, 866,910 and 1,016,668 stock options and 19,165 and 31,666 restricted stock awards, respectively, were included in the calculation of Diluted EPS as such securities are dilutive. Inclusion of these securities resulted in 234,532 and 438,969 additional shares, respectively, in the calculation of fully diluted earnings per share.</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There were 896,167 and 446,250 outstanding stock options for the three-month periods ended June 30, 2020 and June 30, 2019, respectively, which were not included in EPS as the effect would be anti-dilutive. There were 896,167 and 446,250 outstanding stock options for the six-month periods ended June 30, 2020 and June 30, 2019,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660" w:firstLine="7"/>
        <w:spacing w:after="0" w:line="524" w:lineRule="auto"/>
        <w:tabs>
          <w:tab w:leader="none" w:pos="355"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SUPPLEMENTAL BALANCE SHEET INFORMATION Fair Value Measurements and Disclosures</w:t>
      </w:r>
    </w:p>
    <w:p>
      <w:pPr>
        <w:jc w:val="both"/>
        <w:spacing w:after="0" w:line="306" w:lineRule="auto"/>
        <w:rPr>
          <w:sz w:val="20"/>
          <w:szCs w:val="20"/>
          <w:color w:val="auto"/>
        </w:rPr>
      </w:pPr>
      <w:r>
        <w:rPr>
          <w:rFonts w:ascii="Arial" w:cs="Arial" w:eastAsia="Arial" w:hAnsi="Arial"/>
          <w:sz w:val="16"/>
          <w:szCs w:val="16"/>
          <w:color w:val="auto"/>
        </w:rPr>
        <w:t>The fair value of financial instruments approximated their carrying values at June 30, 2020 and December 31, 2019. The fair value of cash, trade accounts receivable, trade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7"/>
        </w:trPr>
        <w:tc>
          <w:tcPr>
            <w:tcW w:w="726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4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8"/>
        </w:trPr>
        <w:tc>
          <w:tcPr>
            <w:tcW w:w="4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8,298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7,135</w:t>
            </w:r>
          </w:p>
        </w:tc>
      </w:tr>
      <w:tr>
        <w:trPr>
          <w:trHeight w:val="213"/>
        </w:trPr>
        <w:tc>
          <w:tcPr>
            <w:tcW w:w="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Restricted cash</w:t>
            </w: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r>
      <w:tr>
        <w:trPr>
          <w:trHeight w:val="227"/>
        </w:trPr>
        <w:tc>
          <w:tcPr>
            <w:tcW w:w="480" w:type="dxa"/>
            <w:vAlign w:val="bottom"/>
          </w:tcPr>
          <w:p>
            <w:pPr>
              <w:spacing w:after="0"/>
              <w:rPr>
                <w:sz w:val="19"/>
                <w:szCs w:val="19"/>
                <w:color w:val="auto"/>
              </w:rPr>
            </w:pPr>
          </w:p>
        </w:tc>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8,389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7,405</w:t>
            </w:r>
          </w:p>
        </w:tc>
      </w:tr>
      <w:tr>
        <w:trPr>
          <w:trHeight w:val="20"/>
        </w:trPr>
        <w:tc>
          <w:tcPr>
            <w:tcW w:w="48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June 30, 2020 and December 31, 2019, restricted cash included $8 and $188, respectively, relating to a government grant awarded in the People’s Republic of China to fund specified technological research and development initiatives. The grant proceeds are realized as a direct offset to qualifying expenditures as incurred. For the six-month period ended June 30, 2020, grant proceeds of $181 were used to fund qualifying capital expenditures and material and labor costs incurred. As of June 30, 2020 and December 31, 2019, restricted cash included euro-denominated deposits of $83 and $82, respectively,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Inventories are stated at the lower of cost or market, net of obsolescence reserves, with cost determined under the first-in, first-out (FIFO) method. The composition of inventories, net was:</w:t>
      </w:r>
    </w:p>
    <w:p>
      <w:pPr>
        <w:spacing w:after="0" w:line="171" w:lineRule="exact"/>
        <w:rPr>
          <w:sz w:val="20"/>
          <w:szCs w:val="20"/>
          <w:color w:val="auto"/>
        </w:rPr>
      </w:pPr>
    </w:p>
    <w:p>
      <w:pPr>
        <w:ind w:left="8280"/>
        <w:spacing w:after="0"/>
        <w:tabs>
          <w:tab w:leader="none" w:pos="9880" w:val="left"/>
        </w:tabs>
        <w:rPr>
          <w:sz w:val="20"/>
          <w:szCs w:val="20"/>
          <w:color w:val="auto"/>
        </w:rPr>
      </w:pPr>
      <w:r>
        <w:rPr>
          <w:rFonts w:ascii="Arial" w:cs="Arial" w:eastAsia="Arial" w:hAnsi="Arial"/>
          <w:sz w:val="18"/>
          <w:szCs w:val="18"/>
          <w:b w:val="1"/>
          <w:bCs w:val="1"/>
          <w:color w:val="auto"/>
        </w:rPr>
        <w:t>June 30,</w:t>
      </w:r>
      <w:r>
        <w:rPr>
          <w:sz w:val="20"/>
          <w:szCs w:val="20"/>
          <w:color w:val="auto"/>
        </w:rPr>
        <w:tab/>
      </w:r>
      <w:r>
        <w:rPr>
          <w:rFonts w:ascii="Arial" w:cs="Arial" w:eastAsia="Arial" w:hAnsi="Arial"/>
          <w:sz w:val="14"/>
          <w:szCs w:val="14"/>
          <w:b w:val="1"/>
          <w:bCs w:val="1"/>
          <w:color w:val="auto"/>
        </w:rPr>
        <w:t>December 31,</w:t>
      </w:r>
    </w:p>
    <w:p>
      <w:pPr>
        <w:sectPr>
          <w:pgSz w:w="11900" w:h="16838" w:orient="portrait"/>
          <w:cols w:equalWidth="0" w:num="1">
            <w:col w:w="11240"/>
          </w:cols>
          <w:pgMar w:left="320" w:top="605" w:right="33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15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17,142</w:t>
            </w:r>
          </w:p>
        </w:tc>
        <w:tc>
          <w:tcPr>
            <w:tcW w:w="2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18,485</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jc w:val="right"/>
              <w:ind w:right="51"/>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28,064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29,759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50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500" w:type="dxa"/>
            <w:vAlign w:val="bottom"/>
            <w:gridSpan w:val="5"/>
          </w:tcPr>
          <w:p>
            <w:pPr>
              <w:spacing w:after="0"/>
              <w:rPr>
                <w:sz w:val="20"/>
                <w:szCs w:val="20"/>
                <w:color w:val="auto"/>
              </w:rPr>
            </w:pPr>
            <w:r>
              <w:rPr>
                <w:rFonts w:ascii="Arial" w:cs="Arial" w:eastAsia="Arial" w:hAnsi="Arial"/>
                <w:sz w:val="18"/>
                <w:szCs w:val="18"/>
                <w:color w:val="auto"/>
                <w:w w:val="93"/>
              </w:rPr>
              <w:t>Major classes of property, plant and equipment consisted of the following:</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15,337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15,386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54,904</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55,058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6,719</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86,530</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85,353</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(63,817)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(62,828)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22,713</w:t>
            </w:r>
          </w:p>
        </w:tc>
        <w:tc>
          <w:tcPr>
            <w:tcW w:w="1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500" w:type="dxa"/>
            <w:vAlign w:val="bottom"/>
            <w:gridSpan w:val="5"/>
          </w:tcPr>
          <w:p>
            <w:pPr>
              <w:spacing w:after="0"/>
              <w:rPr>
                <w:sz w:val="20"/>
                <w:szCs w:val="20"/>
                <w:color w:val="auto"/>
              </w:rPr>
            </w:pPr>
            <w:r>
              <w:rPr>
                <w:rFonts w:ascii="Arial" w:cs="Arial" w:eastAsia="Arial" w:hAnsi="Arial"/>
                <w:sz w:val="18"/>
                <w:szCs w:val="18"/>
                <w:color w:val="auto"/>
                <w:w w:val="96"/>
              </w:rPr>
              <w:t>Depreciation expense for property, plant and equipment was as follows: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11"/>
          </w:tcPr>
          <w:p>
            <w:pPr>
              <w:spacing w:after="0"/>
              <w:rPr>
                <w:sz w:val="20"/>
                <w:szCs w:val="20"/>
                <w:color w:val="auto"/>
              </w:rPr>
            </w:pPr>
            <w:r>
              <w:rPr>
                <w:rFonts w:ascii="Arial" w:cs="Arial" w:eastAsia="Arial" w:hAnsi="Arial"/>
                <w:sz w:val="18"/>
                <w:szCs w:val="18"/>
                <w:b w:val="1"/>
                <w:bCs w:val="1"/>
                <w:color w:val="auto"/>
              </w:rPr>
              <w:t>Three-month period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10"/>
          </w:tcPr>
          <w:p>
            <w:pPr>
              <w:jc w:val="right"/>
              <w:ind w:right="720"/>
              <w:spacing w:after="0"/>
              <w:rPr>
                <w:sz w:val="20"/>
                <w:szCs w:val="20"/>
                <w:color w:val="auto"/>
              </w:rPr>
            </w:pPr>
            <w:r>
              <w:rPr>
                <w:rFonts w:ascii="Arial" w:cs="Arial" w:eastAsia="Arial" w:hAnsi="Arial"/>
                <w:sz w:val="18"/>
                <w:szCs w:val="18"/>
                <w:b w:val="1"/>
                <w:bCs w:val="1"/>
                <w:color w:val="auto"/>
                <w:w w:val="98"/>
              </w:rPr>
              <w:t>Six-month period ended</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940" w:type="dxa"/>
            <w:vAlign w:val="bottom"/>
            <w:tcBorders>
              <w:top w:val="single" w:sz="8" w:color="auto"/>
            </w:tcBorders>
            <w:gridSpan w:val="3"/>
          </w:tcPr>
          <w:p>
            <w:pPr>
              <w:ind w:left="300"/>
              <w:spacing w:after="0" w:line="190" w:lineRule="exact"/>
              <w:rPr>
                <w:sz w:val="20"/>
                <w:szCs w:val="20"/>
                <w:color w:val="auto"/>
              </w:rPr>
            </w:pPr>
            <w:r>
              <w:rPr>
                <w:rFonts w:ascii="Arial" w:cs="Arial" w:eastAsia="Arial" w:hAnsi="Arial"/>
                <w:sz w:val="18"/>
                <w:szCs w:val="18"/>
                <w:b w:val="1"/>
                <w:bCs w:val="1"/>
                <w:color w:val="auto"/>
                <w:w w:val="85"/>
              </w:rPr>
              <w:t>June 30,</w:t>
            </w: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6"/>
          </w:tcPr>
          <w:p>
            <w:pPr>
              <w:jc w:val="right"/>
              <w:ind w:right="191"/>
              <w:spacing w:after="0" w:line="190" w:lineRule="exact"/>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jc w:val="center"/>
              <w:ind w:right="120"/>
              <w:spacing w:after="0" w:line="190"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91"/>
              <w:spacing w:after="0" w:line="190"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9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w w:val="86"/>
              </w:rPr>
              <w:t>582</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89"/>
              </w:rPr>
              <w:t>11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gridSpan w:val="2"/>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9"/>
        </w:trPr>
        <w:tc>
          <w:tcPr>
            <w:tcW w:w="55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Goodwill</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160" w:type="dxa"/>
            <w:vAlign w:val="bottom"/>
            <w:gridSpan w:val="17"/>
          </w:tcPr>
          <w:p>
            <w:pPr>
              <w:spacing w:after="0"/>
              <w:rPr>
                <w:sz w:val="20"/>
                <w:szCs w:val="20"/>
                <w:color w:val="auto"/>
              </w:rPr>
            </w:pPr>
            <w:r>
              <w:rPr>
                <w:rFonts w:ascii="Arial" w:cs="Arial" w:eastAsia="Arial" w:hAnsi="Arial"/>
                <w:sz w:val="18"/>
                <w:szCs w:val="18"/>
                <w:color w:val="auto"/>
                <w:w w:val="92"/>
              </w:rPr>
              <w:t>The following table summarizes the goodwill activity by segment for the six-month period ended June 30, 2020.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4"/>
              </w:rPr>
              <w:t>Battery &amp;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3"/>
          </w:tcPr>
          <w:p>
            <w:pPr>
              <w:jc w:val="center"/>
              <w:ind w:left="71"/>
              <w:spacing w:after="0"/>
              <w:rPr>
                <w:sz w:val="20"/>
                <w:szCs w:val="20"/>
                <w:color w:val="auto"/>
              </w:rPr>
            </w:pPr>
            <w:r>
              <w:rPr>
                <w:rFonts w:ascii="Arial" w:cs="Arial" w:eastAsia="Arial" w:hAnsi="Arial"/>
                <w:sz w:val="18"/>
                <w:szCs w:val="18"/>
                <w:b w:val="1"/>
                <w:bCs w:val="1"/>
                <w:color w:val="auto"/>
                <w:w w:val="91"/>
              </w:rPr>
              <w:t>Energy</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6"/>
              </w:rPr>
              <w:t>Communications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251"/>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411"/>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15,260</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26,753</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Effect of foreign currency translation</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 June 30, 2020</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14,966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11,493</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26,459</w:t>
            </w: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5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Other Intangible Assets, Net</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500" w:type="dxa"/>
            <w:vAlign w:val="bottom"/>
            <w:gridSpan w:val="5"/>
          </w:tcPr>
          <w:p>
            <w:pPr>
              <w:spacing w:after="0"/>
              <w:rPr>
                <w:sz w:val="20"/>
                <w:szCs w:val="20"/>
                <w:color w:val="auto"/>
              </w:rPr>
            </w:pPr>
            <w:r>
              <w:rPr>
                <w:rFonts w:ascii="Arial" w:cs="Arial" w:eastAsia="Arial" w:hAnsi="Arial"/>
                <w:sz w:val="18"/>
                <w:szCs w:val="18"/>
                <w:color w:val="auto"/>
              </w:rPr>
              <w:t>The composition of other intangible assets was: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8"/>
                <w:szCs w:val="18"/>
                <w:b w:val="1"/>
                <w:bCs w:val="1"/>
                <w:color w:val="auto"/>
                <w:w w:val="88"/>
              </w:rPr>
              <w:t>June 30,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7"/>
          </w:tcPr>
          <w:p>
            <w:pPr>
              <w:jc w:val="center"/>
              <w:ind w:right="340"/>
              <w:spacing w:after="0" w:line="189" w:lineRule="exact"/>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w w:val="79"/>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0"/>
              </w:rPr>
              <w:t>Amortization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94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3,401</w:t>
            </w:r>
          </w:p>
        </w:tc>
        <w:tc>
          <w:tcPr>
            <w:tcW w:w="14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5,454</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4,902</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w:t>
            </w:r>
          </w:p>
        </w:tc>
        <w:tc>
          <w:tcPr>
            <w:tcW w:w="14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Distributor relationships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w:t>
            </w:r>
          </w:p>
        </w:tc>
        <w:tc>
          <w:tcPr>
            <w:tcW w:w="14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spacing w:after="0"/>
              <w:rPr>
                <w:sz w:val="17"/>
                <w:szCs w:val="17"/>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19,631</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10,381</w:t>
            </w:r>
          </w:p>
        </w:tc>
        <w:tc>
          <w:tcPr>
            <w:tcW w:w="12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9,250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8"/>
                <w:szCs w:val="18"/>
                <w:b w:val="1"/>
                <w:bCs w:val="1"/>
                <w:color w:val="auto"/>
                <w:w w:val="88"/>
              </w:rPr>
              <w:t>December 31,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7"/>
          </w:tcPr>
          <w:p>
            <w:pPr>
              <w:jc w:val="center"/>
              <w:ind w:right="340"/>
              <w:spacing w:after="0" w:line="189" w:lineRule="exact"/>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w w:val="79"/>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0"/>
              </w:rPr>
              <w:t>Amortization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94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3,403</w:t>
            </w:r>
          </w:p>
        </w:tc>
        <w:tc>
          <w:tcPr>
            <w:tcW w:w="14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5,521</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4,869</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14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Distributor relationships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w:t>
            </w:r>
          </w:p>
        </w:tc>
        <w:tc>
          <w:tcPr>
            <w:tcW w:w="14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spacing w:after="0"/>
              <w:rPr>
                <w:sz w:val="17"/>
                <w:szCs w:val="17"/>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19,892</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9,721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-5133975</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-5142230</wp:posOffset>
            </wp:positionV>
            <wp:extent cx="82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cost of total intangible assets from December 31, 2019 to June 30, 2020 is a result of the effect of foreign currency translations.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other intangible assets was as follows: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2560" w:type="dxa"/>
            <w:vAlign w:val="bottom"/>
            <w:gridSpan w:val="3"/>
          </w:tcPr>
          <w:p>
            <w:pPr>
              <w:ind w:left="260"/>
              <w:spacing w:after="0"/>
              <w:rPr>
                <w:sz w:val="20"/>
                <w:szCs w:val="20"/>
                <w:color w:val="auto"/>
              </w:rPr>
            </w:pPr>
            <w:r>
              <w:rPr>
                <w:rFonts w:ascii="Arial" w:cs="Arial" w:eastAsia="Arial" w:hAnsi="Arial"/>
                <w:sz w:val="18"/>
                <w:szCs w:val="18"/>
                <w:b w:val="1"/>
                <w:bCs w:val="1"/>
                <w:color w:val="auto"/>
                <w:w w:val="99"/>
              </w:rPr>
              <w:t>Three-month period ended</w:t>
            </w:r>
          </w:p>
        </w:tc>
        <w:tc>
          <w:tcPr>
            <w:tcW w:w="220" w:type="dxa"/>
            <w:vAlign w:val="bottom"/>
          </w:tcPr>
          <w:p>
            <w:pPr>
              <w:spacing w:after="0"/>
              <w:rPr>
                <w:sz w:val="20"/>
                <w:szCs w:val="20"/>
                <w:color w:val="auto"/>
              </w:rPr>
            </w:pPr>
          </w:p>
        </w:tc>
        <w:tc>
          <w:tcPr>
            <w:tcW w:w="2640" w:type="dxa"/>
            <w:vAlign w:val="bottom"/>
            <w:gridSpan w:val="4"/>
          </w:tcPr>
          <w:p>
            <w:pPr>
              <w:ind w:left="360"/>
              <w:spacing w:after="0"/>
              <w:rPr>
                <w:sz w:val="20"/>
                <w:szCs w:val="20"/>
                <w:color w:val="auto"/>
              </w:rPr>
            </w:pPr>
            <w:r>
              <w:rPr>
                <w:rFonts w:ascii="Arial" w:cs="Arial" w:eastAsia="Arial" w:hAnsi="Arial"/>
                <w:sz w:val="18"/>
                <w:szCs w:val="18"/>
                <w:b w:val="1"/>
                <w:bCs w:val="1"/>
                <w:color w:val="auto"/>
              </w:rPr>
              <w:t>Six-month period ended</w:t>
            </w:r>
          </w:p>
        </w:tc>
      </w:tr>
      <w:tr>
        <w:trPr>
          <w:trHeight w:val="190"/>
        </w:trPr>
        <w:tc>
          <w:tcPr>
            <w:tcW w:w="5240" w:type="dxa"/>
            <w:vAlign w:val="bottom"/>
          </w:tcPr>
          <w:p>
            <w:pPr>
              <w:spacing w:after="0"/>
              <w:rPr>
                <w:sz w:val="16"/>
                <w:szCs w:val="16"/>
                <w:color w:val="auto"/>
              </w:rPr>
            </w:pPr>
          </w:p>
        </w:tc>
        <w:tc>
          <w:tcPr>
            <w:tcW w:w="1180" w:type="dxa"/>
            <w:vAlign w:val="bottom"/>
            <w:tcBorders>
              <w:top w:val="single" w:sz="8" w:color="auto"/>
            </w:tcBorders>
          </w:tcPr>
          <w:p>
            <w:pPr>
              <w:ind w:left="260"/>
              <w:spacing w:after="0" w:line="190" w:lineRule="exact"/>
              <w:rPr>
                <w:sz w:val="20"/>
                <w:szCs w:val="20"/>
                <w:color w:val="auto"/>
              </w:rPr>
            </w:pPr>
            <w:r>
              <w:rPr>
                <w:rFonts w:ascii="Arial" w:cs="Arial" w:eastAsia="Arial" w:hAnsi="Arial"/>
                <w:sz w:val="18"/>
                <w:szCs w:val="18"/>
                <w:b w:val="1"/>
                <w:bCs w:val="1"/>
                <w:color w:val="auto"/>
              </w:rPr>
              <w:t>June 30,</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5"/>
              </w:rPr>
              <w:t>June 30,</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5"/>
              </w:rPr>
              <w:t>June 30,</w:t>
            </w:r>
          </w:p>
        </w:tc>
        <w:tc>
          <w:tcPr>
            <w:tcW w:w="80" w:type="dxa"/>
            <w:vAlign w:val="bottom"/>
          </w:tcPr>
          <w:p>
            <w:pPr>
              <w:spacing w:after="0"/>
              <w:rPr>
                <w:sz w:val="16"/>
                <w:szCs w:val="16"/>
                <w:color w:val="auto"/>
              </w:rPr>
            </w:pPr>
          </w:p>
        </w:tc>
      </w:tr>
      <w:tr>
        <w:trPr>
          <w:trHeight w:val="267"/>
        </w:trPr>
        <w:tc>
          <w:tcPr>
            <w:tcW w:w="524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3"/>
                <w:szCs w:val="23"/>
                <w:color w:val="auto"/>
              </w:rPr>
            </w:pPr>
          </w:p>
        </w:tc>
      </w:tr>
    </w:tbl>
    <w:p>
      <w:pPr>
        <w:sectPr>
          <w:pgSz w:w="11900" w:h="16900" w:orient="portrait"/>
          <w:cols w:equalWidth="0" w:num="1">
            <w:col w:w="11300"/>
          </w:cols>
          <w:pgMar w:left="320" w:top="121" w:right="279" w:bottom="0" w:gutter="0" w:footer="0" w:header="0"/>
        </w:sectPr>
      </w:pPr>
    </w:p>
    <w:bookmarkStart w:id="9" w:name="page10"/>
    <w:bookmarkEnd w:id="9"/>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13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7"/>
        </w:trPr>
        <w:tc>
          <w:tcPr>
            <w:tcW w:w="320" w:type="dxa"/>
            <w:vAlign w:val="bottom"/>
          </w:tcPr>
          <w:p>
            <w:pPr>
              <w:spacing w:after="0"/>
              <w:rPr>
                <w:sz w:val="17"/>
                <w:szCs w:val="17"/>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Total amortization expense</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06"/>
        </w:trPr>
        <w:tc>
          <w:tcPr>
            <w:tcW w:w="3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20" w:type="dxa"/>
            <w:vAlign w:val="bottom"/>
            <w:gridSpan w:val="2"/>
          </w:tcPr>
          <w:p>
            <w:pPr>
              <w:ind w:left="128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hanging="353"/>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stock compensation expense in each period as follows: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Three-month period ended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Six-month period ended</w:t>
            </w:r>
          </w:p>
        </w:tc>
      </w:tr>
      <w:tr>
        <w:trPr>
          <w:trHeight w:val="190"/>
        </w:trPr>
        <w:tc>
          <w:tcPr>
            <w:tcW w:w="5420" w:type="dxa"/>
            <w:vAlign w:val="bottom"/>
          </w:tcPr>
          <w:p>
            <w:pPr>
              <w:spacing w:after="0"/>
              <w:rPr>
                <w:sz w:val="16"/>
                <w:szCs w:val="16"/>
                <w:color w:val="auto"/>
              </w:rPr>
            </w:pPr>
          </w:p>
        </w:tc>
        <w:tc>
          <w:tcPr>
            <w:tcW w:w="9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June 30,</w:t>
            </w: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June 30,</w:t>
            </w: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line="190" w:lineRule="exact"/>
              <w:rPr>
                <w:sz w:val="20"/>
                <w:szCs w:val="20"/>
                <w:color w:val="auto"/>
              </w:rPr>
            </w:pPr>
            <w:r>
              <w:rPr>
                <w:rFonts w:ascii="Arial" w:cs="Arial" w:eastAsia="Arial" w:hAnsi="Arial"/>
                <w:sz w:val="18"/>
                <w:szCs w:val="18"/>
                <w:b w:val="1"/>
                <w:bCs w:val="1"/>
                <w:color w:val="auto"/>
              </w:rPr>
              <w:t>June 30,</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1"/>
              <w:spacing w:after="0" w:line="190" w:lineRule="exact"/>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6"/>
                <w:szCs w:val="16"/>
                <w:color w:val="auto"/>
              </w:rPr>
            </w:pPr>
          </w:p>
        </w:tc>
      </w:tr>
      <w:tr>
        <w:trPr>
          <w:trHeight w:val="231"/>
        </w:trPr>
        <w:tc>
          <w:tcPr>
            <w:tcW w:w="5420" w:type="dxa"/>
            <w:vAlign w:val="bottom"/>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0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278</w:t>
            </w: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r>
      <w:tr>
        <w:trPr>
          <w:trHeight w:val="227"/>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304</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r>
      <w:tr>
        <w:trPr>
          <w:trHeight w:val="20"/>
        </w:trPr>
        <w:tc>
          <w:tcPr>
            <w:tcW w:w="5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June 30, 2020, there was $903 of total unrecognized compensation cost related to outstanding stock options, which is expected to be recognized over a weighted average period of 1.4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six-month period ended June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219"/>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Remaining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040" w:type="dxa"/>
            <w:vAlign w:val="bottom"/>
          </w:tcPr>
          <w:p>
            <w:pPr>
              <w:jc w:val="center"/>
              <w:ind w:left="239"/>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1"/>
        </w:trPr>
        <w:tc>
          <w:tcPr>
            <w:tcW w:w="9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ind w:left="239"/>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1,541,792</w:t>
            </w:r>
          </w:p>
        </w:tc>
        <w:tc>
          <w:tcPr>
            <w:tcW w:w="104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6.88</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251,000</w:t>
            </w:r>
          </w:p>
        </w:tc>
        <w:tc>
          <w:tcPr>
            <w:tcW w:w="10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6.51</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(16,631)</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4.58</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Forfeited or expired</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(13,084)</w:t>
            </w:r>
          </w:p>
        </w:tc>
        <w:tc>
          <w:tcPr>
            <w:tcW w:w="10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7.77</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96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1,763,077</w:t>
            </w:r>
          </w:p>
        </w:tc>
        <w:tc>
          <w:tcPr>
            <w:tcW w:w="104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6.84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60" w:type="dxa"/>
            <w:vAlign w:val="bottom"/>
          </w:tcPr>
          <w:p>
            <w:pPr>
              <w:spacing w:after="0"/>
              <w:rPr>
                <w:sz w:val="16"/>
                <w:szCs w:val="16"/>
                <w:color w:val="auto"/>
              </w:rPr>
            </w:pPr>
          </w:p>
        </w:tc>
        <w:tc>
          <w:tcPr>
            <w:tcW w:w="4300" w:type="dxa"/>
            <w:vAlign w:val="bottom"/>
          </w:tcPr>
          <w:p>
            <w:pPr>
              <w:spacing w:after="0" w:line="194" w:lineRule="exact"/>
              <w:rPr>
                <w:sz w:val="20"/>
                <w:szCs w:val="20"/>
                <w:color w:val="auto"/>
              </w:rPr>
            </w:pPr>
            <w:r>
              <w:rPr>
                <w:rFonts w:ascii="Arial" w:cs="Arial" w:eastAsia="Arial" w:hAnsi="Arial"/>
                <w:sz w:val="18"/>
                <w:szCs w:val="18"/>
                <w:color w:val="auto"/>
              </w:rPr>
              <w:t>Vested and expected to vest at June 30, 2020</w:t>
            </w:r>
          </w:p>
        </w:tc>
        <w:tc>
          <w:tcPr>
            <w:tcW w:w="120" w:type="dxa"/>
            <w:vAlign w:val="bottom"/>
          </w:tcPr>
          <w:p>
            <w:pPr>
              <w:spacing w:after="0"/>
              <w:rPr>
                <w:sz w:val="16"/>
                <w:szCs w:val="16"/>
                <w:color w:val="auto"/>
              </w:rPr>
            </w:pPr>
          </w:p>
        </w:tc>
        <w:tc>
          <w:tcPr>
            <w:tcW w:w="146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1,651,988</w:t>
            </w:r>
          </w:p>
        </w:tc>
        <w:tc>
          <w:tcPr>
            <w:tcW w:w="1040" w:type="dxa"/>
            <w:vAlign w:val="bottom"/>
          </w:tcPr>
          <w:p>
            <w:pPr>
              <w:jc w:val="right"/>
              <w:ind w:right="879"/>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w w:val="85"/>
              </w:rPr>
              <w:t>6.78</w:t>
            </w:r>
          </w:p>
        </w:tc>
        <w:tc>
          <w:tcPr>
            <w:tcW w:w="146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3.08</w:t>
            </w:r>
          </w:p>
        </w:tc>
        <w:tc>
          <w:tcPr>
            <w:tcW w:w="30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line="194" w:lineRule="exact"/>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60" w:type="dxa"/>
            <w:vAlign w:val="bottom"/>
          </w:tcPr>
          <w:p>
            <w:pPr>
              <w:spacing w:after="0"/>
              <w:rPr>
                <w:sz w:val="18"/>
                <w:szCs w:val="18"/>
                <w:color w:val="auto"/>
              </w:rPr>
            </w:pPr>
          </w:p>
        </w:tc>
        <w:tc>
          <w:tcPr>
            <w:tcW w:w="43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Exercisable at June 30, 2020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1,194,342</w:t>
            </w:r>
          </w:p>
        </w:tc>
        <w:tc>
          <w:tcPr>
            <w:tcW w:w="104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w w:val="85"/>
              </w:rPr>
              <w:t>6.45</w:t>
            </w:r>
          </w:p>
        </w:tc>
        <w:tc>
          <w:tcPr>
            <w:tcW w:w="14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1.87</w:t>
            </w:r>
          </w:p>
        </w:tc>
        <w:tc>
          <w:tcPr>
            <w:tcW w:w="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420" w:type="dxa"/>
            <w:vAlign w:val="bottom"/>
            <w:gridSpan w:val="8"/>
          </w:tcPr>
          <w:p>
            <w:pPr>
              <w:spacing w:after="0"/>
              <w:rPr>
                <w:sz w:val="20"/>
                <w:szCs w:val="20"/>
                <w:color w:val="auto"/>
              </w:rPr>
            </w:pPr>
            <w:r>
              <w:rPr>
                <w:rFonts w:ascii="Arial" w:cs="Arial" w:eastAsia="Arial" w:hAnsi="Arial"/>
                <w:sz w:val="18"/>
                <w:szCs w:val="18"/>
                <w:color w:val="auto"/>
                <w:w w:val="93"/>
              </w:rPr>
              <w:t>The following assumptions were used to value stock options granted during the six months ended June 30, 2020:</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6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Volatility Factor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six months ended June 30, 2020 was $2.78.</w:t>
      </w:r>
    </w:p>
    <w:p>
      <w:pPr>
        <w:spacing w:after="0" w:line="220"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June 30, 2020 and June 30, 2019 was $47 and $122, respectively. Cash received from stock option exercises under our stock-based compensation plans for the six-month periods ended June 30, 2020 and June 30, 2019 was $76 and $478, respectively.</w:t>
      </w:r>
    </w:p>
    <w:p>
      <w:pPr>
        <w:spacing w:after="0" w:line="186"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color w:val="auto"/>
        </w:rPr>
        <w:t>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years. Unrecognized compensation cost related to these restricted shares was $81 at June 30, 2020, which is expected to be recognized over a weighted average period of 1.7 years.</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hanging="353"/>
        <w:spacing w:after="0"/>
        <w:tabs>
          <w:tab w:leader="none" w:pos="3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Our effective tax rate for the six-month periods ended June 30, 2020 and June 30, 2019 was 22.9% and 20.8% respectively. The period-over-period change was primarily attributable to the geographic mix of earnings and discrete tax benefits realized on disqualifying dispositions of incentive stock options exercised by employees during the six-month period ended June 30, 2019.</w:t>
      </w:r>
    </w:p>
    <w:p>
      <w:pPr>
        <w:spacing w:after="0" w:line="186"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As of December 31, 2019, we have domestic net operating loss (“NOL”) carryforwards of $58,400, which expire 2020 thru 2035, and domestic tax credits of $1,907, which expire 2028 thru 2039, available to reduce future taxable income. As of June 30, 2020, Management has concluded it is more likely than not that these domestic NOL and credit carryforwards will be fully utilized.</w:t>
      </w:r>
    </w:p>
    <w:p>
      <w:pPr>
        <w:spacing w:after="0" w:line="186" w:lineRule="exact"/>
        <w:rPr>
          <w:sz w:val="20"/>
          <w:szCs w:val="20"/>
          <w:color w:val="auto"/>
        </w:rPr>
      </w:pPr>
    </w:p>
    <w:p>
      <w:pPr>
        <w:jc w:val="both"/>
        <w:ind w:right="100"/>
        <w:spacing w:after="0" w:line="333" w:lineRule="auto"/>
        <w:rPr>
          <w:sz w:val="20"/>
          <w:szCs w:val="20"/>
          <w:color w:val="auto"/>
        </w:rPr>
      </w:pPr>
      <w:r>
        <w:rPr>
          <w:rFonts w:ascii="Arial" w:cs="Arial" w:eastAsia="Arial" w:hAnsi="Arial"/>
          <w:sz w:val="16"/>
          <w:szCs w:val="16"/>
          <w:color w:val="auto"/>
        </w:rPr>
        <w:t>As of June 30, 2020,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w:t>
      </w:r>
    </w:p>
    <w:p>
      <w:pPr>
        <w:sectPr>
          <w:pgSz w:w="11900" w:h="16887" w:orient="portrait"/>
          <w:cols w:equalWidth="0" w:num="1">
            <w:col w:w="11340"/>
          </w:cols>
          <w:pgMar w:left="320" w:top="140"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cannot currently be used to reduce taxable income at our other U.K. subsidiary, Accutronics Ltd.</w:t>
      </w:r>
    </w:p>
    <w:p>
      <w:pPr>
        <w:spacing w:after="0" w:line="220"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As of June 30, 2020, we have not recognized a valuation allowance against our other foreign deferred tax assets, as realization is considered to be more likely than not.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maintains its assertion that all foreign earnings will be indefinitely reinvested in those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June 30, 2020 and December 31, 2019.</w:t>
      </w:r>
    </w:p>
    <w:p>
      <w:pPr>
        <w:spacing w:after="0" w:line="220"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2019 remain subject to examination by the Internal Revenue Service (“IRS”) due to our net operating loss carryforwards. Our U.S. tax matters for the years 2000 through 2019 remain subject to examination by various state and local tax jurisdictions due to our net operating loss carryforwards. Our tax matters for the years 2010 through 2019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0" w:hanging="353"/>
        <w:spacing w:after="0"/>
        <w:tabs>
          <w:tab w:leader="none" w:pos="3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0"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Company has operating leases predominantly for operating facilities. As of June 30, 2020, the remaining lease terms on our operating leases range from approximately 1 to 4 years. Renewal options to extend our leases have been exercised. Termination options are not reasonably certain of exercise by the Company. There is no transfer of title or option to purchase the leased assets upon expiration. There are no residual value guarantees or material restrictive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jc w:val="right"/>
              <w:ind w:right="197"/>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8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line="190"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w w:val="91"/>
              </w:rPr>
              <w:t>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240"/>
              <w:spacing w:after="0" w:line="190" w:lineRule="exact"/>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6"/>
                <w:szCs w:val="16"/>
                <w:color w:val="auto"/>
              </w:rPr>
            </w:pPr>
          </w:p>
        </w:tc>
      </w:tr>
      <w:tr>
        <w:trPr>
          <w:trHeight w:val="231"/>
        </w:trPr>
        <w:tc>
          <w:tcPr>
            <w:tcW w:w="80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80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168</w:t>
            </w:r>
          </w:p>
        </w:tc>
        <w:tc>
          <w:tcPr>
            <w:tcW w:w="78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145</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79"/>
              </w:rPr>
              <w:t>336</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290</w:t>
            </w:r>
          </w:p>
        </w:tc>
        <w:tc>
          <w:tcPr>
            <w:tcW w:w="2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Variable lease cost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79"/>
              </w:rPr>
              <w:t>36</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27"/>
        </w:trPr>
        <w:tc>
          <w:tcPr>
            <w:tcW w:w="800" w:type="dxa"/>
            <w:vAlign w:val="bottom"/>
          </w:tcPr>
          <w:p>
            <w:pPr>
              <w:spacing w:after="0"/>
              <w:rPr>
                <w:sz w:val="19"/>
                <w:szCs w:val="19"/>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w:t>
            </w:r>
          </w:p>
        </w:tc>
        <w:tc>
          <w:tcPr>
            <w:tcW w:w="78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166</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79"/>
              </w:rPr>
              <w:t>372</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332</w:t>
            </w:r>
          </w:p>
        </w:tc>
        <w:tc>
          <w:tcPr>
            <w:tcW w:w="2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5940" w:type="dxa"/>
            <w:vAlign w:val="bottom"/>
            <w:gridSpan w:val="2"/>
          </w:tcPr>
          <w:p>
            <w:pPr>
              <w:jc w:val="right"/>
              <w:ind w:right="931"/>
              <w:spacing w:after="0"/>
              <w:rPr>
                <w:sz w:val="20"/>
                <w:szCs w:val="20"/>
                <w:color w:val="auto"/>
              </w:rPr>
            </w:pPr>
            <w:r>
              <w:rPr>
                <w:rFonts w:ascii="Arial" w:cs="Arial" w:eastAsia="Arial" w:hAnsi="Arial"/>
                <w:sz w:val="18"/>
                <w:szCs w:val="18"/>
                <w:color w:val="auto"/>
                <w:w w:val="89"/>
              </w:rPr>
              <w:t>Supplemental cash flow information related to leases was as follows: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557"/>
              <w:spacing w:after="0"/>
              <w:rPr>
                <w:sz w:val="20"/>
                <w:szCs w:val="20"/>
                <w:color w:val="auto"/>
              </w:rPr>
            </w:pPr>
            <w:r>
              <w:rPr>
                <w:rFonts w:ascii="Arial" w:cs="Arial" w:eastAsia="Arial" w:hAnsi="Arial"/>
                <w:sz w:val="18"/>
                <w:szCs w:val="18"/>
                <w:b w:val="1"/>
                <w:bCs w:val="1"/>
                <w:color w:val="auto"/>
                <w:w w:val="86"/>
              </w:rPr>
              <w:t>Six months ended</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8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5"/>
          </w:tcPr>
          <w:p>
            <w:pPr>
              <w:jc w:val="right"/>
              <w:ind w:right="540"/>
              <w:spacing w:after="0" w:line="189"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57"/>
              <w:spacing w:after="0" w:line="189" w:lineRule="exact"/>
              <w:rPr>
                <w:sz w:val="20"/>
                <w:szCs w:val="20"/>
                <w:color w:val="auto"/>
              </w:rPr>
            </w:pPr>
            <w:r>
              <w:rPr>
                <w:rFonts w:ascii="Arial" w:cs="Arial" w:eastAsia="Arial" w:hAnsi="Arial"/>
                <w:sz w:val="18"/>
                <w:szCs w:val="18"/>
                <w:b w:val="1"/>
                <w:bCs w:val="1"/>
                <w:color w:val="auto"/>
                <w:w w:val="94"/>
              </w:rPr>
              <w:t>June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8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80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0"/>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5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329</w:t>
            </w: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283</w:t>
            </w:r>
          </w:p>
        </w:tc>
        <w:tc>
          <w:tcPr>
            <w:tcW w:w="20" w:type="dxa"/>
            <w:vAlign w:val="bottom"/>
          </w:tcPr>
          <w:p>
            <w:pPr>
              <w:spacing w:after="0"/>
              <w:rPr>
                <w:sz w:val="18"/>
                <w:szCs w:val="18"/>
                <w:color w:val="auto"/>
              </w:rPr>
            </w:pPr>
          </w:p>
        </w:tc>
      </w:tr>
      <w:tr>
        <w:trPr>
          <w:trHeight w:val="207"/>
        </w:trPr>
        <w:tc>
          <w:tcPr>
            <w:tcW w:w="800" w:type="dxa"/>
            <w:vAlign w:val="bottom"/>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131</w:t>
            </w:r>
          </w:p>
        </w:tc>
        <w:tc>
          <w:tcPr>
            <w:tcW w:w="20" w:type="dxa"/>
            <w:vAlign w:val="bottom"/>
          </w:tcPr>
          <w:p>
            <w:pPr>
              <w:spacing w:after="0"/>
              <w:rPr>
                <w:sz w:val="17"/>
                <w:szCs w:val="17"/>
                <w:color w:val="auto"/>
              </w:rPr>
            </w:pPr>
          </w:p>
        </w:tc>
      </w:tr>
      <w:tr>
        <w:trPr>
          <w:trHeight w:val="419"/>
        </w:trPr>
        <w:tc>
          <w:tcPr>
            <w:tcW w:w="5940" w:type="dxa"/>
            <w:vAlign w:val="bottom"/>
            <w:gridSpan w:val="2"/>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Balance sheet classification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32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1,539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Current operating lease liability</w:t>
            </w:r>
          </w:p>
        </w:tc>
        <w:tc>
          <w:tcPr>
            <w:tcW w:w="3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Accrued expenses and other current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tcPr>
          <w:p>
            <w:pPr>
              <w:spacing w:after="0" w:line="199" w:lineRule="exact"/>
              <w:rPr>
                <w:sz w:val="20"/>
                <w:szCs w:val="20"/>
                <w:color w:val="auto"/>
              </w:rPr>
            </w:pPr>
            <w:r>
              <w:rPr>
                <w:rFonts w:ascii="Arial" w:cs="Arial" w:eastAsia="Arial" w:hAnsi="Arial"/>
                <w:sz w:val="18"/>
                <w:szCs w:val="18"/>
                <w:color w:val="auto"/>
              </w:rPr>
              <w:t>Operating lease liability, net of current</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967</w:t>
            </w:r>
          </w:p>
        </w:tc>
        <w:tc>
          <w:tcPr>
            <w:tcW w:w="200" w:type="dxa"/>
            <w:vAlign w:val="bottom"/>
            <w:vMerge w:val="restart"/>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portion</w:t>
            </w:r>
          </w:p>
        </w:tc>
        <w:tc>
          <w:tcPr>
            <w:tcW w:w="32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3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Weighted-average remaining lease term (years)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120" w:type="dxa"/>
            <w:vAlign w:val="bottom"/>
            <w:gridSpan w:val="4"/>
          </w:tcPr>
          <w:p>
            <w:pPr>
              <w:spacing w:after="0"/>
              <w:rPr>
                <w:sz w:val="20"/>
                <w:szCs w:val="20"/>
                <w:color w:val="auto"/>
              </w:rPr>
            </w:pPr>
            <w:r>
              <w:rPr>
                <w:rFonts w:ascii="Arial" w:cs="Arial" w:eastAsia="Arial" w:hAnsi="Arial"/>
                <w:sz w:val="18"/>
                <w:szCs w:val="18"/>
                <w:color w:val="auto"/>
              </w:rPr>
              <w:t>Future minimum lease payments as of June 30, 2020 are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Maturity of Operating Lease Liabilities</w:t>
            </w:r>
          </w:p>
        </w:tc>
        <w:tc>
          <w:tcPr>
            <w:tcW w:w="3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40" w:type="dxa"/>
            <w:vAlign w:val="bottom"/>
            <w:gridSpan w:val="2"/>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gridSpan w:val="2"/>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2021</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gridSpan w:val="2"/>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gridSpan w:val="2"/>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2023</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gridSpan w:val="2"/>
          </w:tcPr>
          <w:p>
            <w:pPr>
              <w:spacing w:after="0"/>
              <w:rPr>
                <w:sz w:val="18"/>
                <w:szCs w:val="18"/>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3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lease payments</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4"/>
              </w:rPr>
              <w:t>Present value of remaining lease payments</w:t>
            </w:r>
          </w:p>
        </w:tc>
        <w:tc>
          <w:tcPr>
            <w:tcW w:w="3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20" w:top="125" w:right="239" w:bottom="0" w:gutter="0" w:footer="0" w:header="0"/>
        </w:sectPr>
      </w:pPr>
    </w:p>
    <w:bookmarkStart w:id="11" w:name="page12"/>
    <w:bookmarkEnd w:id="11"/>
    <w:p>
      <w:pPr>
        <w:spacing w:after="0" w:line="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have made commitments to purchase approximately $1,322 of production machinery and equipment.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 Product Warranties</w:t>
      </w:r>
    </w:p>
    <w:p>
      <w:pPr>
        <w:spacing w:after="0" w:line="220"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six months of 2020 and 2019 were as follows:</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2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8"/>
                <w:szCs w:val="18"/>
                <w:b w:val="1"/>
                <w:bCs w:val="1"/>
                <w:color w:val="auto"/>
              </w:rPr>
              <w:t>Six-month period ended June 30,</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5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3180" w:type="dxa"/>
            <w:vAlign w:val="bottom"/>
            <w:gridSpan w:val="2"/>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220" w:type="dxa"/>
            <w:vAlign w:val="bottom"/>
            <w:shd w:val="clear" w:color="auto" w:fill="CCEEFF"/>
          </w:tcPr>
          <w:p>
            <w:pPr>
              <w:jc w:val="right"/>
              <w:ind w:right="1062"/>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r>
      <w:tr>
        <w:trPr>
          <w:trHeight w:val="213"/>
        </w:trPr>
        <w:tc>
          <w:tcPr>
            <w:tcW w:w="5060" w:type="dxa"/>
            <w:vAlign w:val="bottom"/>
          </w:tcPr>
          <w:p>
            <w:pPr>
              <w:spacing w:after="0"/>
              <w:rPr>
                <w:sz w:val="20"/>
                <w:szCs w:val="20"/>
                <w:color w:val="auto"/>
              </w:rPr>
            </w:pPr>
            <w:r>
              <w:rPr>
                <w:rFonts w:ascii="Arial" w:cs="Arial" w:eastAsia="Arial" w:hAnsi="Arial"/>
                <w:sz w:val="18"/>
                <w:szCs w:val="18"/>
                <w:color w:val="auto"/>
              </w:rPr>
              <w:t>Assumed warranty obligations</w:t>
            </w: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Accruals for warranties issued</w:t>
            </w:r>
          </w:p>
        </w:tc>
        <w:tc>
          <w:tcPr>
            <w:tcW w:w="2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13"/>
        </w:trPr>
        <w:tc>
          <w:tcPr>
            <w:tcW w:w="5060" w:type="dxa"/>
            <w:vAlign w:val="bottom"/>
          </w:tcPr>
          <w:p>
            <w:pPr>
              <w:spacing w:after="0"/>
              <w:rPr>
                <w:sz w:val="20"/>
                <w:szCs w:val="20"/>
                <w:color w:val="auto"/>
              </w:rPr>
            </w:pPr>
            <w:r>
              <w:rPr>
                <w:rFonts w:ascii="Arial" w:cs="Arial" w:eastAsia="Arial" w:hAnsi="Arial"/>
                <w:sz w:val="18"/>
                <w:szCs w:val="18"/>
                <w:color w:val="auto"/>
              </w:rPr>
              <w:t>Settlements made</w:t>
            </w: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ending</w:t>
            </w:r>
          </w:p>
        </w:tc>
        <w:tc>
          <w:tcPr>
            <w:tcW w:w="3180" w:type="dxa"/>
            <w:vAlign w:val="bottom"/>
            <w:gridSpan w:val="2"/>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220" w:type="dxa"/>
            <w:vAlign w:val="bottom"/>
            <w:shd w:val="clear" w:color="auto" w:fill="CCEEFF"/>
          </w:tcPr>
          <w:p>
            <w:pPr>
              <w:jc w:val="right"/>
              <w:ind w:right="1062"/>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0"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that are reasonably possible at this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REVENUE RECOGNITION</w:t>
      </w:r>
    </w:p>
    <w:p>
      <w:pPr>
        <w:spacing w:after="0" w:line="220"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80"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Revenues recognized from prior period performance obligations for the six-month periods ended June 30, 2020 and 2019 were not material. Deferred revenue, unbilled revenue and deferred contract costs recorded on our consolidated balance sheets as of June 30, 2020 and December 31, 2019 were not material. As of June 30, 2020 and December 31, 2019,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7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BUSINESS SEGMENT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1"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60" w:type="dxa"/>
            <w:vAlign w:val="bottom"/>
            <w:gridSpan w:val="2"/>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7"/>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Three-month period ended June 30, 2020: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1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Energy</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Communications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1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7"/>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24,036</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28,560</w:t>
            </w:r>
          </w:p>
        </w:tc>
      </w:tr>
      <w:tr>
        <w:trPr>
          <w:trHeight w:val="213"/>
        </w:trPr>
        <w:tc>
          <w:tcPr>
            <w:tcW w:w="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Segment contribution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6,026</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(5,669)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13"/>
        </w:trPr>
        <w:tc>
          <w:tcPr>
            <w:tcW w:w="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Tax provision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r>
      <w:tr>
        <w:trPr>
          <w:trHeight w:val="213"/>
        </w:trPr>
        <w:tc>
          <w:tcPr>
            <w:tcW w:w="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26"/>
        </w:trPr>
        <w:tc>
          <w:tcPr>
            <w:tcW w:w="1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9"/>
                <w:szCs w:val="19"/>
                <w:color w:val="auto"/>
              </w:rPr>
            </w:pPr>
          </w:p>
        </w:tc>
      </w:tr>
    </w:tbl>
    <w:p>
      <w:pPr>
        <w:sectPr>
          <w:pgSz w:w="11900" w:h="16885" w:orient="portrait"/>
          <w:cols w:equalWidth="0" w:num="1">
            <w:col w:w="11340"/>
          </w:cols>
          <w:pgMar w:left="320" w:top="125" w:right="239" w:bottom="0" w:gutter="0" w:footer="0" w:header="0"/>
        </w:sectPr>
      </w:pPr>
    </w:p>
    <w:bookmarkStart w:id="12" w:name="page13"/>
    <w:bookmarkEnd w:id="12"/>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Three-month period ended June 30, 2019:</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0"/>
        </w:trPr>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7"/>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5"/>
              </w:rPr>
              <w:t>Corporate</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29,397</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Segment contribution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5,655</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(5,823)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Tax provision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26"/>
        </w:trPr>
        <w:tc>
          <w:tcPr>
            <w:tcW w:w="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Six-month period ended June 30, 2020:</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7"/>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5"/>
              </w:rPr>
              <w:t>Corporate</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44,797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54,374</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Segment contribution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(11,518)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Tax provision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r>
      <w:tr>
        <w:trPr>
          <w:trHeight w:val="226"/>
        </w:trPr>
        <w:tc>
          <w:tcPr>
            <w:tcW w:w="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3"/>
        </w:trPr>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80" w:type="dxa"/>
            <w:vAlign w:val="bottom"/>
            <w:gridSpan w:val="2"/>
          </w:tcPr>
          <w:p>
            <w:pPr>
              <w:ind w:left="1180"/>
              <w:spacing w:after="0"/>
              <w:rPr>
                <w:sz w:val="20"/>
                <w:szCs w:val="20"/>
                <w:color w:val="auto"/>
              </w:rPr>
            </w:pPr>
            <w:r>
              <w:rPr>
                <w:rFonts w:ascii="Arial" w:cs="Arial" w:eastAsia="Arial" w:hAnsi="Arial"/>
                <w:sz w:val="18"/>
                <w:szCs w:val="18"/>
                <w:color w:val="auto"/>
                <w:w w:val="89"/>
              </w:rPr>
              <w:t>17</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360" w:type="dxa"/>
            <w:vAlign w:val="bottom"/>
            <w:tcBorders>
              <w:bottom w:val="single" w:sz="8" w:color="9A9A9A"/>
            </w:tcBorders>
            <w:gridSpan w:val="2"/>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r>
        <w:trPr>
          <w:trHeight w:val="799"/>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Six-month period ended June 30, 2019:</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7"/>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5"/>
              </w:rPr>
              <w:t>Corporate</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36,298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48,279</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Segment contribution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10,065</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(10,359)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Tax provision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r>
      <w:tr>
        <w:trPr>
          <w:trHeight w:val="226"/>
        </w:trPr>
        <w:tc>
          <w:tcPr>
            <w:tcW w:w="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-1888490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-1896745</wp:posOffset>
            </wp:positionV>
            <wp:extent cx="82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and Government/Defense Revenue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Three-month period ended June 30, 2020:</w:t>
      </w:r>
    </w:p>
    <w:p>
      <w:pPr>
        <w:sectPr>
          <w:pgSz w:w="11900" w:h="16884" w:orient="portrait"/>
          <w:cols w:equalWidth="0" w:num="1">
            <w:col w:w="11240"/>
          </w:cols>
          <w:pgMar w:left="320" w:top="33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Three-month period ended June 30, 2019:</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Six-month period ended June 30, 2020: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Government/</w:t>
            </w:r>
          </w:p>
        </w:tc>
      </w:tr>
      <w:tr>
        <w:trPr>
          <w:trHeight w:val="226"/>
        </w:trPr>
        <w:tc>
          <w:tcPr>
            <w:tcW w:w="240" w:type="dxa"/>
            <w:vAlign w:val="bottom"/>
          </w:tcPr>
          <w:p>
            <w:pPr>
              <w:spacing w:after="0"/>
              <w:rPr>
                <w:sz w:val="19"/>
                <w:szCs w:val="19"/>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19"/>
                <w:szCs w:val="19"/>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Commercial</w:t>
            </w:r>
          </w:p>
        </w:tc>
        <w:tc>
          <w:tcPr>
            <w:tcW w:w="18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Defense</w:t>
            </w:r>
          </w:p>
        </w:tc>
      </w:tr>
      <w:tr>
        <w:trPr>
          <w:trHeight w:val="194"/>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24,036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16,172</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7,864</w:t>
            </w:r>
          </w:p>
        </w:tc>
        <w:tc>
          <w:tcPr>
            <w:tcW w:w="140" w:type="dxa"/>
            <w:vAlign w:val="bottom"/>
          </w:tcPr>
          <w:p>
            <w:pPr>
              <w:spacing w:after="0"/>
              <w:rPr>
                <w:sz w:val="16"/>
                <w:szCs w:val="16"/>
                <w:color w:val="auto"/>
              </w:rPr>
            </w:pPr>
          </w:p>
        </w:tc>
      </w:tr>
      <w:tr>
        <w:trPr>
          <w:trHeight w:val="226"/>
        </w:trPr>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4,524</w:t>
            </w:r>
          </w:p>
        </w:tc>
        <w:tc>
          <w:tcPr>
            <w:tcW w:w="140" w:type="dxa"/>
            <w:vAlign w:val="bottom"/>
          </w:tcPr>
          <w:p>
            <w:pPr>
              <w:spacing w:after="0"/>
              <w:rPr>
                <w:sz w:val="19"/>
                <w:szCs w:val="19"/>
                <w:color w:val="auto"/>
              </w:rPr>
            </w:pPr>
          </w:p>
        </w:tc>
      </w:tr>
      <w:tr>
        <w:trPr>
          <w:trHeight w:val="208"/>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28,560</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16,172</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57%</w:t>
            </w:r>
          </w:p>
        </w:tc>
        <w:tc>
          <w:tcPr>
            <w:tcW w:w="1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i w:val="1"/>
                <w:iCs w:val="1"/>
                <w:color w:val="auto"/>
              </w:rPr>
              <w:t>43%</w:t>
            </w:r>
          </w:p>
        </w:tc>
      </w:tr>
      <w:tr>
        <w:trPr>
          <w:trHeight w:val="827"/>
        </w:trPr>
        <w:tc>
          <w:tcPr>
            <w:tcW w:w="240" w:type="dxa"/>
            <w:vAlign w:val="bottom"/>
          </w:tcPr>
          <w:p>
            <w:pPr>
              <w:spacing w:after="0"/>
              <w:rPr>
                <w:sz w:val="24"/>
                <w:szCs w:val="2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Government/</w:t>
            </w:r>
          </w:p>
        </w:tc>
      </w:tr>
      <w:tr>
        <w:trPr>
          <w:trHeight w:val="226"/>
        </w:trPr>
        <w:tc>
          <w:tcPr>
            <w:tcW w:w="240" w:type="dxa"/>
            <w:vAlign w:val="bottom"/>
          </w:tcPr>
          <w:p>
            <w:pPr>
              <w:spacing w:after="0"/>
              <w:rPr>
                <w:sz w:val="19"/>
                <w:szCs w:val="19"/>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19"/>
                <w:szCs w:val="19"/>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Commercial</w:t>
            </w:r>
          </w:p>
        </w:tc>
        <w:tc>
          <w:tcPr>
            <w:tcW w:w="18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Defense</w:t>
            </w:r>
          </w:p>
        </w:tc>
      </w:tr>
      <w:tr>
        <w:trPr>
          <w:trHeight w:val="194"/>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20,300</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15,049</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5,251</w:t>
            </w:r>
          </w:p>
        </w:tc>
        <w:tc>
          <w:tcPr>
            <w:tcW w:w="140" w:type="dxa"/>
            <w:vAlign w:val="bottom"/>
          </w:tcPr>
          <w:p>
            <w:pPr>
              <w:spacing w:after="0"/>
              <w:rPr>
                <w:sz w:val="16"/>
                <w:szCs w:val="16"/>
                <w:color w:val="auto"/>
              </w:rPr>
            </w:pPr>
          </w:p>
        </w:tc>
      </w:tr>
      <w:tr>
        <w:trPr>
          <w:trHeight w:val="226"/>
        </w:trPr>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9,097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9,097</w:t>
            </w:r>
          </w:p>
        </w:tc>
        <w:tc>
          <w:tcPr>
            <w:tcW w:w="140" w:type="dxa"/>
            <w:vAlign w:val="bottom"/>
          </w:tcPr>
          <w:p>
            <w:pPr>
              <w:spacing w:after="0"/>
              <w:rPr>
                <w:sz w:val="19"/>
                <w:szCs w:val="19"/>
                <w:color w:val="auto"/>
              </w:rPr>
            </w:pPr>
          </w:p>
        </w:tc>
      </w:tr>
      <w:tr>
        <w:trPr>
          <w:trHeight w:val="208"/>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29,397</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15,049</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14,348</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51%</w:t>
            </w:r>
          </w:p>
        </w:tc>
        <w:tc>
          <w:tcPr>
            <w:tcW w:w="1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i w:val="1"/>
                <w:iCs w:val="1"/>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-1845945</wp:posOffset>
            </wp:positionV>
            <wp:extent cx="6990080" cy="135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0080" cy="135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-1566545</wp:posOffset>
            </wp:positionV>
            <wp:extent cx="6990080" cy="161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0080" cy="16129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-583565</wp:posOffset>
            </wp:positionV>
            <wp:extent cx="6990080" cy="13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0080" cy="135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-304165</wp:posOffset>
            </wp:positionV>
            <wp:extent cx="6990080" cy="161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0080" cy="161290"/>
                    </a:xfrm>
                    <a:prstGeom prst="rect">
                      <a:avLst/>
                    </a:prstGeom>
                    <a:noFill/>
                  </pic:spPr>
                </pic:pic>
              </a:graphicData>
            </a:graphic>
          </wp:anchor>
        </w:drawing>
      </w:r>
    </w:p>
    <w:p>
      <w:pPr>
        <w:spacing w:after="0" w:line="577" w:lineRule="exact"/>
        <w:rPr>
          <w:sz w:val="20"/>
          <w:szCs w:val="20"/>
          <w:color w:val="auto"/>
        </w:rPr>
      </w:pPr>
    </w:p>
    <w:p>
      <w:pPr>
        <w:sectPr>
          <w:pgSz w:w="11900" w:h="16884" w:orient="portrait"/>
          <w:cols w:equalWidth="0" w:num="2">
            <w:col w:w="5540" w:space="720"/>
            <w:col w:w="4980"/>
          </w:cols>
          <w:pgMar w:left="320" w:top="335" w:right="339" w:bottom="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Six-month period ended June 30, 2019:</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Government/</w:t>
            </w:r>
          </w:p>
        </w:tc>
      </w:tr>
      <w:tr>
        <w:trPr>
          <w:trHeight w:val="226"/>
        </w:trPr>
        <w:tc>
          <w:tcPr>
            <w:tcW w:w="240" w:type="dxa"/>
            <w:vAlign w:val="bottom"/>
          </w:tcPr>
          <w:p>
            <w:pPr>
              <w:spacing w:after="0"/>
              <w:rPr>
                <w:sz w:val="19"/>
                <w:szCs w:val="19"/>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19"/>
                <w:szCs w:val="19"/>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Commercial</w:t>
            </w:r>
          </w:p>
        </w:tc>
        <w:tc>
          <w:tcPr>
            <w:tcW w:w="18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Defense</w:t>
            </w:r>
          </w:p>
        </w:tc>
      </w:tr>
      <w:tr>
        <w:trPr>
          <w:trHeight w:val="194"/>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44,797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30,974</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13,823</w:t>
            </w:r>
          </w:p>
        </w:tc>
        <w:tc>
          <w:tcPr>
            <w:tcW w:w="140" w:type="dxa"/>
            <w:vAlign w:val="bottom"/>
          </w:tcPr>
          <w:p>
            <w:pPr>
              <w:spacing w:after="0"/>
              <w:rPr>
                <w:sz w:val="16"/>
                <w:szCs w:val="16"/>
                <w:color w:val="auto"/>
              </w:rPr>
            </w:pPr>
          </w:p>
        </w:tc>
      </w:tr>
      <w:tr>
        <w:trPr>
          <w:trHeight w:val="226"/>
        </w:trPr>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9,577</w:t>
            </w:r>
          </w:p>
        </w:tc>
        <w:tc>
          <w:tcPr>
            <w:tcW w:w="140" w:type="dxa"/>
            <w:vAlign w:val="bottom"/>
          </w:tcPr>
          <w:p>
            <w:pPr>
              <w:spacing w:after="0"/>
              <w:rPr>
                <w:sz w:val="19"/>
                <w:szCs w:val="19"/>
                <w:color w:val="auto"/>
              </w:rPr>
            </w:pPr>
          </w:p>
        </w:tc>
      </w:tr>
      <w:tr>
        <w:trPr>
          <w:trHeight w:val="208"/>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54,374</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57%</w:t>
            </w:r>
          </w:p>
        </w:tc>
        <w:tc>
          <w:tcPr>
            <w:tcW w:w="1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i w:val="1"/>
                <w:iCs w:val="1"/>
                <w:color w:val="auto"/>
              </w:rPr>
              <w:t>43%</w:t>
            </w:r>
          </w:p>
        </w:tc>
      </w:tr>
      <w:tr>
        <w:trPr>
          <w:trHeight w:val="840"/>
        </w:trPr>
        <w:tc>
          <w:tcPr>
            <w:tcW w:w="240" w:type="dxa"/>
            <w:vAlign w:val="bottom"/>
          </w:tcPr>
          <w:p>
            <w:pPr>
              <w:spacing w:after="0"/>
              <w:rPr>
                <w:sz w:val="24"/>
                <w:szCs w:val="2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Commercial</w:t>
            </w:r>
          </w:p>
        </w:tc>
        <w:tc>
          <w:tcPr>
            <w:tcW w:w="1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Government/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-1116965</wp:posOffset>
            </wp:positionV>
            <wp:extent cx="6990080" cy="13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0080" cy="135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-837565</wp:posOffset>
            </wp:positionV>
            <wp:extent cx="6990080" cy="161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0080" cy="161290"/>
                    </a:xfrm>
                    <a:prstGeom prst="rect">
                      <a:avLst/>
                    </a:prstGeom>
                    <a:noFill/>
                  </pic:spPr>
                </pic:pic>
              </a:graphicData>
            </a:graphic>
          </wp:anchor>
        </w:drawing>
      </w:r>
    </w:p>
    <w:p>
      <w:pPr>
        <w:sectPr>
          <w:pgSz w:w="11900" w:h="16884" w:orient="portrait"/>
          <w:cols w:equalWidth="0" w:num="2">
            <w:col w:w="5540" w:space="720"/>
            <w:col w:w="4980"/>
          </w:cols>
          <w:pgMar w:left="320" w:top="335" w:right="339" w:bottom="0" w:gutter="0" w:footer="0" w:header="0"/>
          <w:type w:val="continuous"/>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Defense</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36,298</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25,059</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Communications Systems</w:t>
            </w:r>
          </w:p>
        </w:tc>
        <w:tc>
          <w:tcPr>
            <w:tcW w:w="2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7"/>
        </w:trPr>
        <w:tc>
          <w:tcPr>
            <w:tcW w:w="16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48,279</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25,059</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23,220</w:t>
            </w:r>
          </w:p>
        </w:tc>
        <w:tc>
          <w:tcPr>
            <w:tcW w:w="6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52%</w:t>
            </w:r>
          </w:p>
        </w:tc>
        <w:tc>
          <w:tcPr>
            <w:tcW w:w="2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48%</w:t>
            </w:r>
          </w:p>
        </w:tc>
        <w:tc>
          <w:tcPr>
            <w:tcW w:w="60" w:type="dxa"/>
            <w:vAlign w:val="bottom"/>
          </w:tcPr>
          <w:p>
            <w:pPr>
              <w:spacing w:after="0"/>
              <w:rPr>
                <w:sz w:val="17"/>
                <w:szCs w:val="17"/>
                <w:color w:val="auto"/>
              </w:rPr>
            </w:pPr>
          </w:p>
        </w:tc>
      </w:tr>
      <w:tr>
        <w:trPr>
          <w:trHeight w:val="413"/>
        </w:trPr>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40" w:type="dxa"/>
            <w:vAlign w:val="bottom"/>
          </w:tcPr>
          <w:p>
            <w:pPr>
              <w:jc w:val="right"/>
              <w:ind w:right="45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and Non-U.S. Revenue Information</w:t>
      </w:r>
      <w:r>
        <w:rPr>
          <w:rFonts w:ascii="Arial" w:cs="Arial" w:eastAsia="Arial" w:hAnsi="Arial"/>
          <w:sz w:val="13"/>
          <w:szCs w:val="13"/>
          <w:u w:val="single" w:color="auto"/>
          <w:color w:val="auto"/>
        </w:rPr>
        <w:t>1</w:t>
      </w:r>
      <w:r>
        <w:rPr>
          <w:rFonts w:ascii="Arial" w:cs="Arial" w:eastAsia="Arial" w:hAnsi="Arial"/>
          <w:sz w:val="17"/>
          <w:szCs w:val="17"/>
          <w:u w:val="single" w:color="auto"/>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Three-month period ended June 30, 2020: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Three-month period ended June 30, 2019:</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Six-month period ended June 30,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Six-month period ended June 30, 2019: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8"/>
                <w:szCs w:val="18"/>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United</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Non-United</w:t>
            </w:r>
          </w:p>
        </w:tc>
      </w:tr>
      <w:tr>
        <w:trPr>
          <w:trHeight w:val="226"/>
        </w:trPr>
        <w:tc>
          <w:tcPr>
            <w:tcW w:w="240" w:type="dxa"/>
            <w:vAlign w:val="bottom"/>
          </w:tcPr>
          <w:p>
            <w:pPr>
              <w:spacing w:after="0"/>
              <w:rPr>
                <w:sz w:val="19"/>
                <w:szCs w:val="19"/>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Revenue</w:t>
            </w:r>
          </w:p>
        </w:tc>
        <w:tc>
          <w:tcPr>
            <w:tcW w:w="280" w:type="dxa"/>
            <w:vAlign w:val="bottom"/>
          </w:tcPr>
          <w:p>
            <w:pPr>
              <w:spacing w:after="0"/>
              <w:rPr>
                <w:sz w:val="19"/>
                <w:szCs w:val="19"/>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4"/>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24,036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14,195</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9,841</w:t>
            </w:r>
          </w:p>
        </w:tc>
        <w:tc>
          <w:tcPr>
            <w:tcW w:w="140" w:type="dxa"/>
            <w:vAlign w:val="bottom"/>
          </w:tcPr>
          <w:p>
            <w:pPr>
              <w:spacing w:after="0"/>
              <w:rPr>
                <w:sz w:val="16"/>
                <w:szCs w:val="16"/>
                <w:color w:val="auto"/>
              </w:rPr>
            </w:pPr>
          </w:p>
        </w:tc>
      </w:tr>
      <w:tr>
        <w:trPr>
          <w:trHeight w:val="226"/>
        </w:trPr>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4,224</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r>
      <w:tr>
        <w:trPr>
          <w:trHeight w:val="208"/>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28,560</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64%</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36%</w:t>
            </w:r>
          </w:p>
        </w:tc>
      </w:tr>
      <w:tr>
        <w:trPr>
          <w:trHeight w:val="827"/>
        </w:trPr>
        <w:tc>
          <w:tcPr>
            <w:tcW w:w="240" w:type="dxa"/>
            <w:vAlign w:val="bottom"/>
          </w:tcPr>
          <w:p>
            <w:pPr>
              <w:spacing w:after="0"/>
              <w:rPr>
                <w:sz w:val="24"/>
                <w:szCs w:val="2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4"/>
                <w:szCs w:val="2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United</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Non-United</w:t>
            </w:r>
          </w:p>
        </w:tc>
      </w:tr>
      <w:tr>
        <w:trPr>
          <w:trHeight w:val="226"/>
        </w:trPr>
        <w:tc>
          <w:tcPr>
            <w:tcW w:w="240" w:type="dxa"/>
            <w:vAlign w:val="bottom"/>
          </w:tcPr>
          <w:p>
            <w:pPr>
              <w:spacing w:after="0"/>
              <w:rPr>
                <w:sz w:val="19"/>
                <w:szCs w:val="19"/>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Revenue</w:t>
            </w:r>
          </w:p>
        </w:tc>
        <w:tc>
          <w:tcPr>
            <w:tcW w:w="280" w:type="dxa"/>
            <w:vAlign w:val="bottom"/>
          </w:tcPr>
          <w:p>
            <w:pPr>
              <w:spacing w:after="0"/>
              <w:rPr>
                <w:sz w:val="19"/>
                <w:szCs w:val="19"/>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4"/>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20,300</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10,843</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9,457</w:t>
            </w:r>
          </w:p>
        </w:tc>
        <w:tc>
          <w:tcPr>
            <w:tcW w:w="140" w:type="dxa"/>
            <w:vAlign w:val="bottom"/>
          </w:tcPr>
          <w:p>
            <w:pPr>
              <w:spacing w:after="0"/>
              <w:rPr>
                <w:sz w:val="16"/>
                <w:szCs w:val="16"/>
                <w:color w:val="auto"/>
              </w:rPr>
            </w:pPr>
          </w:p>
        </w:tc>
      </w:tr>
      <w:tr>
        <w:trPr>
          <w:trHeight w:val="226"/>
        </w:trPr>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9,097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8,897</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r>
      <w:tr>
        <w:trPr>
          <w:trHeight w:val="208"/>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29,397</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19,740</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9,657</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67%</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33%</w:t>
            </w:r>
          </w:p>
        </w:tc>
      </w:tr>
      <w:tr>
        <w:trPr>
          <w:trHeight w:val="827"/>
        </w:trPr>
        <w:tc>
          <w:tcPr>
            <w:tcW w:w="240" w:type="dxa"/>
            <w:vAlign w:val="bottom"/>
          </w:tcPr>
          <w:p>
            <w:pPr>
              <w:spacing w:after="0"/>
              <w:rPr>
                <w:sz w:val="24"/>
                <w:szCs w:val="2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4"/>
                <w:szCs w:val="2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United</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Non-United</w:t>
            </w:r>
          </w:p>
        </w:tc>
      </w:tr>
      <w:tr>
        <w:trPr>
          <w:trHeight w:val="226"/>
        </w:trPr>
        <w:tc>
          <w:tcPr>
            <w:tcW w:w="240" w:type="dxa"/>
            <w:vAlign w:val="bottom"/>
          </w:tcPr>
          <w:p>
            <w:pPr>
              <w:spacing w:after="0"/>
              <w:rPr>
                <w:sz w:val="19"/>
                <w:szCs w:val="19"/>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Revenue</w:t>
            </w:r>
          </w:p>
        </w:tc>
        <w:tc>
          <w:tcPr>
            <w:tcW w:w="280" w:type="dxa"/>
            <w:vAlign w:val="bottom"/>
          </w:tcPr>
          <w:p>
            <w:pPr>
              <w:spacing w:after="0"/>
              <w:rPr>
                <w:sz w:val="19"/>
                <w:szCs w:val="19"/>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4"/>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44,797</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25,479</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19,318</w:t>
            </w:r>
          </w:p>
        </w:tc>
        <w:tc>
          <w:tcPr>
            <w:tcW w:w="140" w:type="dxa"/>
            <w:vAlign w:val="bottom"/>
          </w:tcPr>
          <w:p>
            <w:pPr>
              <w:spacing w:after="0"/>
              <w:rPr>
                <w:sz w:val="16"/>
                <w:szCs w:val="16"/>
                <w:color w:val="auto"/>
              </w:rPr>
            </w:pPr>
          </w:p>
        </w:tc>
      </w:tr>
      <w:tr>
        <w:trPr>
          <w:trHeight w:val="226"/>
        </w:trPr>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9,577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8,577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r>
      <w:tr>
        <w:trPr>
          <w:trHeight w:val="208"/>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54,374</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34,056</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20,318</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63%</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37%</w:t>
            </w:r>
          </w:p>
        </w:tc>
      </w:tr>
      <w:tr>
        <w:trPr>
          <w:trHeight w:val="827"/>
        </w:trPr>
        <w:tc>
          <w:tcPr>
            <w:tcW w:w="240" w:type="dxa"/>
            <w:vAlign w:val="bottom"/>
          </w:tcPr>
          <w:p>
            <w:pPr>
              <w:spacing w:after="0"/>
              <w:rPr>
                <w:sz w:val="24"/>
                <w:szCs w:val="2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4"/>
                <w:szCs w:val="2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United</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Non-United</w:t>
            </w:r>
          </w:p>
        </w:tc>
      </w:tr>
      <w:tr>
        <w:trPr>
          <w:trHeight w:val="226"/>
        </w:trPr>
        <w:tc>
          <w:tcPr>
            <w:tcW w:w="240" w:type="dxa"/>
            <w:vAlign w:val="bottom"/>
          </w:tcPr>
          <w:p>
            <w:pPr>
              <w:spacing w:after="0"/>
              <w:rPr>
                <w:sz w:val="19"/>
                <w:szCs w:val="19"/>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Revenue</w:t>
            </w:r>
          </w:p>
        </w:tc>
        <w:tc>
          <w:tcPr>
            <w:tcW w:w="280" w:type="dxa"/>
            <w:vAlign w:val="bottom"/>
          </w:tcPr>
          <w:p>
            <w:pPr>
              <w:spacing w:after="0"/>
              <w:rPr>
                <w:sz w:val="19"/>
                <w:szCs w:val="19"/>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4"/>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36,298</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18,410</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17,888</w:t>
            </w:r>
          </w:p>
        </w:tc>
        <w:tc>
          <w:tcPr>
            <w:tcW w:w="140" w:type="dxa"/>
            <w:vAlign w:val="bottom"/>
          </w:tcPr>
          <w:p>
            <w:pPr>
              <w:spacing w:after="0"/>
              <w:rPr>
                <w:sz w:val="16"/>
                <w:szCs w:val="16"/>
                <w:color w:val="auto"/>
              </w:rPr>
            </w:pPr>
          </w:p>
        </w:tc>
      </w:tr>
      <w:tr>
        <w:trPr>
          <w:trHeight w:val="226"/>
        </w:trPr>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11,981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11,351</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r>
      <w:tr>
        <w:trPr>
          <w:trHeight w:val="208"/>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48,279</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29,761</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18,518</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62%</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-4370705</wp:posOffset>
            </wp:positionV>
            <wp:extent cx="6990080" cy="13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0080" cy="135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-4091305</wp:posOffset>
            </wp:positionV>
            <wp:extent cx="6990080" cy="161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0080" cy="16129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-3108325</wp:posOffset>
            </wp:positionV>
            <wp:extent cx="6990080" cy="135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0080" cy="135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-2828925</wp:posOffset>
            </wp:positionV>
            <wp:extent cx="6990080" cy="161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0080" cy="16129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-1845945</wp:posOffset>
            </wp:positionV>
            <wp:extent cx="6990080" cy="135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0080" cy="135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-1566545</wp:posOffset>
            </wp:positionV>
            <wp:extent cx="6990080" cy="161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0080" cy="16129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-583565</wp:posOffset>
            </wp:positionV>
            <wp:extent cx="6990080" cy="135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0080" cy="135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-304165</wp:posOffset>
            </wp:positionV>
            <wp:extent cx="6990080" cy="161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0080" cy="161290"/>
                    </a:xfrm>
                    <a:prstGeom prst="rect">
                      <a:avLst/>
                    </a:prstGeom>
                    <a:noFill/>
                  </pic:spPr>
                </pic:pic>
              </a:graphicData>
            </a:graphic>
          </wp:anchor>
        </w:drawing>
      </w:r>
    </w:p>
    <w:p>
      <w:pPr>
        <w:spacing w:after="0" w:line="186" w:lineRule="exact"/>
        <w:rPr>
          <w:sz w:val="20"/>
          <w:szCs w:val="20"/>
          <w:color w:val="auto"/>
        </w:rPr>
      </w:pPr>
    </w:p>
    <w:p>
      <w:pPr>
        <w:sectPr>
          <w:pgSz w:w="11900" w:h="16900" w:orient="portrait"/>
          <w:cols w:equalWidth="0" w:num="2">
            <w:col w:w="5540" w:space="720"/>
            <w:col w:w="4980"/>
          </w:cols>
          <w:pgMar w:left="320" w:top="125" w:right="339" w:bottom="0" w:gutter="0" w:footer="0" w:header="0"/>
          <w:type w:val="continuous"/>
        </w:sectPr>
      </w:pPr>
    </w:p>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Sales classified to U.S. include shipments to U.S.-based prime contractors which in some cases may serve non-U.S. projects.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effects of the novel coronavirus disease of 2019 (COVID-19);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entrance into new end-markets which could lead to additional financial exposure; fluctuations in the price of oil and the resulting impact on the level of downhole drilling; our ability to retain top management and key personnel; our resources being overwhelmed by our growth prospects; our inability to comply with changes to the regulations for the shipment of our products; our customers’ demand falling short of volume expectations in our supply agreements; possible impairments of our goodwill and other intangible assets; negative publicity of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w:t>
      </w:r>
    </w:p>
    <w:p>
      <w:pPr>
        <w:sectPr>
          <w:pgSz w:w="11900" w:h="16900" w:orient="portrait"/>
          <w:cols w:equalWidth="0" w:num="1">
            <w:col w:w="11240"/>
          </w:cols>
          <w:pgMar w:left="320" w:top="125" w:right="339" w:bottom="0" w:gutter="0" w:footer="0" w:header="0"/>
          <w:type w:val="continuous"/>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auto"/>
        </w:rPr>
        <w:t>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2019, and Item 1A, “Risk Factors” in Part II of this Form 10-Q.</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2019 to reflect new information or risks, future events or other developments.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and analysis should be read in conjunction with the Consolidated Financial Statements and Notes thereto in Part I, Item 1 of this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Form 10-Q, the Risk Factors in Part II, Item 1A of this Form 10-Q, and the Consolidated Financial Statements and Notes thereto and Risk Factors in our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Form 10-K for the year ended December 31, 2019.</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6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Batteries, Lithium Power</w:t>
      </w:r>
      <w:r>
        <w:rPr>
          <w:rFonts w:ascii="Arial" w:cs="Arial" w:eastAsia="Arial" w:hAnsi="Arial"/>
          <w:sz w:val="29"/>
          <w:szCs w:val="29"/>
          <w:color w:val="auto"/>
          <w:vertAlign w:val="superscript"/>
        </w:rPr>
        <w:t>®</w:t>
      </w:r>
      <w:r>
        <w:rPr>
          <w:rFonts w:ascii="Arial" w:cs="Arial" w:eastAsia="Arial" w:hAnsi="Arial"/>
          <w:sz w:val="18"/>
          <w:szCs w:val="18"/>
          <w:color w:val="auto"/>
        </w:rPr>
        <w:t>, McDowell Research</w:t>
      </w:r>
      <w:r>
        <w:rPr>
          <w:rFonts w:ascii="Arial" w:cs="Arial" w:eastAsia="Arial" w:hAnsi="Arial"/>
          <w:sz w:val="29"/>
          <w:szCs w:val="29"/>
          <w:color w:val="auto"/>
          <w:vertAlign w:val="superscript"/>
        </w:rPr>
        <w:t>®</w:t>
      </w:r>
      <w:r>
        <w:rPr>
          <w:rFonts w:ascii="Arial" w:cs="Arial" w:eastAsia="Arial" w:hAnsi="Arial"/>
          <w:sz w:val="18"/>
          <w:szCs w:val="18"/>
          <w:color w:val="auto"/>
        </w:rPr>
        <w:t>, AMTI</w:t>
      </w:r>
      <w:r>
        <w:rPr>
          <w:rFonts w:ascii="Arial" w:cs="Arial" w:eastAsia="Arial" w:hAnsi="Arial"/>
          <w:sz w:val="29"/>
          <w:szCs w:val="29"/>
          <w:color w:val="auto"/>
          <w:vertAlign w:val="superscript"/>
        </w:rPr>
        <w:t>TM</w:t>
      </w:r>
      <w:r>
        <w:rPr>
          <w:rFonts w:ascii="Arial" w:cs="Arial" w:eastAsia="Arial" w:hAnsi="Arial"/>
          <w:sz w:val="18"/>
          <w:szCs w:val="18"/>
          <w:color w:val="auto"/>
        </w:rPr>
        <w:t>, ABLE</w:t>
      </w:r>
      <w:r>
        <w:rPr>
          <w:rFonts w:ascii="Arial" w:cs="Arial" w:eastAsia="Arial" w:hAnsi="Arial"/>
          <w:sz w:val="29"/>
          <w:szCs w:val="29"/>
          <w:color w:val="auto"/>
          <w:vertAlign w:val="superscript"/>
        </w:rPr>
        <w:t>TM</w:t>
      </w:r>
      <w:r>
        <w:rPr>
          <w:rFonts w:ascii="Arial" w:cs="Arial" w:eastAsia="Arial" w:hAnsi="Arial"/>
          <w:sz w:val="18"/>
          <w:szCs w:val="18"/>
          <w:color w:val="auto"/>
        </w:rPr>
        <w:t>, ACCUTRONICS™, ACCUPRO™, ENTELLION™, SWE Southwest Electronic Energy Group™, SWE DRILL-DATA™, and SWE SEASAFE™ brands. We have sales, operations and product development facilities in North America, Europe and Asia.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 in Item 1 of Part I of this Form 10-Q.</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novel coronavirus disease of 2019 (COVID-19)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in addition to meeting the demand of our customers. As an essential supplier currently exempt from government-mandated shutdown directives, we are striving to ensure an uninterrupted flow of our mission critical products serving medical device, first responder, public safety, energy and national security customers. For the 2020 year-to-date period, we have maintained normal operations at all our facilities with the exception of an approximately one-month closure of our China facility as was mandated by the Chinese government through early March 2020.</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quarter ended March 31, 2020, our operating results were adversely affected by COVID-19, particularly as a result of the temporary shutdown of our China operation and supply chain disruptions. We estimate the effects of COVID-19 adversely impacted net income by approximately $500 for our first quarter. For the quarter ended June 30, 2020, we estimate that the net impact of COVID-19 to net income was immaterial. Demand for our medical batteries, especially those used in ventilators, respirators and infusion pumps, substantially increased during the second quarter; however, this increase was offset by delays in medical battery orders for devices used for elective surgeries and the overall disruptions in supply chains impacting both commercial and government/defense markets.</w:t>
      </w:r>
    </w:p>
    <w:p>
      <w:pPr>
        <w:sectPr>
          <w:pgSz w:w="11900" w:h="16838" w:orient="portrait"/>
          <w:cols w:equalWidth="0" w:num="1">
            <w:col w:w="11240"/>
          </w:cols>
          <w:pgMar w:left="320" w:top="125" w:right="339" w:bottom="0" w:gutter="0" w:footer="0" w:header="0"/>
        </w:sectPr>
      </w:pPr>
    </w:p>
    <w:bookmarkStart w:id="15" w:name="page16"/>
    <w:bookmarkEnd w:id="15"/>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in Part II of this Form 10-Q for risks and uncertainties related to COVID-19.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revenues of $28,560 for the three-month period ended June 30, 2020, decreased by $837 or 2.8%, from $29,397 for the three-month period ended June 30, 2019, as a significant increase in battery and charger sales from our medical and government/defense customers was offset by lower Communications Systems shipments during the quarter of vehicle amplifier-adaptor systems to support the U.S. Army’s Network Modernization initiatives under the delivery orders announced in October 2018. Shipments under these orders peaked in the second quarter of 2019 and were completed in the 2020 second quarter.</w:t>
      </w:r>
    </w:p>
    <w:p>
      <w:pPr>
        <w:spacing w:after="0" w:line="1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Gross profit was $7,963, or 27.9% of revenue, compared to $8,865, or 30.2% of revenue, for the same quarter a year ago. The 230-basis point decrease primarily resulted from costs associated with the transition of new products to higher volume production and supply chain disruptions relating to COVID-19 in 2020 for our Battery &amp; Energy Products business, partially offset by improved efficiencies and productivity in the production of vehicle amplifier-adaptor systems to fulfill U.S. Army orders for our Communications Systems business.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expenses decreased to $5,669 during the three-month period ended June 30, 2020, from $5,823 during the three-month period ended June 30, 2019. The decrease of $154 or 2.6% was attributable to $165 of direct costs incurred in the second quarter of 2019 to complete the acquisition of SWE. Operating expenses as a percentage of revenues was 19.8% for both the 2020 and 2019 periods.</w:t>
      </w:r>
    </w:p>
    <w:p>
      <w:pPr>
        <w:spacing w:after="0" w:line="18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Operating income for the three-month period ended June 30, 2020 was $2,294 or 8.0% of revenues compared to $3,042 or 10.3% of revenues for the year-earlier period. The 24.6% decrease in operating income primarily resulted from lower sales in our Communications Systems business.</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attributable to Ultralife was $1,658, or $0.10 per share – basic and diluted, for the three-month period ended June 30, 2020, compared to $2,256, or $0.14 per share – basic and diluted, for the three-month period ended June 30, 2019. Adjusted EPS was $0.13 on a diluted basis for the second quarter of 2020, representing a 29.4% decrease from Adjusted EPS on a diluted basis of $0.18 for the 2019 period. Adjusted EPS excludes the provision for deferred taxes of $391 and $641 for the 2020 and 2019 periods, respectively, which primarily represents non-cash charges for U.S. taxes which will be fully offset by net operating loss carryforwards and other tax credits for the foreseeable future. See the section “Adjusted EPS” beginning on Page 27 for a reconciliation of Adjusted EPS to EPS.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Adjusted EBITDA, defined as net income attributable to Ultralife before net interest expense, provision for income taxes, depreciation and amortization, and stock-based compensation expense, plus/minus expenses/income that we do not consider reflective of our ongoing operations, amounted to $3,307 or 11.6% of revenues in the second quarter of 2020 compared to $4,084 or 13.9% of revenues for the second quarter of 2019. See the section “Adjusted EBITDA” beginning on Page 26 for a reconciliation of Adjusted EBITDA to net income attributable to Ultralife.</w:t>
      </w:r>
    </w:p>
    <w:p>
      <w:pPr>
        <w:spacing w:after="0" w:line="201"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Altogether, our second quarter performance reinforces our view that Ultralife is durably positioned both to sustain profitability and positive cash flow/liquidity through a period of economic weakness and to execute on initiatives to drive future growth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June 30, 2020 and June 30, 2019</w:t>
      </w:r>
    </w:p>
    <w:p>
      <w:pPr>
        <w:spacing w:after="0" w:line="21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for the three-month period ended June 30, 2020 amounted to $28,560, a decrease of $837 or 2.8%, from $29,397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three-month period ended June 30, 2019. Overall, commercial sales increased 7.5% while government/defense sales decreased 13.7% from the 2019 period.</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Battery &amp; Energy Products revenues increased $3,736, or 18.4%, from $20,300 for the three-month period ended June 30, 2019 to $24,036 for the three-month period ended June 30, 2020. The increase was attributable to a 71.7% increase in medical sales resulting from an increase in demand for our batteries used in ventilators, respirators, infusion pumps and other medical devices associated with COVID-19 and a 49.8% increase in government/defense sales due primarily to higher demand from a large global defense contractor and the shipment of our legacy 5390 batteries under a firm fixed price delivery order received in December 2019. These increases were partially offset by 33.7% decrease in oil &amp; gas battery sales representative of current market conditions for that sector and an 18.9% decline in 9-Volt battery sales which we primarily attribute to COVID-19.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Communications Systems revenues decreased $4,573, or 50.3%, from $9,097 during the three-month period ended June 30, 2019 to $4,524 for the three-month period ended June 30, 2020. This decrease is attributable to higher 2019 shipments of mounted power amplifiers to support the U.S. Army’s Network Modernization and other initiatives under the delivery orders announced in October 2018 and 2019 shipments of Universal Vehicle Adaptors under an indefinite-delivery/indefinite-quantity contract with the Naval Air Warfare Center Aircraft Division announced in June 2019. The October 2018 delivery orders to the U.S. Army were completed in the 2020 second quarter.</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$20,597 for the quarter ended June 30, 2020, an increase of $65, or 0.3%,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$20,532 reported for the same three-month period a year ago. Consolidated cost of products sold as a percentage of total revenue increased from 69.8% for the three-month period ended June 30, 2019 to 72.1% for the three-month period ended June 30, 2020. Correspondingly, consolidated gross margin decreased from 30.2% for the three-month period ended June 30, 2019, to 27.9% for the three-month period ended June 30, 2020, primarily reflecting costs associated with the transition of new products to higher volume production and supply chain disruptions relating to COVID-19 in 2020 for our Battery &amp; Energy Products business, partially offset by improved efficiencies and productivity in the production of vehicle amplifier-adaptor systems to fulfill U.S. Army orders for our Communications Systems business.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Battery &amp; Energy Products segment, gross profit for the second quarter of 2020 was $6,026, an increase of $371 or 6.6% from gross profit of $5,655 for the second quarter of 2019. Battery &amp; Energy Products’ gross margin of 25.1% decreased by 280 basis points from the 27.9% gross margin for the year-earlier period, reflecting incremental costs associated with the transition of new products to higher volume production and for securing components in light of supply chain disruptions caused by COVID-19.</w:t>
      </w:r>
    </w:p>
    <w:p>
      <w:pPr>
        <w:sectPr>
          <w:pgSz w:w="11900" w:h="16923" w:orient="portrait"/>
          <w:cols w:equalWidth="0" w:num="1">
            <w:col w:w="11240"/>
          </w:cols>
          <w:pgMar w:left="320" w:top="125" w:right="339" w:bottom="0" w:gutter="0" w:footer="0" w:header="0"/>
        </w:sectPr>
      </w:pPr>
    </w:p>
    <w:bookmarkStart w:id="16" w:name="page17"/>
    <w:bookmarkEnd w:id="16"/>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For our Communications Systems segment, gross profit for the second quarter of 2020 was $1,937 or 42.8% of revenues, a decrease of $1,273 or 39.7%, from gross profit of 3,210, or 35.3% of revenues, for the second quarter of 2019. The 750-basis point increase in gross margin during 2020 is driven by efficiency and productivity improvements in the production of vehicle amplifier-adaptor systems to fulfill U.S. Army orders.</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three-month period ended June 30, 2020 were $5,669, a decrease of $154 or 2.6% from the $5,823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three-month period ended June 30, 2019. The decrease is attributable to $165 of one-time direct costs incurred in the 2019 period for the acquisition of SWE. Both periods reflected continued tight control over discretionary spending.</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Overall, operating expenses as a percentage of revenues were 19.8% for both the quarter ended June 30, 2020 and the quarter ended June 30, 2019. Amortization expense associated with intangible assets related to our acquisitions was $146 for the second quarter of 2020 ($116 in selling, general and administrative expenses and $30 in research and development costs), including $61 for SWE ($61 in selling, general and administrative expenses), compared with $132 for the second quarter of 2019 ($99 in selling, general, and administrative expenses and $33 in research and development costs), including $41 for SWE ($41 in selling, general and administrative expenses). Research and development costs were $1,275 for the three-month period ended June 30, 2020, a decrease of 312 or 19.6%, from $1,587 for the three-months ended June 30, 2019. The decrease is largely attributable to a realignment of some of the SWE engineering and technical resources to support manufacturing including the short cycle turnaround for a medical battery pack supporting a respirator application to serve the COVID-19 response, which was partially offset by a $55 or 10.0% increase in R&amp;D spending for our Communications Systems business. Selling, general, and administrative expenses increased $158 or 3.7%, to $4,394 for the second quarter of 2020 from $4,236 for the second quarter of 2019. The increase is primarily attributable to slightly higher general corporate expenses.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Other Expense. </w:t>
      </w:r>
      <w:r>
        <w:rPr>
          <w:rFonts w:ascii="Arial" w:cs="Arial" w:eastAsia="Arial" w:hAnsi="Arial"/>
          <w:sz w:val="16"/>
          <w:szCs w:val="16"/>
          <w:color w:val="auto"/>
        </w:rPr>
        <w:t>Other expense totaled $117 for the three-month period ended June 30, 2020 compared to $83 for the three-month period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2019. Interest and financing expense, net of interest income, decreased $8, from $114 for the second quarter of 2019 to $106 for the comparable period in</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2020. The decrease is primarily due to the reduction in the second quarter of 2020 of debt incurred in connection with the financing of the SWE acquisition. Miscellaneous expense amounted to $11 for the second quarter of 2020 compared with miscellaneous income of $31 for the second quarter of 2019, primarily representing net foreign currency losses and gains, respectively, realized on the translation of U.S.-denominated transactions and balances of Accutronics (U.K.). The slight currency loss realized in the second quarter of 2020 was attributable to the strengthening of the U.S dollar to the Pound Sterling by 0.3% (from the beginning to the end of the quarter) offset by a reduction in the U.S. dollar-denominated net asset base in our U.K. operation, versus income realized in the year-earlier period due to a 4.0% strengthening of the U.S dollar to the Pound Sterling.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tax provision for the 2020 second quarter was $499 compared to $676 for the second quarter of 2019. Our effective tax rate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slightly to 22.9% for the second quarter of 2020 as compared to 22.8% for the second quarter of 2019, primarily due to the geographic mix of earnings and discrete tax benefits realized on disqualifying dispositions of incentive stock options exercised by employees during the three-month periods. The income tax provision for the second quarter of 2020 is comprised of a $108 current provision for taxes expected to be paid on income from our foreign operations, representing a cash-based effective tax rate of 5.0%, and a $391 deferred tax provision which primarily represents non-cash charges for U.S. taxes which will be fully offset by net operating loss carryforwards and other tax credits for the foreseeable future. For the 2019 period, the income tax provision was comprised of a $35 current tax provision, representing a cash-based effective tax rate of 1.2%, and a $641 deferred tax provision. See Note 7 in the Notes to Consolidated Financial Statements in Item 1 of Part I of this Form 10-Q for additional information regarding our income taxes.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Adjusted EPS excludes the provision for deferred taxes of $391 and $641 for the 2020 and 2019 periods, respectively, which primarily represents non-cash charges for U.S. taxes which will be fully offset by net operating loss carryforwards and other tax credits for the foreseeable future. See the section “Adjusted EPS” beginning on Page 27 for a reconciliation of Adjusted EPS to EPS.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was $1,658, or $0.10 per share – basic and diluted, for the three-month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2020, compared to $2,256, or $0.14 per share – basic and diluted, for the three-month period ended June 30, 2019. Adjusted EPS was $0.13 on a diluted basis for the second quarter of 2020, representing a 29.4% decrease from Adjusted EPS on a diluted basis of $0.18 for the 2019 period. Adjusted EPS excludes the provision for deferred income taxes which represents non-cash charges of $391 and $641 for the 2020 and 2019 periods, respectively, for income taxes which will be fully offset by deferred tax assets including past U.S. net operating losses and tax credit carryforwards. See the section “Adjusted EPS” beginning on Page 27 for a reconciliation of Adjusted EPS to EPS. Average weighted common shares outstanding used to compute diluted earnings per share decreased from 16,192,692 in the second quarter of 2019 to 16,133,015 in the second quarter of 2020. The decrease in 2020 is attributable to stock option exercises since the second quarter of 2019 and a decrease in the weighted average stock price used to compute diluted shares from $9.15 for the second quarter of 2019 to $7.18 for the second quarter of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Periods Ended June 30, 2020 and June 30, 2019</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six-month period ended June 30, 2020 amounted to $54,374, an increase of $6,095 or 12.6%, from the $48,279</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six-month period ended June 30, 2019. Overall, commercial sales increased 23.6% and government/defense sales increased 0.8% from the six-month 2019 period.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Battery &amp; Energy Products revenues increased $8,499, or 23.4%, from $36,298 for the six-month period ended June 30, 2019 to $44,797 for the six-month period ended June 30, 2020. The growth was attributable to a $5,916 or 23.6% increase in commercial sales and a $2,584 or 23.0% increase in government/defense sales. The commercial growth primarily reflects a $3,464 or 31.6% increase in battery sales to medical customers and a $3,838 increase in sales to oil &amp; gas customers attributable to our acquisition of SWE on May 1, 2019, partially offset by a $1,386 sales decrease for 9-Volt and other commercial products primarily due to COVID-19.</w:t>
      </w:r>
    </w:p>
    <w:p>
      <w:pPr>
        <w:spacing w:after="0" w:line="19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Communications Systems revenues decreased $2,404, or 20.1%, from $11,981 during the six-month period ended June 30, 2019 to $9,577 for the six-month period ended June 30, 2020. This decrease is primarily attributable to higher 2019 shipments of mounted power amplifiers to support the U.S. Army’s Network Modernization and other initiatives under the delivery orders announced in October 2018 and 2019 shipments of Universal Vehicle Adaptors under an indefinite-delivery/indefinite-quantity contract with the Naval Air Warfare Center Aircraft Division announced in June 2019.</w:t>
      </w:r>
    </w:p>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Cost of Products Sold / Gross Profit. </w:t>
      </w:r>
      <w:r>
        <w:rPr>
          <w:rFonts w:ascii="Arial" w:cs="Arial" w:eastAsia="Arial" w:hAnsi="Arial"/>
          <w:sz w:val="16"/>
          <w:szCs w:val="16"/>
          <w:color w:val="auto"/>
        </w:rPr>
        <w:t>Cost of products sold totaled $39,077 for the six-month period ended June 30, 2020, an increase of $4,747 or 13.8%,</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$34,330 reported for the same six-month period a year ago. Consolidated cost of products sold as a percentage of total revenue increased from 71.1% for the six-month period ended June 30, 2019 to 71.9% for the six-month period ended June 30, 2020. Correspondingly, consolidated gross margin was 28.1% for the six-month period ended June 30, 2020, compared with 28.9% for the six-month period ended June 30, 2019, due primarily to product mix.</w:t>
      </w:r>
    </w:p>
    <w:p>
      <w:pPr>
        <w:sectPr>
          <w:pgSz w:w="11900" w:h="16900" w:orient="portrait"/>
          <w:cols w:equalWidth="0" w:num="1">
            <w:col w:w="11240"/>
          </w:cols>
          <w:pgMar w:left="320" w:top="339" w:right="339" w:bottom="0" w:gutter="0" w:footer="0" w:header="0"/>
        </w:sectPr>
      </w:pPr>
    </w:p>
    <w:bookmarkStart w:id="17" w:name="page18"/>
    <w:bookmarkEnd w:id="17"/>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gross margin for the 2019 period includes an adjustment to increase the opening inventory of SWE to fair market value in accordance with purchase accounting which resulted in a 40-basis point reduction in reported gross margin for the first half of 2019 upon sell through of the product during the second quarter of 2019. The decrease in gross margin for the 2020 period was primarily due to incremental costs associated with COVID-19 including an approximately one-month shutdown of our China operation as mandated by the Chinese government and supply chain disruptions, partially offset by improved efficiencies and productivity in the production of vehicle amplifier-adaptor systems to fulfill U.S. Army orders for our Communications Systems business.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our Battery &amp; Energy Products segment, the cost of products sold increased $7,222 or 27.5%, from $26,233 during the six-month period ended June 30, 2019 to $33,455 during the six-month period ended June 30, 2020. Battery &amp; Energy Products’ gross profit for the 2020 six-month period was $11,342 or 25.3% of revenues, an increase of $1,277 or 12.7% from gross profit of $10,065, or 27.7% of revenues, for the 2019 six-month period. Battery &amp; Energy Products’ gross margin decreased for the six-month period ended June 30, 2020 by 240 basis points, primarily due to incremental costs associated with COVID-19 including an approximately one-month shutdown of our China operation as mandated by the Chinese government and supply chain disruptions.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our Communications Systems segment, the cost of products sold decreased by $2,475 or 30.6% from $8,097 during the six-month period ended June 30, 2019 to $5,622 during the six-month period ended June 30, 2020. Communications Systems’ gross profit for the first six months of 2020 was $3,955 or 41.3% of revenues, an increase of $71 or 1.8% from gross profit of $3,884 or 32.4% of revenues, for the six-month period ended June 30, 2019. The increase in gross margin was primarily due to improved efficiencies and productivity in the production of vehicle amplifier-adaptor systems to fulfill U.S. Army orders.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six-month period ended June 30, 2020 totaled $11,518, an increase of $1,159 or 11.2%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$10,359 for the six-month period ended June 30, 2019. The increase is attributable to the acquisition of SWE on May 1, 2019, which contributed a year-over-year increase in operating expenses of $1,436. Excluding SWE results, operating expenses decreased $277 or 3.0% due to lower corporate expenses. Both periods reflected continued tight control over discretionary spending.</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Overall, operating expenses as a percentage of revenues were 21.2% for the six-month period ended June 30, 2020 compared to 21.5% for the comparable 2019 period. Amortization expense associated with intangible assets related to our acquisitions was $295, including $122 for SWE, for the first six months of 2020 ($234 in selling, general and administrative expenses and $61 in research and development costs), compared with $224, including $41 for SWE, for the first six months of 2019 ($158 in selling, general, and administrative expenses and $66 in research and development costs). Research and development costs were $2,823 for the six-month period ended June 30, 2020, an increase of $200 or 7.6% over $2,623 for the six-months ended June 30, 2019. The increase reflects higher new product development costs for our core Battery &amp; Energy Products and Communications Systems businesses. Selling, general, and administrative expenses increased $959 or 12.4%, from $7,736 during the first six months of 2019 to $8,695 during the first six months of 2020. The increase is fully attributable to the inclusion of SWE results for the full 2020 six-month period as compared to two months for the comparable 2019 period.</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Other Expense. </w:t>
      </w:r>
      <w:r>
        <w:rPr>
          <w:rFonts w:ascii="Arial" w:cs="Arial" w:eastAsia="Arial" w:hAnsi="Arial"/>
          <w:sz w:val="17"/>
          <w:szCs w:val="17"/>
          <w:color w:val="auto"/>
        </w:rPr>
        <w:t>Other expense totaled $209 for the six-month period ended June 30, 2020 compared to $141 for the six-month period ended June 30, 2019.</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and financing expense, net of interest income, increased $161 to $280 for the 2020 period from $119 for the comparable period in 2019, as a result of the financing for the SWE acquisition. Miscellaneous income amounted to $71 for the first six months of 2020 compared with expense of $22 for the first six months of 2019, primarily due to fluctuations in the U.S. dollar relative to the Pound Sterling.</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recognized a tax provision of $818 for the first two quarters of 2020 compared with a tax provision of $717 for the first two quarters of</w:t>
      </w:r>
      <w:r>
        <w:rPr>
          <w:rFonts w:ascii="Arial" w:cs="Arial" w:eastAsia="Arial" w:hAnsi="Arial"/>
          <w:sz w:val="16"/>
          <w:szCs w:val="16"/>
          <w:b w:val="1"/>
          <w:bCs w:val="1"/>
          <w:color w:val="auto"/>
        </w:rPr>
        <w:t xml:space="preserve"> </w:t>
      </w:r>
      <w:r>
        <w:rPr>
          <w:rFonts w:ascii="Arial" w:cs="Arial" w:eastAsia="Arial" w:hAnsi="Arial"/>
          <w:sz w:val="16"/>
          <w:szCs w:val="16"/>
          <w:color w:val="auto"/>
        </w:rPr>
        <w:t>2019. Our effective tax rate increased to 22.9% for the first six months of 2020 as compared to 20.8% for the first six months of 2019, primarily due to the geographic mix of earnings and discrete tax benefits realized on disqualifying dispositions of incentive stock options exercised by employees during the six-month periods. The income tax provision for the 2020 period is comprised of a $185 current provision for taxes expected to be paid on income from our foreign operations, representing a cash-based effective tax rate of 5.2%, and a $633 deferred tax provision which primarily represents non-cash charges for U.S. taxes which will be fully offset by net operating loss carryforwards and other tax credits for the foreseeable future. For the 2019 period, the income tax provision was comprised of an $81 current tax provision, representing a cash-based effective tax rate of 2.3%, and a non-cash $636 deferred provision for taxes. See Note 7 in the Notes to Consolidated Financial Statements of this Form 10-Q for additional information regarding our income taxes.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and net income attributable to Ultralife common shareholders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was $2,717 and $0.17, respectively, for the six months ended June 30, 2020, compared to $2,681 and $0.17 for the six months ended June 30, 2019. Average common shares outstanding used to compute diluted earnings per share decreased from 16,179,897 for the 2019 period to 16,114,418 for the 2020 period, mainly due to a decrease in the weighted average stock price used to compute diluted shares from $9.28 for the first six months of 2019 to $7.00 for the first six months of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attributable to Ultralife before net interest expense, provision for income taxes, depreciation and amortization, and stock-based compensation expense, plus/minus expenses/income that we do not consider reflective of our ongoing operations.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w:t>
      </w:r>
    </w:p>
    <w:p>
      <w:pPr>
        <w:sectPr>
          <w:pgSz w:w="11900" w:h="16934" w:orient="portrait"/>
          <w:cols w:equalWidth="0" w:num="1">
            <w:col w:w="11240"/>
          </w:cols>
          <w:pgMar w:left="320" w:top="125" w:right="339" w:bottom="0" w:gutter="0" w:footer="0" w:header="0"/>
        </w:sectPr>
      </w:pPr>
    </w:p>
    <w:bookmarkStart w:id="18" w:name="page19"/>
    <w:bookmarkEnd w:id="18"/>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75" w:lineRule="exact"/>
        <w:rPr>
          <w:sz w:val="20"/>
          <w:szCs w:val="20"/>
          <w:color w:val="auto"/>
        </w:rPr>
      </w:pPr>
    </w:p>
    <w:p>
      <w:pPr>
        <w:jc w:val="both"/>
        <w:ind w:left="1080" w:hanging="326"/>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7" w:lineRule="exact"/>
        <w:rPr>
          <w:rFonts w:ascii="Arial" w:cs="Arial" w:eastAsia="Arial" w:hAnsi="Arial"/>
          <w:sz w:val="18"/>
          <w:szCs w:val="18"/>
          <w:color w:val="auto"/>
        </w:rPr>
      </w:pPr>
    </w:p>
    <w:p>
      <w:pPr>
        <w:ind w:left="1080" w:hanging="326"/>
        <w:spacing w:after="0" w:line="300"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51" w:lineRule="exact"/>
        <w:rPr>
          <w:rFonts w:ascii="Arial" w:cs="Arial" w:eastAsia="Arial" w:hAnsi="Arial"/>
          <w:sz w:val="17"/>
          <w:szCs w:val="17"/>
          <w:color w:val="auto"/>
        </w:rPr>
      </w:pPr>
    </w:p>
    <w:p>
      <w:pPr>
        <w:jc w:val="both"/>
        <w:ind w:left="1080" w:hanging="326"/>
        <w:spacing w:after="0" w:line="25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6" w:lineRule="exact"/>
        <w:rPr>
          <w:rFonts w:ascii="Arial" w:cs="Arial" w:eastAsia="Arial" w:hAnsi="Arial"/>
          <w:sz w:val="18"/>
          <w:szCs w:val="18"/>
          <w:color w:val="auto"/>
        </w:rPr>
      </w:pPr>
    </w:p>
    <w:p>
      <w:pPr>
        <w:ind w:left="1080" w:hanging="32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reconcile Adjusted EBITDA to net income attributable to Ultralife Corporation, the most comparable financial measure under U.S. GAAP.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60" w:type="dxa"/>
            <w:vAlign w:val="bottom"/>
            <w:gridSpan w:val="2"/>
          </w:tcPr>
          <w:p>
            <w:pPr>
              <w:spacing w:after="0"/>
              <w:rPr>
                <w:sz w:val="20"/>
                <w:szCs w:val="20"/>
                <w:color w:val="auto"/>
              </w:rPr>
            </w:pPr>
            <w:r>
              <w:rPr>
                <w:rFonts w:ascii="Arial" w:cs="Arial" w:eastAsia="Arial" w:hAnsi="Arial"/>
                <w:sz w:val="18"/>
                <w:szCs w:val="18"/>
                <w:color w:val="auto"/>
              </w:rPr>
              <w:t>Adjusted EBITDA is calculated as follows for the periods presented: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Three-Month Period Ended</w:t>
            </w:r>
          </w:p>
        </w:tc>
        <w:tc>
          <w:tcPr>
            <w:tcW w:w="160" w:type="dxa"/>
            <w:vAlign w:val="bottom"/>
          </w:tcPr>
          <w:p>
            <w:pPr>
              <w:spacing w:after="0"/>
              <w:rPr>
                <w:sz w:val="24"/>
                <w:szCs w:val="2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5"/>
              </w:rPr>
              <w:t>Six-Month Period Ended</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60"/>
              <w:spacing w:after="0" w:line="190" w:lineRule="exact"/>
              <w:rPr>
                <w:sz w:val="20"/>
                <w:szCs w:val="20"/>
                <w:color w:val="auto"/>
              </w:rPr>
            </w:pPr>
            <w:r>
              <w:rPr>
                <w:rFonts w:ascii="Arial" w:cs="Arial" w:eastAsia="Arial" w:hAnsi="Arial"/>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1"/>
              <w:spacing w:after="0" w:line="190" w:lineRule="exact"/>
              <w:rPr>
                <w:sz w:val="20"/>
                <w:szCs w:val="20"/>
                <w:color w:val="auto"/>
              </w:rPr>
            </w:pPr>
            <w:r>
              <w:rPr>
                <w:rFonts w:ascii="Arial" w:cs="Arial" w:eastAsia="Arial" w:hAnsi="Arial"/>
                <w:sz w:val="18"/>
                <w:szCs w:val="18"/>
                <w:b w:val="1"/>
                <w:bCs w:val="1"/>
                <w:color w:val="auto"/>
                <w:w w:val="94"/>
              </w:rPr>
              <w:t>June 30,</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60"/>
              <w:spacing w:after="0" w:line="190" w:lineRule="exact"/>
              <w:rPr>
                <w:sz w:val="20"/>
                <w:szCs w:val="20"/>
                <w:color w:val="auto"/>
              </w:rPr>
            </w:pPr>
            <w:r>
              <w:rPr>
                <w:rFonts w:ascii="Arial" w:cs="Arial" w:eastAsia="Arial" w:hAnsi="Arial"/>
                <w:sz w:val="18"/>
                <w:szCs w:val="18"/>
                <w:b w:val="1"/>
                <w:bCs w:val="1"/>
                <w:color w:val="auto"/>
                <w:w w:val="94"/>
              </w:rPr>
              <w:t>June 30,</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31"/>
              <w:spacing w:after="0" w:line="190" w:lineRule="exact"/>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6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Non-cash purchase accounting adjustments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6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 Per Share</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evaluating our business, we consider and use Adjusted EPS, a non-GAAP financial measure, as a supplemental measure of our business performance. We define Adjusted EPS as net income attributable to Ultralife Corporation excluding the provision for deferred taxes divided by our weighted average shares outstanding on both a basic and diluted basis. We believe that this information is useful in providing period-to-period comparisons of our results by reflecting the portion of our tax provision that will be offset by our U.S. net operating loss carryforwards and other tax credits for the foreseeable future. We reconcile Adjusted EPS to EPS, the most comparable financial measure under U.S. Generally Accepted Accounting Principles (“U.S. GAAP”). Neither current nor potential investors in our securities should rely on Adjusted EPS as a substitute for any GAAP measures and we encourage investors to review the following reconciliation of Adjusted EPS to EPS and net income attributable to Ultralife.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w w:val="99"/>
              </w:rPr>
              <w:t>Three-Month Period Ended</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6"/>
              </w:rPr>
              <w:t>Per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1"/>
              <w:spacing w:after="0" w:line="189"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1"/>
              <w:spacing w:after="0" w:line="189"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r>
      <w:tr>
        <w:trPr>
          <w:trHeight w:val="213"/>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Basic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Basic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Diluted</w:t>
            </w:r>
          </w:p>
        </w:tc>
      </w:tr>
      <w:tr>
        <w:trPr>
          <w:trHeight w:val="231"/>
        </w:trPr>
        <w:tc>
          <w:tcPr>
            <w:tcW w:w="3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r>
      <w:tr>
        <w:trPr>
          <w:trHeight w:val="20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3"/>
        </w:trPr>
        <w:tc>
          <w:tcPr>
            <w:tcW w:w="396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88"/>
        </w:trPr>
        <w:tc>
          <w:tcPr>
            <w:tcW w:w="3960" w:type="dxa"/>
            <w:vAlign w:val="bottom"/>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125" w:right="3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Ultralife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3840" w:type="dxa"/>
            <w:vAlign w:val="bottom"/>
            <w:tcBorders>
              <w:bottom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Corporation</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426"/>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w w:val="91"/>
              </w:rPr>
              <w:t>Six-Month Period Ended</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9"/>
              </w:rPr>
              <w:t>June 30, 2020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June 30, 2019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260"/>
              <w:spacing w:after="0" w:line="189" w:lineRule="exact"/>
              <w:rPr>
                <w:sz w:val="20"/>
                <w:szCs w:val="20"/>
                <w:color w:val="auto"/>
              </w:rPr>
            </w:pPr>
            <w:r>
              <w:rPr>
                <w:rFonts w:ascii="Arial" w:cs="Arial" w:eastAsia="Arial" w:hAnsi="Arial"/>
                <w:sz w:val="18"/>
                <w:szCs w:val="18"/>
                <w:b w:val="1"/>
                <w:bCs w:val="1"/>
                <w:color w:val="auto"/>
              </w:rPr>
              <w:t>Per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ind w:right="31"/>
              <w:spacing w:after="0" w:line="189"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1"/>
              <w:spacing w:after="0" w:line="189"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Basic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Basic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31"/>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Adjusted net income attributable to Ultralife</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3,350</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8"/>
        </w:trPr>
        <w:tc>
          <w:tcPr>
            <w:tcW w:w="38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Corporation</w:t>
            </w:r>
          </w:p>
        </w:tc>
        <w:tc>
          <w:tcPr>
            <w:tcW w:w="24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8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w:t>
            </w:r>
          </w:p>
        </w:tc>
        <w:tc>
          <w:tcPr>
            <w:tcW w:w="0" w:type="dxa"/>
            <w:vAlign w:val="bottom"/>
          </w:tcPr>
          <w:p>
            <w:pPr>
              <w:spacing w:after="0"/>
              <w:rPr>
                <w:sz w:val="1"/>
                <w:szCs w:val="1"/>
                <w:color w:val="auto"/>
              </w:rPr>
            </w:pPr>
          </w:p>
        </w:tc>
      </w:tr>
      <w:tr>
        <w:trPr>
          <w:trHeight w:val="426"/>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-2287270</wp:posOffset>
            </wp:positionV>
            <wp:extent cx="7134225" cy="135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June 30, 2020, cash totaled $8,389, an increase of $984 as compared to $7,405 of cash held at December 31, 2019. The increase was attributable to cash generated from operations, including the collection of accounts receivable and a reduction of our inventories, partially offset by a $6,410 reduction of our debt and $1,533 of strategic capital investments primarily for our Battery &amp; Energy Products business.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six-month period ended June 30, 2020, operating activities provided cash of $8,882, consisting of net income of $2,752, decreases in accounts receivable and inventories of $3,578 and $1,507, respectively, primarily attributable to collections and shipments on the large government and defense program awards announced in October 2018 for our Communications Systems business, and non-cash expenses (depreciation, amortization and stock-based compensation) and deferred taxes totaling $2,647, partially offset by a net decrease in accounts payable and other working capital of $1,602 primarily due to the timing of payments for procured inventory and capital projects.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Cash used in investing activities for the six months ended June 30, 2020 was $1,413, which was largely attributable to capital expenditures of $1,533 primarily reflecting strategic investments for our Battery &amp; Energy Products business.</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Net cash used in financing activities for the six months ended June 30, 2020 was $6,349, primarily consisting of payments totaling $5,700 against our Revolving Credit Facility and $710 of principle payments on our Term Loan Facility, partially offset primarily by stock option exercise proceeds of $76.</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2020, the Company has significant U.S. net operating loss carryforwards available to utilize as an offset to future taxable income. See Note 7 in the Notes to Consolidated Financial Statements in Item 1 of Part I of this Form 10-Q for additional information.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2020, we had made commitments to purchase approximately $1,322 of production machinery and equipment, which we expect to fund through operating cash flows or debt borrowings.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While the COVID-19 pandemic poses a high level of uncertainty, Management expects that cash flow generated from future operations and the remaining availability under our Revolving Credit Facility will be sufficient under current economic conditions to meet our general funding requirements and capital investments for the foreseeable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Commitments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 2019, in connection with financing the SWE acquisition (see Note 3 to the Notes to Consolidated Financial Statements in Item 1 of Part I of this Form 10-Q), the Company drew down $8,000 on its Term Loan Facility and $6,782 under its Revolving Credit Facility. As of June 30, 2020, the Company had $6,424 outstanding principal on the Term Loan Facility, of which $1,482 is included in current portion of long-term debt on the balance sheet, and $4,482 outstanding principal on the Revolving Credit Facility. As of June 30, 2020, the Company is in full compliance with all covenants under the Credit Facilities.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2019 Annual Report on Form 10-K should be reviewed for a greater understanding of how our financial performance is recorded and reported.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first half of 2020, there were no significant changes in the manner in which our significant accounting policies were applied or in which related assumptions and estimates were developed.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ectPr>
          <w:pgSz w:w="11900" w:h="16838" w:orient="portrait"/>
          <w:cols w:equalWidth="0" w:num="1">
            <w:col w:w="11240"/>
          </w:cols>
          <w:pgMar w:left="320" w:top="132" w:right="339" w:bottom="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PART II.</w:t>
        <w:tab/>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should carefully consider the risk factor set forth below in addition to the risk factors described in Part I, Item 1A “Risk Factors” of our Annual Report on Form 10-K for the year ended December 31, 2019, which could adversely affect our business, financial condition and results of operations. Additional risks and uncertainties not currently known to us or that are not currently believed by us to be material may also harm our business,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operating results and financial condition may be adversely impacted by COVID-19.</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novel coronavirus disease of 2019 (COVID-19) has created significant economic disruption and uncertainty around the world. COVID-19 adversely impacted our operating results in the first half of 2020 with an estimated unfavorable impact to net income of approximately $500 primarily as a result of an approximately one-month closure of our China facility as mandated by the China government, delays in medical battery orders for devices used for elective surgeries and the overall disruptions in supply chains impacting both commercial and government/defense markets, partially offset by increased demand for our medical batteries, especially those used in ventilators, respirators and infusion pumps. While the Chinese government has lifted the suspension of business operations in China and we have maintained normal business operations at all our other facilities throughout the pandemic, the extent to which COVID-19 may impact our business is uncertain and will depend on many evolving factors which we continue to monitor but cannot predict, including the duration and scope of the pandemic and actions taken by governments, businesses and individuals in response to the pandemic. Potential effects of COVID-19 which may adversely impact our business include limited availability and/or increased cost of raw materials and components used in our products, reduced demand and/or pricing for our products, inability of our customers to pay or remain solvent, reduced availability of our workforce, and increased cyber threats to our information technology infrastructure. Prolonged adverse effects of COVID-19 on our business could result in the impairment of long-lived assets including goodwill and other intangible assets. Further, we cannot predict all possible adverse effects the COVID-19 pandemic may cause as a result of which there may be adverse effects in addition to those described in this Risk Factor. While we continue to closely monitor the developments surrounding COVID-19 and take actions when possible to mitigate the business risks involved, the potential effects of COVID-19 on our business, alone or taken together, pose a material risk to our future operating results and financial condition.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14"/>
        </w:trPr>
        <w:tc>
          <w:tcPr>
            <w:tcW w:w="6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Exhibit Description</w:t>
            </w:r>
          </w:p>
        </w:tc>
        <w:tc>
          <w:tcPr>
            <w:tcW w:w="3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Incorporated by Reference from</w:t>
            </w:r>
          </w:p>
        </w:tc>
      </w:tr>
      <w:tr>
        <w:trPr>
          <w:trHeight w:val="226"/>
        </w:trPr>
        <w:tc>
          <w:tcPr>
            <w:tcW w:w="640" w:type="dxa"/>
            <w:vAlign w:val="bottom"/>
          </w:tcPr>
          <w:p>
            <w:pPr>
              <w:spacing w:after="0"/>
              <w:rPr>
                <w:sz w:val="19"/>
                <w:szCs w:val="19"/>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Index</w:t>
            </w:r>
          </w:p>
        </w:tc>
        <w:tc>
          <w:tcPr>
            <w:tcW w:w="32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r>
      <w:tr>
        <w:trPr>
          <w:trHeight w:val="194"/>
        </w:trPr>
        <w:tc>
          <w:tcPr>
            <w:tcW w:w="640" w:type="dxa"/>
            <w:vAlign w:val="bottom"/>
          </w:tcPr>
          <w:p>
            <w:pPr>
              <w:spacing w:after="0"/>
              <w:rPr>
                <w:sz w:val="16"/>
                <w:szCs w:val="16"/>
                <w:color w:val="auto"/>
              </w:rPr>
            </w:pPr>
          </w:p>
        </w:tc>
        <w:tc>
          <w:tcPr>
            <w:tcW w:w="1280" w:type="dxa"/>
            <w:vAlign w:val="bottom"/>
          </w:tcPr>
          <w:p>
            <w:pPr>
              <w:spacing w:after="0" w:line="194" w:lineRule="exact"/>
              <w:rPr>
                <w:sz w:val="20"/>
                <w:szCs w:val="20"/>
                <w:color w:val="auto"/>
              </w:rPr>
            </w:pPr>
            <w:r>
              <w:rPr>
                <w:rFonts w:ascii="Arial" w:cs="Arial" w:eastAsia="Arial" w:hAnsi="Arial"/>
                <w:sz w:val="18"/>
                <w:szCs w:val="18"/>
                <w:color w:val="auto"/>
              </w:rPr>
              <w:t>31.1</w:t>
            </w:r>
          </w:p>
        </w:tc>
        <w:tc>
          <w:tcPr>
            <w:tcW w:w="320" w:type="dxa"/>
            <w:vAlign w:val="bottom"/>
          </w:tcPr>
          <w:p>
            <w:pPr>
              <w:spacing w:after="0"/>
              <w:rPr>
                <w:sz w:val="16"/>
                <w:szCs w:val="16"/>
                <w:color w:val="auto"/>
              </w:rPr>
            </w:pPr>
          </w:p>
        </w:tc>
        <w:tc>
          <w:tcPr>
            <w:tcW w:w="5180" w:type="dxa"/>
            <w:vAlign w:val="bottom"/>
          </w:tcPr>
          <w:p>
            <w:pPr>
              <w:spacing w:after="0" w:line="194"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Rule 13a-14(a) / 15d-14(a) CEO Certifications</w:t>
              </w:r>
            </w:hyperlink>
          </w:p>
        </w:tc>
        <w:tc>
          <w:tcPr>
            <w:tcW w:w="300" w:type="dxa"/>
            <w:vAlign w:val="bottom"/>
          </w:tcPr>
          <w:p>
            <w:pPr>
              <w:spacing w:after="0"/>
              <w:rPr>
                <w:sz w:val="16"/>
                <w:szCs w:val="16"/>
                <w:color w:val="auto"/>
              </w:rPr>
            </w:pPr>
          </w:p>
        </w:tc>
        <w:tc>
          <w:tcPr>
            <w:tcW w:w="3480" w:type="dxa"/>
            <w:vAlign w:val="bottom"/>
          </w:tcPr>
          <w:p>
            <w:pPr>
              <w:spacing w:after="0" w:line="194" w:lineRule="exact"/>
              <w:rPr>
                <w:sz w:val="20"/>
                <w:szCs w:val="20"/>
                <w:color w:val="auto"/>
              </w:rPr>
            </w:pPr>
            <w:r>
              <w:rPr>
                <w:rFonts w:ascii="Arial" w:cs="Arial" w:eastAsia="Arial" w:hAnsi="Arial"/>
                <w:sz w:val="18"/>
                <w:szCs w:val="18"/>
                <w:color w:val="auto"/>
              </w:rPr>
              <w:t>Filed herewith</w:t>
            </w:r>
          </w:p>
        </w:tc>
      </w:tr>
      <w:tr>
        <w:trPr>
          <w:trHeight w:val="213"/>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518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Rule 13a-14(a) / 15d-14(a) CFO Certifications</w:t>
              </w:r>
            </w:hyperlink>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3"/>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518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Section 1350 Certifications</w:t>
              </w:r>
            </w:hyperlink>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Furnished herewith</w:t>
            </w:r>
          </w:p>
        </w:tc>
      </w:tr>
      <w:tr>
        <w:trPr>
          <w:trHeight w:val="213"/>
        </w:trPr>
        <w:tc>
          <w:tcPr>
            <w:tcW w:w="6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Inline XBRL Instance Document</w:t>
            </w:r>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3"/>
        </w:trPr>
        <w:tc>
          <w:tcPr>
            <w:tcW w:w="6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3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3"/>
        </w:trPr>
        <w:tc>
          <w:tcPr>
            <w:tcW w:w="6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8"/>
              </w:rPr>
              <w:t>Inline XBRL Taxonomy Extension Calculation Linkbase Document</w:t>
            </w:r>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3"/>
        </w:trPr>
        <w:tc>
          <w:tcPr>
            <w:tcW w:w="6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3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3"/>
        </w:trPr>
        <w:tc>
          <w:tcPr>
            <w:tcW w:w="6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3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5"/>
              </w:rPr>
              <w:t>Inline XBRL Taxonomy Extension Presentation Linkbase Document</w:t>
            </w:r>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3"/>
        </w:trPr>
        <w:tc>
          <w:tcPr>
            <w:tcW w:w="6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3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3"/>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26"/>
        </w:trPr>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contained in Exhibit 101)</w:t>
            </w:r>
          </w:p>
        </w:tc>
        <w:tc>
          <w:tcPr>
            <w:tcW w:w="30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200" w:lineRule="exact"/>
        <w:rPr>
          <w:sz w:val="20"/>
          <w:szCs w:val="20"/>
          <w:color w:val="auto"/>
        </w:rPr>
      </w:pPr>
    </w:p>
    <w:p>
      <w:pPr>
        <w:ind w:left="640" w:right="200"/>
        <w:spacing w:after="0" w:line="253" w:lineRule="auto"/>
        <w:rPr>
          <w:sz w:val="20"/>
          <w:szCs w:val="20"/>
          <w:color w:val="auto"/>
        </w:rPr>
      </w:pPr>
      <w:r>
        <w:rPr>
          <w:rFonts w:ascii="Arial" w:cs="Arial" w:eastAsia="Arial" w:hAnsi="Arial"/>
          <w:sz w:val="18"/>
          <w:szCs w:val="18"/>
          <w:color w:val="auto"/>
        </w:rPr>
        <w:t>Attached as Exhibit 101 to this report are the following formatted in iXBRL (Inline eXtensible Business Reporting Language): (i) Consolidated Balance Sheets as of June 30, 2020 and December 31, 2019, (ii) Consolidated Statements of Income and Comprehensive Income for the three and six months ended June 30, 2020 and 2019, (iii) Consolidated Statements of Cash Flows for the six months ended June 30, 2020 and 2019, (iv) Consolidated Statements of Changes in Shareholders’ Equity for the three and six months ended June 30, 2020 and 2019, and (v)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240"/>
          </w:cols>
          <w:pgMar w:left="320" w:top="125" w:right="339" w:bottom="0" w:gutter="0" w:footer="0" w:header="0"/>
        </w:sectPr>
      </w:pPr>
    </w:p>
    <w:bookmarkStart w:id="21" w:name="page22"/>
    <w:bookmarkEnd w:id="21"/>
    <w:p>
      <w:pPr>
        <w:ind w:right="16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9"/>
              </w:rPr>
              <w:t>ULTRALIFE CORPORATION</w:t>
            </w:r>
          </w:p>
        </w:tc>
        <w:tc>
          <w:tcPr>
            <w:tcW w:w="1340" w:type="dxa"/>
            <w:vAlign w:val="bottom"/>
          </w:tcPr>
          <w:p>
            <w:pPr>
              <w:spacing w:after="0"/>
              <w:rPr>
                <w:sz w:val="17"/>
                <w:szCs w:val="17"/>
                <w:color w:val="auto"/>
              </w:rPr>
            </w:pPr>
          </w:p>
        </w:tc>
      </w:tr>
      <w:tr>
        <w:trPr>
          <w:trHeight w:val="232"/>
        </w:trPr>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(Registrant)</w:t>
            </w: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88"/>
        </w:trPr>
        <w:tc>
          <w:tcPr>
            <w:tcW w:w="3720" w:type="dxa"/>
            <w:vAlign w:val="bottom"/>
            <w:gridSpan w:val="5"/>
          </w:tcPr>
          <w:p>
            <w:pPr>
              <w:ind w:left="540"/>
              <w:spacing w:after="0"/>
              <w:rPr>
                <w:sz w:val="20"/>
                <w:szCs w:val="20"/>
                <w:color w:val="auto"/>
              </w:rPr>
            </w:pPr>
            <w:r>
              <w:rPr>
                <w:rFonts w:ascii="Arial" w:cs="Arial" w:eastAsia="Arial" w:hAnsi="Arial"/>
                <w:sz w:val="18"/>
                <w:szCs w:val="18"/>
                <w:color w:val="auto"/>
              </w:rPr>
              <w:t>Date: July 30, 2020</w:t>
            </w:r>
          </w:p>
        </w:tc>
        <w:tc>
          <w:tcPr>
            <w:tcW w:w="6180" w:type="dxa"/>
            <w:vAlign w:val="bottom"/>
            <w:gridSpan w:val="4"/>
          </w:tcPr>
          <w:p>
            <w:pPr>
              <w:ind w:left="1920"/>
              <w:spacing w:after="0"/>
              <w:rPr>
                <w:sz w:val="20"/>
                <w:szCs w:val="20"/>
                <w:color w:val="auto"/>
              </w:rPr>
            </w:pPr>
            <w:r>
              <w:rPr>
                <w:rFonts w:ascii="Arial" w:cs="Arial" w:eastAsia="Arial" w:hAnsi="Arial"/>
                <w:sz w:val="18"/>
                <w:szCs w:val="18"/>
                <w:color w:val="auto"/>
              </w:rPr>
              <w:t>By: /s/ Michael D. Popielec</w:t>
            </w:r>
          </w:p>
        </w:tc>
        <w:tc>
          <w:tcPr>
            <w:tcW w:w="1340" w:type="dxa"/>
            <w:vAlign w:val="bottom"/>
          </w:tcPr>
          <w:p>
            <w:pPr>
              <w:spacing w:after="0"/>
              <w:rPr>
                <w:sz w:val="24"/>
                <w:szCs w:val="24"/>
                <w:color w:val="auto"/>
              </w:rPr>
            </w:pPr>
          </w:p>
        </w:tc>
      </w:tr>
      <w:tr>
        <w:trPr>
          <w:trHeight w:val="219"/>
        </w:trPr>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Michael D. Popielec</w:t>
            </w:r>
          </w:p>
        </w:tc>
        <w:tc>
          <w:tcPr>
            <w:tcW w:w="1340" w:type="dxa"/>
            <w:vAlign w:val="bottom"/>
          </w:tcPr>
          <w:p>
            <w:pPr>
              <w:spacing w:after="0"/>
              <w:rPr>
                <w:sz w:val="19"/>
                <w:szCs w:val="19"/>
                <w:color w:val="auto"/>
              </w:rPr>
            </w:pPr>
          </w:p>
        </w:tc>
      </w:tr>
      <w:tr>
        <w:trPr>
          <w:trHeight w:val="213"/>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340" w:type="dxa"/>
            <w:vAlign w:val="bottom"/>
          </w:tcPr>
          <w:p>
            <w:pPr>
              <w:spacing w:after="0"/>
              <w:rPr>
                <w:sz w:val="18"/>
                <w:szCs w:val="18"/>
                <w:color w:val="auto"/>
              </w:rPr>
            </w:pPr>
          </w:p>
        </w:tc>
      </w:tr>
      <w:tr>
        <w:trPr>
          <w:trHeight w:val="226"/>
        </w:trPr>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340" w:type="dxa"/>
            <w:vAlign w:val="bottom"/>
          </w:tcPr>
          <w:p>
            <w:pPr>
              <w:spacing w:after="0"/>
              <w:rPr>
                <w:sz w:val="19"/>
                <w:szCs w:val="19"/>
                <w:color w:val="auto"/>
              </w:rPr>
            </w:pPr>
          </w:p>
        </w:tc>
      </w:tr>
      <w:tr>
        <w:trPr>
          <w:trHeight w:val="602"/>
        </w:trPr>
        <w:tc>
          <w:tcPr>
            <w:tcW w:w="3720" w:type="dxa"/>
            <w:vAlign w:val="bottom"/>
            <w:gridSpan w:val="5"/>
          </w:tcPr>
          <w:p>
            <w:pPr>
              <w:ind w:left="480"/>
              <w:spacing w:after="0"/>
              <w:rPr>
                <w:sz w:val="20"/>
                <w:szCs w:val="20"/>
                <w:color w:val="auto"/>
              </w:rPr>
            </w:pPr>
            <w:r>
              <w:rPr>
                <w:rFonts w:ascii="Arial" w:cs="Arial" w:eastAsia="Arial" w:hAnsi="Arial"/>
                <w:sz w:val="18"/>
                <w:szCs w:val="18"/>
                <w:color w:val="auto"/>
              </w:rPr>
              <w:t>Date: July 30, 2020</w:t>
            </w:r>
          </w:p>
        </w:tc>
        <w:tc>
          <w:tcPr>
            <w:tcW w:w="6180" w:type="dxa"/>
            <w:vAlign w:val="bottom"/>
            <w:gridSpan w:val="4"/>
          </w:tcPr>
          <w:p>
            <w:pPr>
              <w:ind w:left="1920"/>
              <w:spacing w:after="0"/>
              <w:rPr>
                <w:sz w:val="20"/>
                <w:szCs w:val="20"/>
                <w:color w:val="auto"/>
              </w:rPr>
            </w:pPr>
            <w:r>
              <w:rPr>
                <w:rFonts w:ascii="Arial" w:cs="Arial" w:eastAsia="Arial" w:hAnsi="Arial"/>
                <w:sz w:val="18"/>
                <w:szCs w:val="18"/>
                <w:color w:val="auto"/>
              </w:rPr>
              <w:t>By: /s/ Philip A. Fain</w:t>
            </w:r>
          </w:p>
        </w:tc>
        <w:tc>
          <w:tcPr>
            <w:tcW w:w="13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20" w:type="dxa"/>
            <w:vAlign w:val="bottom"/>
            <w:gridSpan w:val="3"/>
          </w:tcPr>
          <w:p>
            <w:pPr>
              <w:ind w:left="160"/>
              <w:spacing w:after="0" w:line="193" w:lineRule="exact"/>
              <w:rPr>
                <w:sz w:val="20"/>
                <w:szCs w:val="20"/>
                <w:color w:val="auto"/>
              </w:rPr>
            </w:pPr>
            <w:r>
              <w:rPr>
                <w:rFonts w:ascii="Arial" w:cs="Arial" w:eastAsia="Arial" w:hAnsi="Arial"/>
                <w:sz w:val="18"/>
                <w:szCs w:val="18"/>
                <w:color w:val="auto"/>
              </w:rPr>
              <w:t>Philip A. Fain</w:t>
            </w:r>
          </w:p>
        </w:tc>
        <w:tc>
          <w:tcPr>
            <w:tcW w:w="1340" w:type="dxa"/>
            <w:vAlign w:val="bottom"/>
          </w:tcPr>
          <w:p>
            <w:pPr>
              <w:spacing w:after="0"/>
              <w:rPr>
                <w:sz w:val="16"/>
                <w:szCs w:val="16"/>
                <w:color w:val="auto"/>
              </w:rPr>
            </w:pPr>
          </w:p>
        </w:tc>
      </w:tr>
      <w:tr>
        <w:trPr>
          <w:trHeight w:val="213"/>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Treasurer</w:t>
            </w:r>
          </w:p>
        </w:tc>
        <w:tc>
          <w:tcPr>
            <w:tcW w:w="134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w:t>
            </w:r>
          </w:p>
        </w:tc>
        <w:tc>
          <w:tcPr>
            <w:tcW w:w="1340" w:type="dxa"/>
            <w:vAlign w:val="bottom"/>
          </w:tcPr>
          <w:p>
            <w:pPr>
              <w:spacing w:after="0"/>
              <w:rPr>
                <w:sz w:val="18"/>
                <w:szCs w:val="18"/>
                <w:color w:val="auto"/>
              </w:rPr>
            </w:pPr>
          </w:p>
        </w:tc>
      </w:tr>
      <w:tr>
        <w:trPr>
          <w:trHeight w:val="226"/>
        </w:trPr>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Principal Accounting Officer)</w:t>
            </w:r>
          </w:p>
        </w:tc>
        <w:tc>
          <w:tcPr>
            <w:tcW w:w="1340" w:type="dxa"/>
            <w:vAlign w:val="bottom"/>
          </w:tcPr>
          <w:p>
            <w:pPr>
              <w:spacing w:after="0"/>
              <w:rPr>
                <w:sz w:val="19"/>
                <w:szCs w:val="19"/>
                <w:color w:val="auto"/>
              </w:rPr>
            </w:pPr>
          </w:p>
        </w:tc>
      </w:tr>
      <w:tr>
        <w:trPr>
          <w:trHeight w:val="427"/>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jc w:val="right"/>
              <w:ind w:right="171"/>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480" w:type="dxa"/>
            <w:vAlign w:val="bottom"/>
          </w:tcPr>
          <w:p>
            <w:pPr>
              <w:ind w:left="352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480" w:type="dxa"/>
            <w:vAlign w:val="bottom"/>
          </w:tcPr>
          <w:p>
            <w:pPr>
              <w:ind w:left="140"/>
              <w:spacing w:after="0"/>
              <w:rPr>
                <w:sz w:val="20"/>
                <w:szCs w:val="20"/>
                <w:color w:val="auto"/>
              </w:rPr>
            </w:pPr>
            <w:r>
              <w:rPr>
                <w:rFonts w:ascii="Arial" w:cs="Arial" w:eastAsia="Arial" w:hAnsi="Arial"/>
                <w:sz w:val="18"/>
                <w:szCs w:val="18"/>
                <w:color w:val="auto"/>
                <w:w w:val="90"/>
              </w:rPr>
              <w:t>Certification of Chief Executive Officer Pursuant to Rule 13a-14(a) of the Securities Exchange Act of 1934, as adopted pursuant to</w:t>
            </w:r>
          </w:p>
        </w:tc>
      </w:tr>
      <w:tr>
        <w:trPr>
          <w:trHeight w:val="213"/>
        </w:trPr>
        <w:tc>
          <w:tcPr>
            <w:tcW w:w="82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480" w:type="dxa"/>
            <w:vAlign w:val="bottom"/>
          </w:tcPr>
          <w:p>
            <w:pPr>
              <w:ind w:left="140"/>
              <w:spacing w:after="0"/>
              <w:rPr>
                <w:sz w:val="20"/>
                <w:szCs w:val="20"/>
                <w:color w:val="auto"/>
              </w:rPr>
            </w:pPr>
            <w:r>
              <w:rPr>
                <w:rFonts w:ascii="Arial" w:cs="Arial" w:eastAsia="Arial" w:hAnsi="Arial"/>
                <w:sz w:val="18"/>
                <w:szCs w:val="18"/>
                <w:color w:val="auto"/>
                <w:w w:val="90"/>
              </w:rPr>
              <w:t>Certification of Chief Financial Officer Pursuant to Rule 13a-14(a) of the Securities Exchange Act of 1934, as adopted pursuant to</w:t>
            </w:r>
          </w:p>
        </w:tc>
      </w:tr>
      <w:tr>
        <w:trPr>
          <w:trHeight w:val="213"/>
        </w:trPr>
        <w:tc>
          <w:tcPr>
            <w:tcW w:w="82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480" w:type="dxa"/>
            <w:vAlign w:val="bottom"/>
          </w:tcPr>
          <w:p>
            <w:pPr>
              <w:ind w:left="140"/>
              <w:spacing w:after="0"/>
              <w:rPr>
                <w:sz w:val="20"/>
                <w:szCs w:val="20"/>
                <w:color w:val="auto"/>
              </w:rPr>
            </w:pPr>
            <w:r>
              <w:rPr>
                <w:rFonts w:ascii="Arial" w:cs="Arial" w:eastAsia="Arial" w:hAnsi="Arial"/>
                <w:sz w:val="18"/>
                <w:szCs w:val="18"/>
                <w:color w:val="auto"/>
                <w:w w:val="97"/>
              </w:rPr>
              <w:t>Certification pursuant to 18 U.S.C. Section 1350, as adopted pursuant to Section 906 of the Sarbanes-Oxley Act of 2002</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480" w:type="dxa"/>
            <w:vAlign w:val="bottom"/>
          </w:tcPr>
          <w:p>
            <w:pPr>
              <w:ind w:left="140"/>
              <w:spacing w:after="0"/>
              <w:rPr>
                <w:sz w:val="20"/>
                <w:szCs w:val="20"/>
                <w:color w:val="auto"/>
              </w:rPr>
            </w:pPr>
            <w:r>
              <w:rPr>
                <w:rFonts w:ascii="Arial" w:cs="Arial" w:eastAsia="Arial" w:hAnsi="Arial"/>
                <w:sz w:val="18"/>
                <w:szCs w:val="18"/>
                <w:color w:val="auto"/>
              </w:rPr>
              <w:t>Inline XBRL Instance Document</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480" w:type="dxa"/>
            <w:vAlign w:val="bottom"/>
          </w:tcPr>
          <w:p>
            <w:pPr>
              <w:ind w:left="140"/>
              <w:spacing w:after="0"/>
              <w:rPr>
                <w:sz w:val="20"/>
                <w:szCs w:val="20"/>
                <w:color w:val="auto"/>
              </w:rPr>
            </w:pPr>
            <w:r>
              <w:rPr>
                <w:rFonts w:ascii="Arial" w:cs="Arial" w:eastAsia="Arial" w:hAnsi="Arial"/>
                <w:sz w:val="18"/>
                <w:szCs w:val="18"/>
                <w:color w:val="auto"/>
              </w:rPr>
              <w:t>Inline XBRL Taxonomy Extension Schema Document</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480" w:type="dxa"/>
            <w:vAlign w:val="bottom"/>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480" w:type="dxa"/>
            <w:vAlign w:val="bottom"/>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48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480" w:type="dxa"/>
            <w:vAlign w:val="bottom"/>
          </w:tcPr>
          <w:p>
            <w:pPr>
              <w:ind w:left="1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6"/>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9480" w:type="dxa"/>
            <w:vAlign w:val="bottom"/>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ind w:left="640" w:right="200"/>
        <w:spacing w:after="0" w:line="253" w:lineRule="auto"/>
        <w:rPr>
          <w:sz w:val="20"/>
          <w:szCs w:val="20"/>
          <w:color w:val="auto"/>
        </w:rPr>
      </w:pPr>
      <w:r>
        <w:rPr>
          <w:rFonts w:ascii="Arial" w:cs="Arial" w:eastAsia="Arial" w:hAnsi="Arial"/>
          <w:sz w:val="18"/>
          <w:szCs w:val="18"/>
          <w:color w:val="auto"/>
        </w:rPr>
        <w:t>Attached as Exhibit 101 to this report are the following formatted in iXBRL (Inline eXtensible Business Reporting Language): (i) Consolidated Balance Sheets as of June 30, 2020 and December 31, 2019, (ii) Consolidated Statements of Income and Comprehensive Income for the three and six months ended June 30, 2020 and 2019, (iii) Consolidated Statements of Cash Flows for the six months ended June 30, 2020 and 2019, (iv) Consolidated Statements of Changes in Shareholders’ Equity for the three and six months ended June 30, 2020 and 2019, and (v)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39"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0" w:lineRule="exact"/>
        <w:rPr>
          <w:sz w:val="20"/>
          <w:szCs w:val="20"/>
          <w:color w:val="auto"/>
        </w:rPr>
      </w:pPr>
    </w:p>
    <w:p>
      <w:pPr>
        <w:ind w:left="640" w:hanging="63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19" w:lineRule="exact"/>
        <w:rPr>
          <w:rFonts w:ascii="Arial" w:cs="Arial" w:eastAsia="Arial" w:hAnsi="Arial"/>
          <w:sz w:val="18"/>
          <w:szCs w:val="18"/>
          <w:color w:val="auto"/>
        </w:rPr>
      </w:pPr>
    </w:p>
    <w:p>
      <w:pPr>
        <w:jc w:val="both"/>
        <w:ind w:left="640" w:hanging="633"/>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640" w:hanging="633"/>
        <w:spacing w:after="0" w:line="300"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left="640" w:hanging="633"/>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280" w:hanging="313"/>
        <w:spacing w:after="0" w:line="333" w:lineRule="auto"/>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280" w:hanging="313"/>
        <w:spacing w:after="0" w:line="258"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40" w:hanging="633"/>
        <w:spacing w:after="0" w:line="333"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6"/>
          <w:szCs w:val="16"/>
          <w:color w:val="auto"/>
        </w:rPr>
      </w:pPr>
    </w:p>
    <w:p>
      <w:pPr>
        <w:ind w:left="1280" w:hanging="313"/>
        <w:spacing w:after="0" w:line="300" w:lineRule="auto"/>
        <w:tabs>
          <w:tab w:leader="none" w:pos="12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1280" w:right="20" w:hanging="313"/>
        <w:spacing w:after="0" w:line="270"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Arial" w:cs="Arial" w:eastAsia="Arial" w:hAnsi="Arial"/>
                <w:sz w:val="18"/>
                <w:szCs w:val="18"/>
                <w:color w:val="auto"/>
              </w:rPr>
              <w:t>Date: July 30, 2020</w:t>
            </w:r>
          </w:p>
        </w:tc>
        <w:tc>
          <w:tcPr>
            <w:tcW w:w="6220" w:type="dxa"/>
            <w:vAlign w:val="bottom"/>
            <w:gridSpan w:val="2"/>
          </w:tcPr>
          <w:p>
            <w:pPr>
              <w:ind w:left="1960"/>
              <w:spacing w:after="0"/>
              <w:rPr>
                <w:sz w:val="20"/>
                <w:szCs w:val="20"/>
                <w:color w:val="auto"/>
              </w:rPr>
            </w:pPr>
            <w:r>
              <w:rPr>
                <w:rFonts w:ascii="Arial" w:cs="Arial" w:eastAsia="Arial" w:hAnsi="Arial"/>
                <w:sz w:val="18"/>
                <w:szCs w:val="18"/>
                <w:color w:val="auto"/>
              </w:rPr>
              <w:t>By: /s/ Michael D. Popielec</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920" w:type="dxa"/>
            <w:vAlign w:val="bottom"/>
          </w:tcPr>
          <w:p>
            <w:pPr>
              <w:ind w:left="240"/>
              <w:spacing w:after="0" w:line="193" w:lineRule="exact"/>
              <w:rPr>
                <w:sz w:val="20"/>
                <w:szCs w:val="20"/>
                <w:color w:val="auto"/>
              </w:rPr>
            </w:pPr>
            <w:r>
              <w:rPr>
                <w:rFonts w:ascii="Arial" w:cs="Arial" w:eastAsia="Arial" w:hAnsi="Arial"/>
                <w:sz w:val="18"/>
                <w:szCs w:val="18"/>
                <w:color w:val="auto"/>
              </w:rPr>
              <w:t>Michael D. Popielec</w:t>
            </w:r>
          </w:p>
        </w:tc>
      </w:tr>
      <w:tr>
        <w:trPr>
          <w:trHeight w:val="226"/>
        </w:trPr>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0" w:lineRule="exact"/>
        <w:rPr>
          <w:sz w:val="20"/>
          <w:szCs w:val="20"/>
          <w:color w:val="auto"/>
        </w:rPr>
      </w:pPr>
    </w:p>
    <w:p>
      <w:pPr>
        <w:ind w:left="640" w:hanging="63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19" w:lineRule="exact"/>
        <w:rPr>
          <w:rFonts w:ascii="Arial" w:cs="Arial" w:eastAsia="Arial" w:hAnsi="Arial"/>
          <w:sz w:val="18"/>
          <w:szCs w:val="18"/>
          <w:color w:val="auto"/>
        </w:rPr>
      </w:pPr>
    </w:p>
    <w:p>
      <w:pPr>
        <w:jc w:val="both"/>
        <w:ind w:left="640" w:hanging="633"/>
        <w:spacing w:after="0" w:line="25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640" w:hanging="633"/>
        <w:spacing w:after="0" w:line="300"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left="640" w:hanging="633"/>
        <w:spacing w:after="0" w:line="25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280" w:hanging="313"/>
        <w:spacing w:after="0" w:line="333" w:lineRule="auto"/>
        <w:tabs>
          <w:tab w:leader="none" w:pos="12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280" w:hanging="313"/>
        <w:spacing w:after="0" w:line="258"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40" w:hanging="633"/>
        <w:spacing w:after="0" w:line="333"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6"/>
          <w:szCs w:val="16"/>
          <w:color w:val="auto"/>
        </w:rPr>
      </w:pPr>
    </w:p>
    <w:p>
      <w:pPr>
        <w:ind w:left="1280" w:hanging="313"/>
        <w:spacing w:after="0" w:line="300" w:lineRule="auto"/>
        <w:tabs>
          <w:tab w:leader="none" w:pos="12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1280" w:right="20" w:hanging="313"/>
        <w:spacing w:after="0" w:line="270"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Arial" w:cs="Arial" w:eastAsia="Arial" w:hAnsi="Arial"/>
                <w:sz w:val="18"/>
                <w:szCs w:val="18"/>
                <w:color w:val="auto"/>
              </w:rPr>
              <w:t>Date: July 30, 2020</w:t>
            </w:r>
          </w:p>
        </w:tc>
        <w:tc>
          <w:tcPr>
            <w:tcW w:w="6200" w:type="dxa"/>
            <w:vAlign w:val="bottom"/>
            <w:gridSpan w:val="2"/>
          </w:tcPr>
          <w:p>
            <w:pPr>
              <w:ind w:left="1940"/>
              <w:spacing w:after="0"/>
              <w:rPr>
                <w:sz w:val="20"/>
                <w:szCs w:val="20"/>
                <w:color w:val="auto"/>
              </w:rPr>
            </w:pPr>
            <w:r>
              <w:rPr>
                <w:rFonts w:ascii="Arial" w:cs="Arial" w:eastAsia="Arial" w:hAnsi="Arial"/>
                <w:sz w:val="18"/>
                <w:szCs w:val="18"/>
                <w:color w:val="auto"/>
              </w:rPr>
              <w:t>By: /s/ Philip A. Fain</w:t>
            </w:r>
          </w:p>
        </w:tc>
      </w:tr>
      <w:tr>
        <w:trPr>
          <w:trHeight w:val="20"/>
        </w:trPr>
        <w:tc>
          <w:tcPr>
            <w:tcW w:w="4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20" w:type="dxa"/>
            <w:vAlign w:val="bottom"/>
          </w:tcPr>
          <w:p>
            <w:pPr>
              <w:ind w:left="240"/>
              <w:spacing w:after="0" w:line="193" w:lineRule="exact"/>
              <w:rPr>
                <w:sz w:val="20"/>
                <w:szCs w:val="20"/>
                <w:color w:val="auto"/>
              </w:rPr>
            </w:pPr>
            <w:r>
              <w:rPr>
                <w:rFonts w:ascii="Arial" w:cs="Arial" w:eastAsia="Arial" w:hAnsi="Arial"/>
                <w:sz w:val="18"/>
                <w:szCs w:val="18"/>
                <w:color w:val="auto"/>
              </w:rPr>
              <w:t>Philip A. Fain</w:t>
            </w:r>
          </w:p>
        </w:tc>
      </w:tr>
      <w:tr>
        <w:trPr>
          <w:trHeight w:val="226"/>
        </w:trPr>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June 30, 2020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380" w:type="dxa"/>
            <w:vAlign w:val="bottom"/>
            <w:gridSpan w:val="5"/>
          </w:tcPr>
          <w:p>
            <w:pPr>
              <w:ind w:left="60"/>
              <w:spacing w:after="0"/>
              <w:rPr>
                <w:sz w:val="20"/>
                <w:szCs w:val="20"/>
                <w:color w:val="auto"/>
              </w:rPr>
            </w:pPr>
            <w:r>
              <w:rPr>
                <w:rFonts w:ascii="Arial" w:cs="Arial" w:eastAsia="Arial" w:hAnsi="Arial"/>
                <w:sz w:val="18"/>
                <w:szCs w:val="18"/>
                <w:color w:val="auto"/>
              </w:rPr>
              <w:t>Date: July 30, 2020</w:t>
            </w:r>
          </w:p>
        </w:tc>
        <w:tc>
          <w:tcPr>
            <w:tcW w:w="6200" w:type="dxa"/>
            <w:vAlign w:val="bottom"/>
            <w:gridSpan w:val="2"/>
          </w:tcPr>
          <w:p>
            <w:pPr>
              <w:ind w:left="1940"/>
              <w:spacing w:after="0"/>
              <w:rPr>
                <w:sz w:val="20"/>
                <w:szCs w:val="20"/>
                <w:color w:val="auto"/>
              </w:rPr>
            </w:pPr>
            <w:r>
              <w:rPr>
                <w:rFonts w:ascii="Arial" w:cs="Arial" w:eastAsia="Arial" w:hAnsi="Arial"/>
                <w:sz w:val="18"/>
                <w:szCs w:val="18"/>
                <w:color w:val="auto"/>
              </w:rPr>
              <w:t>By: /s/ Michael D. Popielec</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20" w:type="dxa"/>
            <w:vAlign w:val="bottom"/>
          </w:tcPr>
          <w:p>
            <w:pPr>
              <w:ind w:left="200"/>
              <w:spacing w:after="0" w:line="193" w:lineRule="exact"/>
              <w:rPr>
                <w:sz w:val="20"/>
                <w:szCs w:val="20"/>
                <w:color w:val="auto"/>
              </w:rPr>
            </w:pPr>
            <w:r>
              <w:rPr>
                <w:rFonts w:ascii="Arial" w:cs="Arial" w:eastAsia="Arial" w:hAnsi="Arial"/>
                <w:sz w:val="18"/>
                <w:szCs w:val="18"/>
                <w:color w:val="auto"/>
              </w:rPr>
              <w:t>Michael D. Popielec</w:t>
            </w:r>
          </w:p>
        </w:tc>
      </w:tr>
      <w:tr>
        <w:trPr>
          <w:trHeight w:val="226"/>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602"/>
        </w:trPr>
        <w:tc>
          <w:tcPr>
            <w:tcW w:w="3380" w:type="dxa"/>
            <w:vAlign w:val="bottom"/>
            <w:gridSpan w:val="5"/>
          </w:tcPr>
          <w:p>
            <w:pPr>
              <w:spacing w:after="0"/>
              <w:rPr>
                <w:sz w:val="20"/>
                <w:szCs w:val="20"/>
                <w:color w:val="auto"/>
              </w:rPr>
            </w:pPr>
            <w:r>
              <w:rPr>
                <w:rFonts w:ascii="Arial" w:cs="Arial" w:eastAsia="Arial" w:hAnsi="Arial"/>
                <w:sz w:val="18"/>
                <w:szCs w:val="18"/>
                <w:color w:val="auto"/>
              </w:rPr>
              <w:t>Date: July 30, 2020</w:t>
            </w:r>
          </w:p>
        </w:tc>
        <w:tc>
          <w:tcPr>
            <w:tcW w:w="6200" w:type="dxa"/>
            <w:vAlign w:val="bottom"/>
            <w:gridSpan w:val="2"/>
          </w:tcPr>
          <w:p>
            <w:pPr>
              <w:ind w:left="1940"/>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20" w:type="dxa"/>
            <w:vAlign w:val="bottom"/>
          </w:tcPr>
          <w:p>
            <w:pPr>
              <w:ind w:left="200"/>
              <w:spacing w:after="0" w:line="193" w:lineRule="exact"/>
              <w:rPr>
                <w:sz w:val="20"/>
                <w:szCs w:val="20"/>
                <w:color w:val="auto"/>
              </w:rPr>
            </w:pPr>
            <w:r>
              <w:rPr>
                <w:rFonts w:ascii="Arial" w:cs="Arial" w:eastAsia="Arial" w:hAnsi="Arial"/>
                <w:sz w:val="18"/>
                <w:szCs w:val="18"/>
                <w:color w:val="auto"/>
              </w:rPr>
              <w:t>Philip A. Fain</w:t>
            </w:r>
          </w:p>
        </w:tc>
      </w:tr>
      <w:tr>
        <w:trPr>
          <w:trHeight w:val="226"/>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2020-07-30T06:04:02Z</dcterms:created>
  <dcterms:modified xsi:type="dcterms:W3CDTF">2020-07-30T06:04:02Z</dcterms:modified>
</cp:coreProperties>
</file>