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480695</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540385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 w:lineRule="exact"/>
        <w:rPr>
          <w:sz w:val="24"/>
          <w:szCs w:val="24"/>
          <w:color w:val="auto"/>
        </w:rPr>
      </w:pPr>
    </w:p>
    <w:p>
      <w:pPr>
        <w:ind w:left="580" w:hanging="57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4"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2023</w:t>
      </w:r>
    </w:p>
    <w:p>
      <w:pPr>
        <w:spacing w:after="0" w:line="206" w:lineRule="exact"/>
        <w:rPr>
          <w:sz w:val="24"/>
          <w:szCs w:val="24"/>
          <w:color w:val="auto"/>
        </w:rPr>
      </w:pPr>
    </w:p>
    <w:p>
      <w:pPr>
        <w:ind w:left="3360" w:right="2060" w:hanging="3353"/>
        <w:spacing w:after="0" w:line="274" w:lineRule="auto"/>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number:0-20852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ULTRALIFE CORPORATION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tbl>
      <w:tblPr>
        <w:tblLayout w:type="fixed"/>
        <w:tblInd w:w="680" w:type="dxa"/>
        <w:tblCellMar>
          <w:top w:w="0" w:type="dxa"/>
          <w:left w:w="0" w:type="dxa"/>
          <w:bottom w:w="0" w:type="dxa"/>
          <w:right w:w="0" w:type="dxa"/>
        </w:tblCellMar>
      </w:tblPr>
      <w:tr>
        <w:trPr>
          <w:trHeight w:val="219"/>
        </w:trPr>
        <w:tc>
          <w:tcPr>
            <w:tcW w:w="5060" w:type="dxa"/>
            <w:vAlign w:val="bottom"/>
          </w:tcPr>
          <w:p>
            <w:pPr>
              <w:jc w:val="center"/>
              <w:ind w:right="691"/>
              <w:spacing w:after="0"/>
              <w:rPr>
                <w:sz w:val="20"/>
                <w:szCs w:val="20"/>
                <w:color w:val="auto"/>
              </w:rPr>
            </w:pPr>
            <w:r>
              <w:rPr>
                <w:rFonts w:ascii="Arial" w:cs="Arial" w:eastAsia="Arial" w:hAnsi="Arial"/>
                <w:sz w:val="18"/>
                <w:szCs w:val="18"/>
                <w:b w:val="1"/>
                <w:bCs w:val="1"/>
                <w:color w:val="auto"/>
                <w:w w:val="91"/>
              </w:rPr>
              <w:t>Delaware</w:t>
            </w:r>
          </w:p>
        </w:tc>
        <w:tc>
          <w:tcPr>
            <w:tcW w:w="4580" w:type="dxa"/>
            <w:vAlign w:val="bottom"/>
          </w:tcPr>
          <w:p>
            <w:pPr>
              <w:jc w:val="center"/>
              <w:ind w:left="711"/>
              <w:spacing w:after="0"/>
              <w:rPr>
                <w:sz w:val="20"/>
                <w:szCs w:val="20"/>
                <w:color w:val="auto"/>
              </w:rPr>
            </w:pPr>
            <w:r>
              <w:rPr>
                <w:rFonts w:ascii="Arial" w:cs="Arial" w:eastAsia="Arial" w:hAnsi="Arial"/>
                <w:sz w:val="18"/>
                <w:szCs w:val="18"/>
                <w:b w:val="1"/>
                <w:bCs w:val="1"/>
                <w:color w:val="auto"/>
                <w:w w:val="89"/>
              </w:rPr>
              <w:t>16-1387013</w:t>
            </w:r>
          </w:p>
        </w:tc>
      </w:tr>
      <w:tr>
        <w:trPr>
          <w:trHeight w:val="229"/>
        </w:trPr>
        <w:tc>
          <w:tcPr>
            <w:tcW w:w="5060" w:type="dxa"/>
            <w:vAlign w:val="bottom"/>
          </w:tcPr>
          <w:p>
            <w:pPr>
              <w:jc w:val="center"/>
              <w:ind w:right="691"/>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580" w:type="dxa"/>
            <w:vAlign w:val="bottom"/>
          </w:tcPr>
          <w:p>
            <w:pPr>
              <w:jc w:val="center"/>
              <w:ind w:left="731"/>
              <w:spacing w:after="0"/>
              <w:rPr>
                <w:sz w:val="20"/>
                <w:szCs w:val="20"/>
                <w:color w:val="auto"/>
              </w:rPr>
            </w:pPr>
            <w:r>
              <w:rPr>
                <w:rFonts w:ascii="Arial" w:cs="Arial" w:eastAsia="Arial" w:hAnsi="Arial"/>
                <w:sz w:val="18"/>
                <w:szCs w:val="18"/>
                <w:color w:val="auto"/>
                <w:w w:val="93"/>
              </w:rPr>
              <w:t>(I.R.S. Employer Identification No.)</w:t>
            </w:r>
          </w:p>
        </w:tc>
      </w:tr>
      <w:tr>
        <w:trPr>
          <w:trHeight w:val="415"/>
        </w:trPr>
        <w:tc>
          <w:tcPr>
            <w:tcW w:w="5060" w:type="dxa"/>
            <w:vAlign w:val="bottom"/>
          </w:tcPr>
          <w:p>
            <w:pPr>
              <w:jc w:val="center"/>
              <w:ind w:right="711"/>
              <w:spacing w:after="0"/>
              <w:rPr>
                <w:sz w:val="20"/>
                <w:szCs w:val="20"/>
                <w:color w:val="auto"/>
              </w:rPr>
            </w:pPr>
            <w:r>
              <w:rPr>
                <w:rFonts w:ascii="Arial" w:cs="Arial" w:eastAsia="Arial" w:hAnsi="Arial"/>
                <w:sz w:val="18"/>
                <w:szCs w:val="18"/>
                <w:b w:val="1"/>
                <w:bCs w:val="1"/>
                <w:color w:val="auto"/>
                <w:w w:val="90"/>
              </w:rPr>
              <w:t>2000 Technology Parkway Newark, New York 14513</w:t>
            </w:r>
          </w:p>
        </w:tc>
        <w:tc>
          <w:tcPr>
            <w:tcW w:w="4580" w:type="dxa"/>
            <w:vAlign w:val="bottom"/>
          </w:tcPr>
          <w:p>
            <w:pPr>
              <w:jc w:val="center"/>
              <w:ind w:left="671"/>
              <w:spacing w:after="0"/>
              <w:rPr>
                <w:sz w:val="20"/>
                <w:szCs w:val="20"/>
                <w:color w:val="auto"/>
              </w:rPr>
            </w:pPr>
            <w:r>
              <w:rPr>
                <w:rFonts w:ascii="Arial" w:cs="Arial" w:eastAsia="Arial" w:hAnsi="Arial"/>
                <w:sz w:val="18"/>
                <w:szCs w:val="18"/>
                <w:b w:val="1"/>
                <w:bCs w:val="1"/>
                <w:color w:val="auto"/>
                <w:w w:val="89"/>
              </w:rPr>
              <w:t>(315) 332-7100</w:t>
            </w:r>
          </w:p>
        </w:tc>
      </w:tr>
      <w:tr>
        <w:trPr>
          <w:trHeight w:val="229"/>
        </w:trPr>
        <w:tc>
          <w:tcPr>
            <w:tcW w:w="5060" w:type="dxa"/>
            <w:vAlign w:val="bottom"/>
          </w:tcPr>
          <w:p>
            <w:pPr>
              <w:jc w:val="center"/>
              <w:ind w:right="691"/>
              <w:spacing w:after="0"/>
              <w:rPr>
                <w:sz w:val="20"/>
                <w:szCs w:val="20"/>
                <w:color w:val="auto"/>
              </w:rPr>
            </w:pPr>
            <w:r>
              <w:rPr>
                <w:rFonts w:ascii="Arial" w:cs="Arial" w:eastAsia="Arial" w:hAnsi="Arial"/>
                <w:sz w:val="18"/>
                <w:szCs w:val="18"/>
                <w:color w:val="auto"/>
                <w:w w:val="92"/>
              </w:rPr>
              <w:t>(Address of principal executive offices) (Zip Code)</w:t>
            </w:r>
          </w:p>
        </w:tc>
        <w:tc>
          <w:tcPr>
            <w:tcW w:w="4580" w:type="dxa"/>
            <w:vAlign w:val="bottom"/>
          </w:tcPr>
          <w:p>
            <w:pPr>
              <w:jc w:val="center"/>
              <w:ind w:left="711"/>
              <w:spacing w:after="0"/>
              <w:rPr>
                <w:sz w:val="20"/>
                <w:szCs w:val="20"/>
                <w:color w:val="auto"/>
              </w:rPr>
            </w:pPr>
            <w:r>
              <w:rPr>
                <w:rFonts w:ascii="Arial" w:cs="Arial" w:eastAsia="Arial" w:hAnsi="Arial"/>
                <w:sz w:val="18"/>
                <w:szCs w:val="18"/>
                <w:color w:val="auto"/>
                <w:w w:val="89"/>
              </w:rPr>
              <w:t>(Registrant’s telephone number, including area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14" w:right="339" w:bottom="1440" w:gutter="0" w:footer="0" w:header="0"/>
        </w:sectPr>
      </w:pPr>
    </w:p>
    <w:p>
      <w:pPr>
        <w:spacing w:after="0" w:line="218"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4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ULBI</w:t>
      </w:r>
    </w:p>
    <w:p>
      <w:pPr>
        <w:spacing w:after="0" w:line="26"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NASDAQ</w:t>
      </w:r>
    </w:p>
    <w:p>
      <w:pPr>
        <w:spacing w:after="0" w:line="26"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260" w:space="720"/>
            <w:col w:w="2020" w:space="720"/>
            <w:col w:w="3520"/>
          </w:cols>
          <w:pgMar w:left="320" w:top="1114" w:right="339" w:bottom="1440" w:gutter="0" w:footer="0" w:header="0"/>
          <w:type w:val="continuous"/>
        </w:sectPr>
      </w:pPr>
    </w:p>
    <w:p>
      <w:pPr>
        <w:spacing w:after="0" w:line="8"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3"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14" w:right="339" w:bottom="1440" w:gutter="0" w:footer="0" w:header="0"/>
          <w:type w:val="continuous"/>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120" w:space="720"/>
            <w:col w:w="5400"/>
          </w:cols>
          <w:pgMar w:left="320" w:top="1114" w:right="339" w:bottom="1440" w:gutter="0" w:footer="0" w:header="0"/>
          <w:type w:val="continuous"/>
        </w:sectPr>
      </w:pPr>
    </w:p>
    <w:p>
      <w:pPr>
        <w:spacing w:after="0" w:line="4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120" w:space="720"/>
            <w:col w:w="5400"/>
          </w:cols>
          <w:pgMar w:left="320" w:top="1114" w:right="339" w:bottom="1440" w:gutter="0" w:footer="0" w:header="0"/>
          <w:type w:val="continuous"/>
        </w:sectPr>
      </w:pPr>
    </w:p>
    <w:p>
      <w:pPr>
        <w:spacing w:after="0" w:line="45" w:lineRule="exact"/>
        <w:rPr>
          <w:sz w:val="24"/>
          <w:szCs w:val="24"/>
          <w:color w:val="auto"/>
        </w:rPr>
      </w:pPr>
    </w:p>
    <w:p>
      <w:pPr>
        <w:ind w:left="5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114" w:right="339" w:bottom="1440" w:gutter="0" w:footer="0" w:header="0"/>
          <w:type w:val="continuous"/>
        </w:sectPr>
      </w:pPr>
    </w:p>
    <w:p>
      <w:pPr>
        <w:spacing w:after="0" w:line="290"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July 24, 2023, the registrant had 16,150,693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229870</wp:posOffset>
            </wp:positionV>
            <wp:extent cx="7132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647065</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998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0"/>
        </w:trPr>
        <w:tc>
          <w:tcPr>
            <w:tcW w:w="80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Financial Statements (unaudited):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Balance Sheets as of June 30, 2023 and December 31, 2022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800" w:type="dxa"/>
            <w:vAlign w:val="bottom"/>
            <w:shd w:val="clear" w:color="auto" w:fill="CCEEFF"/>
          </w:tcPr>
          <w:p>
            <w:pPr>
              <w:spacing w:after="0"/>
              <w:rPr>
                <w:sz w:val="17"/>
                <w:szCs w:val="17"/>
                <w:color w:val="auto"/>
              </w:rPr>
            </w:pPr>
          </w:p>
        </w:tc>
        <w:tc>
          <w:tcPr>
            <w:tcW w:w="99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Consolidated Statements of Income and Comprehensive Income (Loss) for the Three and Six-Month Periods Ended June 30, 2023 and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00" w:type="dxa"/>
            <w:vAlign w:val="bottom"/>
            <w:shd w:val="clear" w:color="auto" w:fill="CCEEFF"/>
          </w:tcPr>
          <w:p>
            <w:pPr>
              <w:spacing w:after="0"/>
              <w:rPr>
                <w:sz w:val="19"/>
                <w:szCs w:val="19"/>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30, 2022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Consolidated Statements of Cash Flows for the Six-Month Periods Ended June 30, 2023 and June 30, 2022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800" w:type="dxa"/>
            <w:vAlign w:val="bottom"/>
            <w:shd w:val="clear" w:color="auto" w:fill="CCEEFF"/>
          </w:tcPr>
          <w:p>
            <w:pPr>
              <w:spacing w:after="0"/>
              <w:rPr>
                <w:sz w:val="17"/>
                <w:szCs w:val="17"/>
                <w:color w:val="auto"/>
              </w:rPr>
            </w:pPr>
          </w:p>
        </w:tc>
        <w:tc>
          <w:tcPr>
            <w:tcW w:w="99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Consolidated Statements of Changes in Shareholders’ Equity for the Three and Six-Month Periods Ended June 30, 2023 and June 30,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00" w:type="dxa"/>
            <w:vAlign w:val="bottom"/>
            <w:shd w:val="clear" w:color="auto" w:fill="CCEEFF"/>
          </w:tcPr>
          <w:p>
            <w:pPr>
              <w:spacing w:after="0"/>
              <w:rPr>
                <w:sz w:val="19"/>
                <w:szCs w:val="19"/>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9"/>
                <w:szCs w:val="19"/>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to Consolidated Financial Statements (unaudited)</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16</w:t>
            </w: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25</w:t>
            </w: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26</w:t>
            </w:r>
          </w:p>
        </w:tc>
        <w:tc>
          <w:tcPr>
            <w:tcW w:w="100" w:type="dxa"/>
            <w:vAlign w:val="bottom"/>
            <w:shd w:val="clear" w:color="auto" w:fill="CCEEFF"/>
          </w:tcPr>
          <w:p>
            <w:pPr>
              <w:spacing w:after="0"/>
              <w:rPr>
                <w:sz w:val="18"/>
                <w:szCs w:val="18"/>
                <w:color w:val="auto"/>
              </w:rPr>
            </w:pPr>
          </w:p>
        </w:tc>
      </w:tr>
      <w:tr>
        <w:trPr>
          <w:trHeight w:val="215"/>
        </w:trPr>
        <w:tc>
          <w:tcPr>
            <w:tcW w:w="80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0" w:type="dxa"/>
            <w:vAlign w:val="bottom"/>
            <w:shd w:val="clear" w:color="auto" w:fill="CCEEFF"/>
          </w:tcPr>
          <w:p>
            <w:pPr>
              <w:spacing w:after="0"/>
              <w:rPr>
                <w:sz w:val="18"/>
                <w:szCs w:val="18"/>
                <w:color w:val="auto"/>
              </w:rPr>
            </w:pPr>
          </w:p>
        </w:tc>
        <w:tc>
          <w:tcPr>
            <w:tcW w:w="9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Signatures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27</w:t>
            </w:r>
          </w:p>
        </w:tc>
        <w:tc>
          <w:tcPr>
            <w:tcW w:w="100" w:type="dxa"/>
            <w:vAlign w:val="bottom"/>
            <w:shd w:val="clear" w:color="auto" w:fill="CCEEFF"/>
          </w:tcPr>
          <w:p>
            <w:pPr>
              <w:spacing w:after="0"/>
              <w:rPr>
                <w:sz w:val="18"/>
                <w:szCs w:val="18"/>
                <w:color w:val="auto"/>
              </w:rPr>
            </w:pPr>
          </w:p>
        </w:tc>
      </w:tr>
      <w:tr>
        <w:trPr>
          <w:trHeight w:val="571"/>
        </w:trPr>
        <w:tc>
          <w:tcPr>
            <w:tcW w:w="80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3"/>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8"/>
        </w:trPr>
        <w:tc>
          <w:tcPr>
            <w:tcW w:w="798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w w:val="96"/>
              </w:rPr>
              <w:t>Trade accounts receivable, net of allowance for expected credit losses of $288 and $303, respectively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27,779</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41,192</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18"/>
                <w:szCs w:val="18"/>
                <w:color w:val="auto"/>
              </w:rPr>
            </w:pPr>
          </w:p>
        </w:tc>
      </w:tr>
      <w:tr>
        <w:trPr>
          <w:trHeight w:val="208"/>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78,988</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21,716</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8"/>
                <w:szCs w:val="18"/>
                <w:color w:val="auto"/>
              </w:rPr>
            </w:pPr>
          </w:p>
        </w:tc>
      </w:tr>
      <w:tr>
        <w:trPr>
          <w:trHeight w:val="248"/>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175,392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5"/>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980" w:type="dxa"/>
            <w:vAlign w:val="bottom"/>
            <w:shd w:val="clear" w:color="auto" w:fill="CCEEFF"/>
          </w:tcPr>
          <w:p>
            <w:pPr>
              <w:ind w:left="3640"/>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00" w:type="dxa"/>
            <w:vAlign w:val="bottom"/>
          </w:tcPr>
          <w:p>
            <w:pPr>
              <w:spacing w:after="0"/>
              <w:rPr>
                <w:sz w:val="18"/>
                <w:szCs w:val="18"/>
                <w:color w:val="auto"/>
              </w:rPr>
            </w:pPr>
          </w:p>
        </w:tc>
      </w:tr>
      <w:tr>
        <w:trPr>
          <w:trHeight w:val="208"/>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28,913</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19,310</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8"/>
                <w:szCs w:val="18"/>
                <w:color w:val="auto"/>
              </w:rPr>
            </w:pPr>
          </w:p>
        </w:tc>
      </w:tr>
      <w:tr>
        <w:trPr>
          <w:trHeight w:val="208"/>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0"/>
        </w:trPr>
        <w:tc>
          <w:tcPr>
            <w:tcW w:w="79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Common stock – par value $.10 per share; authorized 40,000,000 shares; issued – 20,586,045 shares at</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June 30, 2023 and 20,570,710 shares at December 31, 2022; outstanding – 16,150,693 shares at June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30, 2023 and 16,135,358shares at December 31, 2022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9"/>
                <w:szCs w:val="19"/>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187,405</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(47,951)</w:t>
            </w: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(3,750)</w:t>
            </w: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Treasury stock - at cost; 4,435,352 shares at June 30, 2023 and 4,435,352 shares at December 31, 2022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(21,484)</w:t>
            </w:r>
          </w:p>
        </w:tc>
      </w:tr>
      <w:tr>
        <w:trPr>
          <w:trHeight w:val="208"/>
        </w:trPr>
        <w:tc>
          <w:tcPr>
            <w:tcW w:w="79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Ultralife Corporation equity</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119,530</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116,277</w:t>
            </w:r>
          </w:p>
        </w:tc>
        <w:tc>
          <w:tcPr>
            <w:tcW w:w="100" w:type="dxa"/>
            <w:vAlign w:val="bottom"/>
            <w:tcBorders>
              <w:top w:val="single" w:sz="8" w:color="CCEEFF"/>
            </w:tcBorders>
          </w:tcPr>
          <w:p>
            <w:pPr>
              <w:spacing w:after="0"/>
              <w:rPr>
                <w:sz w:val="18"/>
                <w:szCs w:val="18"/>
                <w:color w:val="auto"/>
              </w:rPr>
            </w:pPr>
          </w:p>
        </w:tc>
      </w:tr>
      <w:tr>
        <w:trPr>
          <w:trHeight w:val="215"/>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798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116,403</w:t>
            </w:r>
          </w:p>
        </w:tc>
        <w:tc>
          <w:tcPr>
            <w:tcW w:w="100" w:type="dxa"/>
            <w:vAlign w:val="bottom"/>
          </w:tcPr>
          <w:p>
            <w:pPr>
              <w:spacing w:after="0"/>
              <w:rPr>
                <w:sz w:val="18"/>
                <w:szCs w:val="18"/>
                <w:color w:val="auto"/>
              </w:rPr>
            </w:pPr>
          </w:p>
        </w:tc>
      </w:tr>
      <w:tr>
        <w:trPr>
          <w:trHeight w:val="208"/>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175,392</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168,430</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8"/>
                <w:szCs w:val="18"/>
                <w:b w:val="1"/>
                <w:bCs w:val="1"/>
                <w:color w:val="auto"/>
                <w:w w:val="91"/>
              </w:rPr>
              <w:t>Three-month period ended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8"/>
                <w:szCs w:val="18"/>
                <w:b w:val="1"/>
                <w:bCs w:val="1"/>
                <w:color w:val="auto"/>
                <w:w w:val="96"/>
              </w:rPr>
              <w:t>Six-month period ended</w:t>
            </w:r>
          </w:p>
        </w:tc>
        <w:tc>
          <w:tcPr>
            <w:tcW w:w="100" w:type="dxa"/>
            <w:vAlign w:val="bottom"/>
          </w:tcPr>
          <w:p>
            <w:pPr>
              <w:spacing w:after="0"/>
              <w:rPr>
                <w:sz w:val="20"/>
                <w:szCs w:val="20"/>
                <w:color w:val="auto"/>
              </w:rPr>
            </w:pPr>
          </w:p>
        </w:tc>
      </w:tr>
      <w:tr>
        <w:trPr>
          <w:trHeight w:val="190"/>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0"/>
              <w:spacing w:after="0" w:line="190" w:lineRule="exact"/>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6"/>
                <w:szCs w:val="16"/>
                <w:color w:val="auto"/>
              </w:rPr>
            </w:pPr>
          </w:p>
        </w:tc>
        <w:tc>
          <w:tcPr>
            <w:tcW w:w="960" w:type="dxa"/>
            <w:vAlign w:val="bottom"/>
          </w:tcPr>
          <w:p>
            <w:pPr>
              <w:jc w:val="right"/>
              <w:ind w:right="171"/>
              <w:spacing w:after="0" w:line="190" w:lineRule="exact"/>
              <w:rPr>
                <w:sz w:val="20"/>
                <w:szCs w:val="20"/>
                <w:color w:val="auto"/>
              </w:rPr>
            </w:pPr>
            <w:r>
              <w:rPr>
                <w:rFonts w:ascii="Arial" w:cs="Arial" w:eastAsia="Arial" w:hAnsi="Arial"/>
                <w:sz w:val="18"/>
                <w:szCs w:val="18"/>
                <w:b w:val="1"/>
                <w:bCs w:val="1"/>
                <w:color w:val="auto"/>
                <w:w w:val="94"/>
              </w:rPr>
              <w:t>June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line="190"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1"/>
              <w:spacing w:after="0" w:line="190"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6"/>
                <w:szCs w:val="16"/>
                <w:color w:val="auto"/>
              </w:rPr>
            </w:pPr>
          </w:p>
        </w:tc>
      </w:tr>
      <w:tr>
        <w:trPr>
          <w:trHeight w:val="233"/>
        </w:trPr>
        <w:tc>
          <w:tcPr>
            <w:tcW w:w="4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8"/>
        </w:trPr>
        <w:tc>
          <w:tcPr>
            <w:tcW w:w="432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62,499</w:t>
            </w:r>
          </w:p>
        </w:tc>
        <w:tc>
          <w:tcPr>
            <w:tcW w:w="100" w:type="dxa"/>
            <w:vAlign w:val="bottom"/>
            <w:shd w:val="clear" w:color="auto" w:fill="CCEEFF"/>
          </w:tcPr>
          <w:p>
            <w:pPr>
              <w:spacing w:after="0"/>
              <w:rPr>
                <w:sz w:val="18"/>
                <w:szCs w:val="18"/>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47,895</w:t>
            </w:r>
          </w:p>
        </w:tc>
        <w:tc>
          <w:tcPr>
            <w:tcW w:w="100" w:type="dxa"/>
            <w:vAlign w:val="bottom"/>
          </w:tcPr>
          <w:p>
            <w:pPr>
              <w:spacing w:after="0"/>
              <w:rPr>
                <w:sz w:val="18"/>
                <w:szCs w:val="18"/>
                <w:color w:val="auto"/>
              </w:rPr>
            </w:pPr>
          </w:p>
        </w:tc>
      </w:tr>
      <w:tr>
        <w:trPr>
          <w:trHeight w:val="208"/>
        </w:trPr>
        <w:tc>
          <w:tcPr>
            <w:tcW w:w="4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4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18"/>
                <w:szCs w:val="18"/>
                <w:color w:val="auto"/>
              </w:rPr>
            </w:pPr>
          </w:p>
        </w:tc>
      </w:tr>
      <w:tr>
        <w:trPr>
          <w:trHeight w:val="215"/>
        </w:trPr>
        <w:tc>
          <w:tcPr>
            <w:tcW w:w="4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43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w:t>
            </w:r>
          </w:p>
        </w:tc>
        <w:tc>
          <w:tcPr>
            <w:tcW w:w="100" w:type="dxa"/>
            <w:vAlign w:val="bottom"/>
          </w:tcPr>
          <w:p>
            <w:pPr>
              <w:spacing w:after="0"/>
              <w:rPr>
                <w:sz w:val="18"/>
                <w:szCs w:val="18"/>
                <w:color w:val="auto"/>
              </w:rPr>
            </w:pPr>
          </w:p>
        </w:tc>
      </w:tr>
      <w:tr>
        <w:trPr>
          <w:trHeight w:val="208"/>
        </w:trPr>
        <w:tc>
          <w:tcPr>
            <w:tcW w:w="4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r>
      <w:tr>
        <w:trPr>
          <w:trHeight w:val="215"/>
        </w:trPr>
        <w:tc>
          <w:tcPr>
            <w:tcW w:w="4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sect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and financing expense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Miscellaneous income</w:t>
      </w:r>
    </w:p>
    <w:p>
      <w:pPr>
        <w:spacing w:after="0" w:line="21"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Total other income (expense)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(864)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1120" w:type="dxa"/>
            <w:vAlign w:val="bottom"/>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r>
      <w:tr>
        <w:trPr>
          <w:trHeight w:val="208"/>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-425450</wp:posOffset>
            </wp:positionV>
            <wp:extent cx="7132955" cy="13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-144145</wp:posOffset>
            </wp:positionV>
            <wp:extent cx="7132955" cy="144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819"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8"/>
        </w:trPr>
        <w:tc>
          <w:tcPr>
            <w:tcW w:w="5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Ultralife Corporation</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2,898</w:t>
            </w:r>
          </w:p>
        </w:tc>
        <w:tc>
          <w:tcPr>
            <w:tcW w:w="44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195"/>
        </w:trPr>
        <w:tc>
          <w:tcPr>
            <w:tcW w:w="5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 xml:space="preserve">Net income per share attributable to Ultralife common stockholders </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basic</w:t>
            </w:r>
          </w:p>
        </w:tc>
        <w:tc>
          <w:tcPr>
            <w:tcW w:w="4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44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8"/>
              </w:rPr>
              <w:t xml:space="preserve">Net income per share attributable to Ultralife common stockholders </w:t>
            </w:r>
            <w:r>
              <w:rPr>
                <w:rFonts w:ascii="Arial" w:cs="Arial" w:eastAsia="Arial" w:hAnsi="Arial"/>
                <w:sz w:val="18"/>
                <w:szCs w:val="18"/>
                <w:color w:val="auto"/>
                <w:w w:val="98"/>
              </w:rPr>
              <w:t>–</w:t>
            </w:r>
          </w:p>
        </w:tc>
        <w:tc>
          <w:tcPr>
            <w:tcW w:w="100" w:type="dxa"/>
            <w:vAlign w:val="bottom"/>
            <w:vMerge w:val="restart"/>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vMerge w:val="restart"/>
            <w:shd w:val="clear" w:color="auto" w:fill="CCEEFF"/>
          </w:tcPr>
          <w:p>
            <w:pPr>
              <w:spacing w:after="0"/>
              <w:rPr>
                <w:sz w:val="17"/>
                <w:szCs w:val="17"/>
                <w:color w:val="auto"/>
              </w:rPr>
            </w:pPr>
          </w:p>
        </w:tc>
        <w:tc>
          <w:tcPr>
            <w:tcW w:w="80" w:type="dxa"/>
            <w:vAlign w:val="bottom"/>
            <w:vMerge w:val="restart"/>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86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diluted</w:t>
            </w: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Weighted average shares outstanding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Six-month period ended</w:t>
            </w:r>
          </w:p>
        </w:tc>
      </w:tr>
      <w:tr>
        <w:trPr>
          <w:trHeight w:val="190"/>
        </w:trPr>
        <w:tc>
          <w:tcPr>
            <w:tcW w:w="79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540"/>
              <w:spacing w:after="0" w:line="190" w:lineRule="exact"/>
              <w:rPr>
                <w:sz w:val="20"/>
                <w:szCs w:val="20"/>
                <w:color w:val="auto"/>
              </w:rPr>
            </w:pPr>
            <w:r>
              <w:rPr>
                <w:rFonts w:ascii="Arial" w:cs="Arial" w:eastAsia="Arial" w:hAnsi="Arial"/>
                <w:sz w:val="18"/>
                <w:szCs w:val="18"/>
                <w:b w:val="1"/>
                <w:bCs w:val="1"/>
                <w:color w:val="auto"/>
              </w:rPr>
              <w:t>June 30,</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1"/>
              <w:spacing w:after="0" w:line="190"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6"/>
                <w:szCs w:val="16"/>
                <w:color w:val="auto"/>
              </w:rPr>
            </w:pPr>
          </w:p>
        </w:tc>
      </w:tr>
      <w:tr>
        <w:trPr>
          <w:trHeight w:val="233"/>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8"/>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3,013</w:t>
            </w:r>
          </w:p>
        </w:tc>
        <w:tc>
          <w:tcPr>
            <w:tcW w:w="140" w:type="dxa"/>
            <w:vAlign w:val="bottom"/>
          </w:tcPr>
          <w:p>
            <w:pPr>
              <w:spacing w:after="0"/>
              <w:rPr>
                <w:sz w:val="18"/>
                <w:szCs w:val="18"/>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320"/>
              <w:spacing w:after="0"/>
              <w:rPr>
                <w:sz w:val="20"/>
                <w:szCs w:val="20"/>
                <w:color w:val="auto"/>
              </w:rPr>
            </w:pPr>
            <w:r>
              <w:rPr>
                <w:rFonts w:ascii="Arial" w:cs="Arial" w:eastAsia="Arial" w:hAnsi="Arial"/>
                <w:sz w:val="18"/>
                <w:szCs w:val="18"/>
                <w:color w:val="auto"/>
              </w:rPr>
              <w:t>Amortization of financing fees</w:t>
            </w:r>
          </w:p>
        </w:tc>
        <w:tc>
          <w:tcPr>
            <w:tcW w:w="2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15"/>
        </w:trPr>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(2,385)</w:t>
            </w:r>
          </w:p>
        </w:tc>
      </w:tr>
      <w:tr>
        <w:trPr>
          <w:trHeight w:val="215"/>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(6,606)</w:t>
            </w:r>
          </w:p>
        </w:tc>
      </w:tr>
      <w:tr>
        <w:trPr>
          <w:trHeight w:val="215"/>
        </w:trPr>
        <w:tc>
          <w:tcPr>
            <w:tcW w:w="798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15"/>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7980" w:type="dxa"/>
            <w:vAlign w:val="bottom"/>
          </w:tcPr>
          <w:p>
            <w:pPr>
              <w:ind w:left="32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(3,400)</w:t>
            </w:r>
          </w:p>
        </w:tc>
      </w:tr>
      <w:tr>
        <w:trPr>
          <w:trHeight w:val="208"/>
        </w:trPr>
        <w:tc>
          <w:tcPr>
            <w:tcW w:w="79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r>
      <w:tr>
        <w:trPr>
          <w:trHeight w:val="20"/>
        </w:trPr>
        <w:tc>
          <w:tcPr>
            <w:tcW w:w="79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798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r>
      <w:tr>
        <w:trPr>
          <w:trHeight w:val="208"/>
        </w:trPr>
        <w:tc>
          <w:tcPr>
            <w:tcW w:w="79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on revolving credit facility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Payments on term loan facility</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ind w:left="16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5"/>
        </w:trPr>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withholdings on stock-based awards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08"/>
        </w:trPr>
        <w:tc>
          <w:tcPr>
            <w:tcW w:w="79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top w:val="single" w:sz="8" w:color="CCEEFF"/>
            </w:tcBorders>
          </w:tcPr>
          <w:p>
            <w:pPr>
              <w:spacing w:after="0"/>
              <w:rPr>
                <w:sz w:val="18"/>
                <w:szCs w:val="18"/>
                <w:color w:val="auto"/>
              </w:rPr>
            </w:pPr>
          </w:p>
        </w:tc>
      </w:tr>
      <w:tr>
        <w:trPr>
          <w:trHeight w:val="208"/>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08"/>
        </w:trPr>
        <w:tc>
          <w:tcPr>
            <w:tcW w:w="79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(3,299)</w:t>
            </w:r>
          </w:p>
        </w:tc>
      </w:tr>
      <w:tr>
        <w:trPr>
          <w:trHeight w:val="215"/>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18"/>
                <w:szCs w:val="18"/>
                <w:color w:val="auto"/>
              </w:rPr>
            </w:pPr>
          </w:p>
        </w:tc>
      </w:tr>
      <w:tr>
        <w:trPr>
          <w:trHeight w:val="248"/>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218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80" w:type="dxa"/>
            <w:vAlign w:val="bottom"/>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in Excess</w:t>
            </w: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w w:val="93"/>
              </w:rPr>
              <w:t>Number of</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320"/>
              <w:spacing w:after="0" w:line="190" w:lineRule="exact"/>
              <w:rPr>
                <w:sz w:val="20"/>
                <w:szCs w:val="20"/>
                <w:color w:val="auto"/>
              </w:rPr>
            </w:pPr>
            <w:r>
              <w:rPr>
                <w:rFonts w:ascii="Arial" w:cs="Arial" w:eastAsia="Arial" w:hAnsi="Arial"/>
                <w:sz w:val="18"/>
                <w:szCs w:val="18"/>
                <w:b w:val="1"/>
                <w:bCs w:val="1"/>
                <w:color w:val="auto"/>
                <w:w w:val="90"/>
              </w:rPr>
              <w:t>of Par</w:t>
            </w:r>
          </w:p>
        </w:tc>
        <w:tc>
          <w:tcPr>
            <w:tcW w:w="1400" w:type="dxa"/>
            <w:vAlign w:val="bottom"/>
            <w:gridSpan w:val="3"/>
          </w:tcPr>
          <w:p>
            <w:pPr>
              <w:ind w:left="20"/>
              <w:spacing w:after="0" w:line="190" w:lineRule="exact"/>
              <w:rPr>
                <w:sz w:val="20"/>
                <w:szCs w:val="20"/>
                <w:color w:val="auto"/>
              </w:rPr>
            </w:pPr>
            <w:r>
              <w:rPr>
                <w:rFonts w:ascii="Arial" w:cs="Arial" w:eastAsia="Arial" w:hAnsi="Arial"/>
                <w:sz w:val="18"/>
                <w:szCs w:val="18"/>
                <w:b w:val="1"/>
                <w:bCs w:val="1"/>
                <w:color w:val="auto"/>
              </w:rPr>
              <w:t>Comprehensive</w:t>
            </w:r>
          </w:p>
        </w:tc>
        <w:tc>
          <w:tcPr>
            <w:tcW w:w="1220" w:type="dxa"/>
            <w:vAlign w:val="bottom"/>
            <w:gridSpan w:val="3"/>
          </w:tcPr>
          <w:p>
            <w:pPr>
              <w:ind w:left="20"/>
              <w:spacing w:after="0" w:line="190"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920" w:type="dxa"/>
            <w:vAlign w:val="bottom"/>
            <w:gridSpan w:val="2"/>
          </w:tcPr>
          <w:p>
            <w:pPr>
              <w:jc w:val="right"/>
              <w:ind w:right="142"/>
              <w:spacing w:after="0" w:line="190" w:lineRule="exact"/>
              <w:rPr>
                <w:sz w:val="20"/>
                <w:szCs w:val="20"/>
                <w:color w:val="auto"/>
              </w:rPr>
            </w:pPr>
            <w:r>
              <w:rPr>
                <w:rFonts w:ascii="Arial" w:cs="Arial" w:eastAsia="Arial" w:hAnsi="Arial"/>
                <w:sz w:val="18"/>
                <w:szCs w:val="18"/>
                <w:b w:val="1"/>
                <w:bCs w:val="1"/>
                <w:color w:val="auto"/>
                <w:w w:val="89"/>
              </w:rPr>
              <w:t>Treasury</w:t>
            </w:r>
          </w:p>
        </w:tc>
        <w:tc>
          <w:tcPr>
            <w:tcW w:w="80" w:type="dxa"/>
            <w:vAlign w:val="bottom"/>
          </w:tcPr>
          <w:p>
            <w:pPr>
              <w:spacing w:after="0"/>
              <w:rPr>
                <w:sz w:val="16"/>
                <w:szCs w:val="16"/>
                <w:color w:val="auto"/>
              </w:rPr>
            </w:pPr>
          </w:p>
        </w:tc>
        <w:tc>
          <w:tcPr>
            <w:tcW w:w="1060" w:type="dxa"/>
            <w:vAlign w:val="bottom"/>
            <w:gridSpan w:val="3"/>
          </w:tcPr>
          <w:p>
            <w:pPr>
              <w:jc w:val="center"/>
              <w:ind w:right="140"/>
              <w:spacing w:after="0" w:line="190" w:lineRule="exact"/>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8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92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20,522,427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(21,469)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117,743</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0"/>
        </w:trPr>
        <w:tc>
          <w:tcPr>
            <w:tcW w:w="218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6,664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Foreign currency translation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(1,498)</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8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June 30, 2022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20,567,460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186,999</w:t>
            </w:r>
          </w:p>
        </w:tc>
        <w:tc>
          <w:tcPr>
            <w:tcW w:w="2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(3,151)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(47,488)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
              <w:spacing w:after="0"/>
              <w:rPr>
                <w:sz w:val="20"/>
                <w:szCs w:val="20"/>
                <w:color w:val="auto"/>
              </w:rPr>
            </w:pPr>
            <w:r>
              <w:rPr>
                <w:rFonts w:ascii="Arial" w:cs="Arial" w:eastAsia="Arial" w:hAnsi="Arial"/>
                <w:sz w:val="18"/>
                <w:szCs w:val="18"/>
                <w:color w:val="auto"/>
              </w:rPr>
              <w:t>(21,480)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117,067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line="196"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tcPr>
          <w:p>
            <w:pPr>
              <w:ind w:left="160"/>
              <w:spacing w:after="0"/>
              <w:rPr>
                <w:sz w:val="20"/>
                <w:szCs w:val="20"/>
                <w:color w:val="auto"/>
              </w:rPr>
            </w:pPr>
            <w:r>
              <w:rPr>
                <w:rFonts w:ascii="Arial" w:cs="Arial" w:eastAsia="Arial" w:hAnsi="Arial"/>
                <w:sz w:val="18"/>
                <w:szCs w:val="18"/>
                <w:b w:val="1"/>
                <w:bCs w:val="1"/>
                <w:color w:val="auto"/>
              </w:rPr>
              <w:t>2022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20,570,710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187,405</w:t>
            </w:r>
          </w:p>
        </w:tc>
        <w:tc>
          <w:tcPr>
            <w:tcW w:w="2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(3,750)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(47,951)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
              <w:spacing w:after="0"/>
              <w:rPr>
                <w:sz w:val="20"/>
                <w:szCs w:val="20"/>
                <w:color w:val="auto"/>
              </w:rPr>
            </w:pPr>
            <w:r>
              <w:rPr>
                <w:rFonts w:ascii="Arial" w:cs="Arial" w:eastAsia="Arial" w:hAnsi="Arial"/>
                <w:sz w:val="18"/>
                <w:szCs w:val="18"/>
                <w:color w:val="auto"/>
              </w:rPr>
              <w:t>(21,484)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116,403</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15,335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Stock-based compensation –</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0"/>
        </w:trPr>
        <w:tc>
          <w:tcPr>
            <w:tcW w:w="218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Foreign currency translation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18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June 30, 2023</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20,586,045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187,758</w:t>
            </w:r>
          </w:p>
        </w:tc>
        <w:tc>
          <w:tcPr>
            <w:tcW w:w="2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(3,846)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(44,957)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
              <w:spacing w:after="0"/>
              <w:rPr>
                <w:sz w:val="20"/>
                <w:szCs w:val="20"/>
                <w:color w:val="auto"/>
              </w:rPr>
            </w:pPr>
            <w:r>
              <w:rPr>
                <w:rFonts w:ascii="Arial" w:cs="Arial" w:eastAsia="Arial" w:hAnsi="Arial"/>
                <w:sz w:val="18"/>
                <w:szCs w:val="18"/>
                <w:color w:val="auto"/>
              </w:rPr>
              <w:t>(21,484)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119,675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spacing w:after="0"/>
              <w:rPr>
                <w:sz w:val="16"/>
                <w:szCs w:val="16"/>
                <w:color w:val="auto"/>
              </w:rPr>
            </w:pPr>
          </w:p>
        </w:tc>
        <w:tc>
          <w:tcPr>
            <w:tcW w:w="200" w:type="dxa"/>
            <w:vAlign w:val="bottom"/>
            <w:gridSpan w:val="2"/>
            <w:shd w:val="clear" w:color="auto" w:fill="CCEEFF"/>
          </w:tcPr>
          <w:p>
            <w:pPr>
              <w:spacing w:after="0"/>
              <w:rPr>
                <w:sz w:val="16"/>
                <w:szCs w:val="16"/>
                <w:color w:val="auto"/>
              </w:rPr>
            </w:pPr>
          </w:p>
        </w:tc>
        <w:tc>
          <w:tcPr>
            <w:tcW w:w="940" w:type="dxa"/>
            <w:vAlign w:val="bottom"/>
            <w:gridSpan w:val="2"/>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80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20"/>
                <w:szCs w:val="20"/>
                <w:color w:val="auto"/>
              </w:rPr>
            </w:pPr>
            <w:r>
              <w:rPr>
                <w:rFonts w:ascii="Arial" w:cs="Arial" w:eastAsia="Arial" w:hAnsi="Arial"/>
                <w:sz w:val="18"/>
                <w:szCs w:val="18"/>
                <w:b w:val="1"/>
                <w:bCs w:val="1"/>
                <w:color w:val="auto"/>
                <w:w w:val="99"/>
              </w:rPr>
              <w:t xml:space="preserve">Balance </w:t>
            </w:r>
            <w:r>
              <w:rPr>
                <w:rFonts w:ascii="Arial" w:cs="Arial" w:eastAsia="Arial" w:hAnsi="Arial"/>
                <w:sz w:val="18"/>
                <w:szCs w:val="18"/>
                <w:color w:val="auto"/>
                <w:w w:val="99"/>
              </w:rPr>
              <w:t>–</w:t>
            </w:r>
            <w:r>
              <w:rPr>
                <w:rFonts w:ascii="Arial" w:cs="Arial" w:eastAsia="Arial" w:hAnsi="Arial"/>
                <w:sz w:val="18"/>
                <w:szCs w:val="18"/>
                <w:b w:val="1"/>
                <w:bCs w:val="1"/>
                <w:color w:val="auto"/>
                <w:w w:val="99"/>
              </w:rPr>
              <w:t xml:space="preserve"> March 31, 2022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20,560,796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186,816</w:t>
            </w:r>
          </w:p>
        </w:tc>
        <w:tc>
          <w:tcPr>
            <w:tcW w:w="2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(1,889)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
              <w:spacing w:after="0"/>
              <w:rPr>
                <w:sz w:val="20"/>
                <w:szCs w:val="20"/>
                <w:color w:val="auto"/>
              </w:rPr>
            </w:pPr>
            <w:r>
              <w:rPr>
                <w:rFonts w:ascii="Arial" w:cs="Arial" w:eastAsia="Arial" w:hAnsi="Arial"/>
                <w:sz w:val="18"/>
                <w:szCs w:val="18"/>
                <w:color w:val="auto"/>
              </w:rPr>
              <w:t>(21,476)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117,641</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Stock-based compensation –</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0"/>
        </w:trPr>
        <w:tc>
          <w:tcPr>
            <w:tcW w:w="218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0"/>
        </w:trPr>
        <w:tc>
          <w:tcPr>
            <w:tcW w:w="2180" w:type="dxa"/>
            <w:vAlign w:val="bottom"/>
          </w:tcPr>
          <w:p>
            <w:pPr>
              <w:spacing w:after="0" w:line="201" w:lineRule="exact"/>
              <w:rPr>
                <w:sz w:val="20"/>
                <w:szCs w:val="20"/>
                <w:color w:val="auto"/>
              </w:rPr>
            </w:pPr>
            <w:r>
              <w:rPr>
                <w:rFonts w:ascii="Arial" w:cs="Arial" w:eastAsia="Arial" w:hAnsi="Arial"/>
                <w:sz w:val="18"/>
                <w:szCs w:val="18"/>
                <w:color w:val="auto"/>
                <w:w w:val="96"/>
              </w:rPr>
              <w:t>Foreign currency translation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18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June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20,567,460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186,999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8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 xml:space="preserve">Balance </w:t>
            </w:r>
            <w:r>
              <w:rPr>
                <w:rFonts w:ascii="Arial" w:cs="Arial" w:eastAsia="Arial" w:hAnsi="Arial"/>
                <w:sz w:val="18"/>
                <w:szCs w:val="18"/>
                <w:color w:val="auto"/>
                <w:w w:val="99"/>
              </w:rPr>
              <w:t>–</w:t>
            </w:r>
            <w:r>
              <w:rPr>
                <w:rFonts w:ascii="Arial" w:cs="Arial" w:eastAsia="Arial" w:hAnsi="Arial"/>
                <w:sz w:val="18"/>
                <w:szCs w:val="18"/>
                <w:b w:val="1"/>
                <w:bCs w:val="1"/>
                <w:color w:val="auto"/>
                <w:w w:val="99"/>
              </w:rPr>
              <w:t xml:space="preserve"> March 31, 2023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20,570,710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(21,484)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116,404</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0"/>
        </w:trPr>
        <w:tc>
          <w:tcPr>
            <w:tcW w:w="218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0"/>
        </w:trPr>
        <w:tc>
          <w:tcPr>
            <w:tcW w:w="2180" w:type="dxa"/>
            <w:vAlign w:val="bottom"/>
          </w:tcPr>
          <w:p>
            <w:pPr>
              <w:spacing w:after="0" w:line="201" w:lineRule="exact"/>
              <w:rPr>
                <w:sz w:val="20"/>
                <w:szCs w:val="20"/>
                <w:color w:val="auto"/>
              </w:rPr>
            </w:pPr>
            <w:r>
              <w:rPr>
                <w:rFonts w:ascii="Arial" w:cs="Arial" w:eastAsia="Arial" w:hAnsi="Arial"/>
                <w:sz w:val="18"/>
                <w:szCs w:val="18"/>
                <w:color w:val="auto"/>
                <w:w w:val="96"/>
              </w:rPr>
              <w:t>Foreign currency translation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18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June 30,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20,586,045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187,758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(21,484</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9"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2022.</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December 31, 2022 consolidated balance sheet information referenced herein was derived from audited financial statements but does not include all disclosures required by GAAP.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quarter ended June 30, 2023, in consultation with third party experts, the Company completed an analysis to determine and verify its eligibility for the Employee Retention Credit (“ERC”), which is a refundable tax credit against certain employment taxes under Section 2301 of the Coronavirus Aid, Relief, and Economic Security Act of 2020 (“CARES Act”) and the American Rescue Plan of 2021, and filed the necessary amended payroll tax forms with the Internal Revenue Service to claim a refund for the credit. The ERC refund receivable of $1,544 is included in prepaid expenses and other current assets on our consolidated balance sheet as of June 30, 2023, and the benefit is recognized as other income (expense) on our consolidated statement of income for the three and six-month periods ended June 30,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adoption of this new accounting standard did not have a material impact on our consolidated financial statements.</w:t>
      </w:r>
    </w:p>
    <w:p>
      <w:pPr>
        <w:spacing w:after="0" w:line="200" w:lineRule="exact"/>
        <w:rPr>
          <w:sz w:val="20"/>
          <w:szCs w:val="20"/>
          <w:color w:val="auto"/>
        </w:rPr>
      </w:pPr>
    </w:p>
    <w:p>
      <w:pPr>
        <w:spacing w:after="0" w:line="230"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DEBT</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December 13, 2021, Ultralife, Southwest Electronic Energy Corporation, a Texas corporation and wholly owned subsidiary of Ultralife (“SWE”), CLB, INC., a Texas corporation and wholly owned subsidiary of SWE (“CLB”), Ultralife Excell Holding Corp., a Delaware corporation and wholly owned subsidiary of Ultralife (“UEHC”), Ultralife Canada Holding Corp., a Delaware corporation and wholly owned subsidiary of UEHC (“UCHC”), and Excell Battery Corporation USA, a Texas corporation and wholly owned subsidiary of UEHC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On November 28, 2022, Ultralife, SWE, CLB, UEHC, UCHC, Excell USA, and Excell Battery Canada ULC, a British Columbia unlimited liability corporation and wholly owned subsidiary of UCHC (“Excell Canada”), entered into that certain Third Amendment Agreement with KeyBank, to further amend the Credit Agreement to, among other things, facilitate the joinder of Excell Canada as a guarantor under the Credit Agreement and to replace the LIBOR benchmark thereunder with SOFR (the “Third Amendment Agreement”, and together with the Second Amendment Agreement and the Credit Agreement, the “Amended Credit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 of June 30, 2023, the Company had $7,167 outstanding principal on the Term Loan Facility, $2,000 of which is included in current portion of long-term debt on the balance sheet, and $17,630 outstanding on the Revolving Credit Facility. As of June 30, 2023, total unamortized debt issuance costs of $155, including placement, renewal and legal fees associated with the Amended Credit Agreement, are classified as a reduction of long-term debt on the balance sheet. Debt issuance costs are amortized to interest expense over the term of the Amended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remaining availability under the Revolving Credit Facility is subject to certain borrowing base limits based on trade receivables and inventories.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 The Company was in full compliance with its covenants under the Amended Credit Agreement as of June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Amended Credit Facilities are secured by substantially all the assets of the Company and its subsidiaries.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Upon the effectiveness of the Third Amendment Agreement, interest accrues on outstanding indebtedness under the Amended Credit Facilities at the Daily Simple SOFR Rate, plus an index spread adjustment of 0.10%, plus the applicable margin. The applicable margin ranges from 185 to 215 basis points and is determined based on the Company’s senior leverage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0.15% to 0.25% based on the average daily unused availability under the Revolving Credit Facility.</w:t>
      </w:r>
    </w:p>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8" w:name="page9"/>
    <w:bookmarkEnd w:id="8"/>
    <w:p>
      <w:pPr>
        <w:ind w:left="320" w:hanging="313"/>
        <w:spacing w:after="0"/>
        <w:tabs>
          <w:tab w:leader="none" w:pos="3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Basic earnings (loss) per share (“EPS”) is computed by dividing net income (loss) attributable to Ultralife by the weighted average shares outstanding during the period. Diluted EPS includes the dilutive effect of securities, if any, and is calculated using the treasury stock method.</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three-month period ended June 30, 2023, there were 4,166 outstanding stock options and 2,500 unvested restricted stock awards included in the calculation of diluted weighted average shares outstanding, as such securities were dilutive, resulting in 2,334 potential common shares included in the calculation of diluted EPS. For the comparable three-month period ended June 30, 2022, 135,163 outstanding stock options and unvested 5,000 restricted stock awards were included in the calculation of diluted EPS, resulting in 20,352 potential common shares included in the calculation of diluted EPS. There were 1,289,862 and 1,073,077 outstanding stock options for the three-month periods ended June 30, 2023 and 2022, respectively, not included in EPS as the effect would be anti-dilutive.</w:t>
      </w:r>
    </w:p>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the six-month period ended June 30, 2023, there were no outstanding stock options and 2,500 unvested restricted stock awards included in the calculation of diluted weighted average shares outstanding, resulting in 2,157 potential common shares included in the calculation of diluted EPS. For the comparable six-month period ended June 30, 2022, 135,163 outstanding stock options and 5,000 unvested restricted stock awards were included in the calculation of diluted EPS, resulting in 24,751 potential common shares included in the calculation of diluted EPS. There were 1,294,028 and 1,073,077 outstanding stock options for the six-month periods ended June 30, 2023 and 2022, respectively, not included in EPS as the effect would be anti-dilutive.</w:t>
      </w:r>
    </w:p>
    <w:p>
      <w:pPr>
        <w:spacing w:after="0" w:line="200" w:lineRule="exact"/>
        <w:rPr>
          <w:sz w:val="20"/>
          <w:szCs w:val="20"/>
          <w:color w:val="auto"/>
        </w:rPr>
      </w:pPr>
    </w:p>
    <w:p>
      <w:pPr>
        <w:spacing w:after="0" w:line="203" w:lineRule="exact"/>
        <w:rPr>
          <w:sz w:val="20"/>
          <w:szCs w:val="20"/>
          <w:color w:val="auto"/>
        </w:rPr>
      </w:pPr>
    </w:p>
    <w:p>
      <w:pPr>
        <w:ind w:right="6680" w:firstLine="7"/>
        <w:spacing w:after="0" w:line="527" w:lineRule="auto"/>
        <w:tabs>
          <w:tab w:leader="none" w:pos="322"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SUPPLEMENTAL BALANCE SHEET INFORMATION Fair Value Measurements and Disclosures</w:t>
      </w:r>
    </w:p>
    <w:p>
      <w:pPr>
        <w:jc w:val="both"/>
        <w:spacing w:after="0" w:line="261" w:lineRule="auto"/>
        <w:rPr>
          <w:sz w:val="20"/>
          <w:szCs w:val="20"/>
          <w:color w:val="auto"/>
        </w:rPr>
      </w:pPr>
      <w:r>
        <w:rPr>
          <w:rFonts w:ascii="Arial" w:cs="Arial" w:eastAsia="Arial" w:hAnsi="Arial"/>
          <w:sz w:val="18"/>
          <w:szCs w:val="18"/>
          <w:color w:val="auto"/>
        </w:rPr>
        <w:t>The fair value of financial instruments approximated their carrying values at June 30, 2023 and December 31, 2022. The fair value of cash, accounts receivable, accounts payable, accrued liabilities, and the current portion of long-term debt approximates carrying value due to the short-term nature of these instruments.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w:t>
            </w: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764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2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3"/>
        </w:trPr>
        <w:tc>
          <w:tcPr>
            <w:tcW w:w="2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8"/>
        </w:trPr>
        <w:tc>
          <w:tcPr>
            <w:tcW w:w="2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48"/>
        </w:trPr>
        <w:tc>
          <w:tcPr>
            <w:tcW w:w="28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ind w:right="8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8,283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2023 and December 31, 2022, restricted cash included $81 and $79,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net realizable value, net of obsolescence reserves, with cost determined under the first-in, first-out (FIFO)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method. The composition of inventories, net was: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31"/>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Work in process</w:t>
            </w:r>
          </w:p>
        </w:tc>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Total</w:t>
            </w:r>
          </w:p>
        </w:tc>
        <w:tc>
          <w:tcPr>
            <w:tcW w:w="4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46,063</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41,192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140" w:type="dxa"/>
            <w:vAlign w:val="bottom"/>
            <w:vMerge w:val="restart"/>
          </w:tcPr>
          <w:p>
            <w:pPr>
              <w:jc w:val="right"/>
              <w:ind w:right="1911"/>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9"/>
        </w:trPr>
        <w:tc>
          <w:tcPr>
            <w:tcW w:w="5960" w:type="dxa"/>
            <w:vAlign w:val="bottom"/>
            <w:gridSpan w:val="2"/>
          </w:tcPr>
          <w:p>
            <w:pPr>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233"/>
        </w:trPr>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ind w:right="4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15,569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15,572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64,044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8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93,322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(72,200)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(70,944)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2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21,122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625"/>
        </w:trPr>
        <w:tc>
          <w:tcPr>
            <w:tcW w:w="5960" w:type="dxa"/>
            <w:vAlign w:val="bottom"/>
            <w:gridSpan w:val="2"/>
          </w:tcPr>
          <w:p>
            <w:pPr>
              <w:spacing w:after="0"/>
              <w:rPr>
                <w:sz w:val="20"/>
                <w:szCs w:val="20"/>
                <w:color w:val="auto"/>
              </w:rPr>
            </w:pPr>
            <w:r>
              <w:rPr>
                <w:rFonts w:ascii="Arial" w:cs="Arial" w:eastAsia="Arial" w:hAnsi="Arial"/>
                <w:sz w:val="18"/>
                <w:szCs w:val="18"/>
                <w:color w:val="auto"/>
              </w:rPr>
              <w:t>Depreciation expense for property, plant and equipment was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Three-month period ended</w:t>
            </w:r>
          </w:p>
        </w:tc>
        <w:tc>
          <w:tcPr>
            <w:tcW w:w="80" w:type="dxa"/>
            <w:vAlign w:val="bottom"/>
          </w:tcPr>
          <w:p>
            <w:pPr>
              <w:spacing w:after="0"/>
              <w:rPr>
                <w:sz w:val="24"/>
                <w:szCs w:val="24"/>
                <w:color w:val="auto"/>
              </w:rPr>
            </w:pPr>
          </w:p>
        </w:tc>
        <w:tc>
          <w:tcPr>
            <w:tcW w:w="2480" w:type="dxa"/>
            <w:vAlign w:val="bottom"/>
            <w:gridSpan w:val="10"/>
          </w:tcPr>
          <w:p>
            <w:pPr>
              <w:jc w:val="right"/>
              <w:ind w:right="320"/>
              <w:spacing w:after="0"/>
              <w:rPr>
                <w:sz w:val="20"/>
                <w:szCs w:val="20"/>
                <w:color w:val="auto"/>
              </w:rPr>
            </w:pPr>
            <w:r>
              <w:rPr>
                <w:rFonts w:ascii="Arial" w:cs="Arial" w:eastAsia="Arial" w:hAnsi="Arial"/>
                <w:sz w:val="18"/>
                <w:szCs w:val="18"/>
                <w:b w:val="1"/>
                <w:bCs w:val="1"/>
                <w:color w:val="auto"/>
              </w:rPr>
              <w:t>Six-month period ended</w:t>
            </w:r>
          </w:p>
        </w:tc>
        <w:tc>
          <w:tcPr>
            <w:tcW w:w="100" w:type="dxa"/>
            <w:vAlign w:val="bottom"/>
          </w:tcPr>
          <w:p>
            <w:pPr>
              <w:spacing w:after="0"/>
              <w:rPr>
                <w:sz w:val="24"/>
                <w:szCs w:val="24"/>
                <w:color w:val="auto"/>
              </w:rPr>
            </w:pPr>
          </w:p>
        </w:tc>
      </w:tr>
      <w:tr>
        <w:trPr>
          <w:trHeight w:val="190"/>
        </w:trPr>
        <w:tc>
          <w:tcPr>
            <w:tcW w:w="2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80"/>
              <w:spacing w:after="0" w:line="190"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182"/>
              <w:spacing w:after="0" w:line="190" w:lineRule="exact"/>
              <w:rPr>
                <w:sz w:val="20"/>
                <w:szCs w:val="20"/>
                <w:color w:val="auto"/>
              </w:rPr>
            </w:pPr>
            <w:r>
              <w:rPr>
                <w:rFonts w:ascii="Arial" w:cs="Arial" w:eastAsia="Arial" w:hAnsi="Arial"/>
                <w:sz w:val="18"/>
                <w:szCs w:val="18"/>
                <w:b w:val="1"/>
                <w:bCs w:val="1"/>
                <w:color w:val="auto"/>
                <w:w w:val="94"/>
              </w:rPr>
              <w:t>June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gridSpan w:val="4"/>
          </w:tcPr>
          <w:p>
            <w:pPr>
              <w:jc w:val="center"/>
              <w:ind w:left="136"/>
              <w:spacing w:after="0" w:line="190"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right"/>
              <w:ind w:right="260"/>
              <w:spacing w:after="0" w:line="190"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6"/>
                <w:szCs w:val="16"/>
                <w:color w:val="auto"/>
              </w:rPr>
            </w:pPr>
          </w:p>
        </w:tc>
      </w:tr>
      <w:tr>
        <w:trPr>
          <w:trHeight w:val="233"/>
        </w:trPr>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2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980" w:type="dxa"/>
            <w:vAlign w:val="bottom"/>
            <w:gridSpan w:val="5"/>
          </w:tcPr>
          <w:p>
            <w:pPr>
              <w:jc w:val="right"/>
              <w:ind w:right="71"/>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4"/>
              </w:rPr>
              <w:t>1,522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six-month period ended June 30,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Battery &amp;</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Energy</w:t>
            </w: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Communications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Products</w:t>
            </w:r>
          </w:p>
        </w:tc>
        <w:tc>
          <w:tcPr>
            <w:tcW w:w="10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Total</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14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2023</w:t>
            </w:r>
          </w:p>
        </w:tc>
        <w:tc>
          <w:tcPr>
            <w:tcW w:w="144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26,008</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5"/>
        </w:trPr>
        <w:tc>
          <w:tcPr>
            <w:tcW w:w="4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Intangible Assets, Net</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450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at June 30, 2023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line="190"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Net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Patents and technology</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Trademarks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1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28,223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12,671</w:t>
            </w:r>
          </w:p>
        </w:tc>
        <w:tc>
          <w:tcPr>
            <w:tcW w:w="42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15,552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40" w:type="dxa"/>
            <w:vAlign w:val="bottom"/>
            <w:vMerge w:val="restart"/>
          </w:tcPr>
          <w:p>
            <w:pPr>
              <w:jc w:val="right"/>
              <w:ind w:right="191"/>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w w:val="97"/>
              </w:rPr>
              <w:t>at December 31, 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4"/>
          </w:tcPr>
          <w:p>
            <w:pPr>
              <w:jc w:val="right"/>
              <w:ind w:right="380"/>
              <w:spacing w:after="0" w:line="190"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340" w:type="dxa"/>
            <w:vAlign w:val="bottom"/>
            <w:gridSpan w:val="3"/>
          </w:tcPr>
          <w:p>
            <w:pPr>
              <w:ind w:lef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Net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Patents and technology</w:t>
            </w:r>
          </w:p>
        </w:tc>
        <w:tc>
          <w:tcPr>
            <w:tcW w:w="8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5,557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5,171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8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Trademarks</w:t>
            </w:r>
          </w:p>
        </w:tc>
        <w:tc>
          <w:tcPr>
            <w:tcW w:w="8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3,404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5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6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28,060</w:t>
            </w:r>
          </w:p>
        </w:tc>
        <w:tc>
          <w:tcPr>
            <w:tcW w:w="220" w:type="dxa"/>
            <w:vAlign w:val="bottom"/>
          </w:tcPr>
          <w:p>
            <w:pPr>
              <w:spacing w:after="0"/>
              <w:rPr>
                <w:sz w:val="18"/>
                <w:szCs w:val="18"/>
                <w:color w:val="auto"/>
              </w:rPr>
            </w:pPr>
          </w:p>
        </w:tc>
        <w:tc>
          <w:tcPr>
            <w:tcW w:w="800" w:type="dxa"/>
            <w:vAlign w:val="bottom"/>
          </w:tcPr>
          <w:p>
            <w:pPr>
              <w:jc w:val="right"/>
              <w:ind w:right="639"/>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12,139</w:t>
            </w:r>
          </w:p>
        </w:tc>
        <w:tc>
          <w:tcPr>
            <w:tcW w:w="5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9880" w:type="dxa"/>
            <w:vAlign w:val="bottom"/>
            <w:gridSpan w:val="14"/>
          </w:tcPr>
          <w:p>
            <w:pPr>
              <w:spacing w:after="0"/>
              <w:rPr>
                <w:sz w:val="20"/>
                <w:szCs w:val="20"/>
                <w:color w:val="auto"/>
              </w:rPr>
            </w:pPr>
            <w:r>
              <w:rPr>
                <w:rFonts w:ascii="Arial" w:cs="Arial" w:eastAsia="Arial" w:hAnsi="Arial"/>
                <w:sz w:val="18"/>
                <w:szCs w:val="18"/>
                <w:color w:val="auto"/>
                <w:w w:val="91"/>
              </w:rPr>
              <w:t>The change in the cost of total intangible assets from December 31, 2022 to June 30, 2023 is the effect of foreign currency translations.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960" w:type="dxa"/>
            <w:vAlign w:val="bottom"/>
            <w:gridSpan w:val="2"/>
          </w:tcPr>
          <w:p>
            <w:pPr>
              <w:spacing w:after="0"/>
              <w:rPr>
                <w:sz w:val="20"/>
                <w:szCs w:val="20"/>
                <w:color w:val="auto"/>
              </w:rPr>
            </w:pPr>
            <w:r>
              <w:rPr>
                <w:rFonts w:ascii="Arial" w:cs="Arial" w:eastAsia="Arial" w:hAnsi="Arial"/>
                <w:sz w:val="18"/>
                <w:szCs w:val="18"/>
                <w:color w:val="auto"/>
              </w:rPr>
              <w:t>Amortization expense for other intangible assets was as follows:</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8"/>
                <w:szCs w:val="18"/>
                <w:b w:val="1"/>
                <w:bCs w:val="1"/>
                <w:color w:val="auto"/>
                <w:w w:val="98"/>
              </w:rPr>
              <w:t>Three-month period ended</w:t>
            </w:r>
          </w:p>
        </w:tc>
        <w:tc>
          <w:tcPr>
            <w:tcW w:w="220" w:type="dxa"/>
            <w:vAlign w:val="bottom"/>
          </w:tcPr>
          <w:p>
            <w:pPr>
              <w:spacing w:after="0"/>
              <w:rPr>
                <w:sz w:val="24"/>
                <w:szCs w:val="24"/>
                <w:color w:val="auto"/>
              </w:rPr>
            </w:pPr>
          </w:p>
        </w:tc>
        <w:tc>
          <w:tcPr>
            <w:tcW w:w="248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8"/>
                <w:szCs w:val="18"/>
                <w:b w:val="1"/>
                <w:bCs w:val="1"/>
                <w:color w:val="auto"/>
              </w:rPr>
              <w:t>Six-month period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340" w:type="dxa"/>
            <w:vAlign w:val="bottom"/>
            <w:gridSpan w:val="3"/>
          </w:tcPr>
          <w:p>
            <w:pPr>
              <w:jc w:val="center"/>
              <w:ind w:right="220"/>
              <w:spacing w:after="0" w:line="190"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1020" w:type="dxa"/>
            <w:vAlign w:val="bottom"/>
            <w:gridSpan w:val="2"/>
          </w:tcPr>
          <w:p>
            <w:pPr>
              <w:jc w:val="center"/>
              <w:ind w:right="39"/>
              <w:spacing w:after="0" w:line="190" w:lineRule="exact"/>
              <w:rPr>
                <w:sz w:val="20"/>
                <w:szCs w:val="20"/>
                <w:color w:val="auto"/>
              </w:rPr>
            </w:pPr>
            <w:r>
              <w:rPr>
                <w:rFonts w:ascii="Arial" w:cs="Arial" w:eastAsia="Arial" w:hAnsi="Arial"/>
                <w:sz w:val="18"/>
                <w:szCs w:val="18"/>
                <w:b w:val="1"/>
                <w:bCs w:val="1"/>
                <w:color w:val="auto"/>
                <w:w w:val="85"/>
              </w:rPr>
              <w:t>June 30,</w:t>
            </w:r>
          </w:p>
        </w:tc>
        <w:tc>
          <w:tcPr>
            <w:tcW w:w="220" w:type="dxa"/>
            <w:vAlign w:val="bottom"/>
          </w:tcPr>
          <w:p>
            <w:pPr>
              <w:spacing w:after="0"/>
              <w:rPr>
                <w:sz w:val="16"/>
                <w:szCs w:val="16"/>
                <w:color w:val="auto"/>
              </w:rPr>
            </w:pPr>
          </w:p>
        </w:tc>
        <w:tc>
          <w:tcPr>
            <w:tcW w:w="1220" w:type="dxa"/>
            <w:vAlign w:val="bottom"/>
            <w:gridSpan w:val="5"/>
          </w:tcPr>
          <w:p>
            <w:pPr>
              <w:jc w:val="center"/>
              <w:ind w:right="100"/>
              <w:spacing w:after="0" w:line="190"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tcPr>
          <w:p>
            <w:pPr>
              <w:jc w:val="center"/>
              <w:ind w:right="260"/>
              <w:spacing w:after="0" w:line="190"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00" w:type="dxa"/>
            <w:vAlign w:val="bottom"/>
          </w:tcPr>
          <w:p>
            <w:pPr>
              <w:jc w:val="center"/>
              <w:ind w:left="231"/>
              <w:spacing w:after="0"/>
              <w:rPr>
                <w:sz w:val="20"/>
                <w:szCs w:val="20"/>
                <w:color w:val="auto"/>
              </w:rPr>
            </w:pPr>
            <w:r>
              <w:rPr>
                <w:rFonts w:ascii="Arial" w:cs="Arial" w:eastAsia="Arial" w:hAnsi="Arial"/>
                <w:sz w:val="18"/>
                <w:szCs w:val="18"/>
                <w:b w:val="1"/>
                <w:bCs w:val="1"/>
                <w:color w:val="auto"/>
                <w:w w:val="89"/>
              </w:rPr>
              <w:t>2023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9"/>
              <w:spacing w:after="0"/>
              <w:rPr>
                <w:sz w:val="20"/>
                <w:szCs w:val="20"/>
                <w:color w:val="auto"/>
              </w:rPr>
            </w:pPr>
            <w:r>
              <w:rPr>
                <w:rFonts w:ascii="Arial" w:cs="Arial" w:eastAsia="Arial" w:hAnsi="Arial"/>
                <w:sz w:val="18"/>
                <w:szCs w:val="18"/>
                <w:b w:val="1"/>
                <w:bCs w:val="1"/>
                <w:color w:val="auto"/>
                <w:w w:val="84"/>
              </w:rPr>
              <w:t>2022</w:t>
            </w:r>
          </w:p>
        </w:tc>
        <w:tc>
          <w:tcPr>
            <w:tcW w:w="1340" w:type="dxa"/>
            <w:vAlign w:val="bottom"/>
            <w:gridSpan w:val="5"/>
          </w:tcPr>
          <w:p>
            <w:pPr>
              <w:jc w:val="center"/>
              <w:ind w:left="131"/>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8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60" w:type="dxa"/>
            <w:vAlign w:val="bottom"/>
            <w:tcBorders>
              <w:right w:val="single" w:sz="8" w:color="CCEEFF"/>
            </w:tcBorders>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0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700" w:type="dxa"/>
            <w:vAlign w:val="bottom"/>
            <w:gridSpan w:val="2"/>
          </w:tcPr>
          <w:p>
            <w:pPr>
              <w:jc w:val="right"/>
              <w:ind w:right="3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388</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CCEEFF"/>
          </w:tcPr>
          <w:p>
            <w:pPr>
              <w:spacing w:after="0" w:line="20" w:lineRule="exact"/>
              <w:rPr>
                <w:sz w:val="1"/>
                <w:szCs w:val="1"/>
                <w:color w:val="auto"/>
              </w:rPr>
            </w:pPr>
          </w:p>
        </w:tc>
        <w:tc>
          <w:tcPr>
            <w:tcW w:w="56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Total amortization expense</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227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700" w:type="dxa"/>
            <w:vAlign w:val="bottom"/>
            <w:gridSpan w:val="2"/>
          </w:tcPr>
          <w:p>
            <w:pPr>
              <w:jc w:val="right"/>
              <w:ind w:right="3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436</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5.  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59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960" w:type="dxa"/>
            <w:vAlign w:val="bottom"/>
            <w:gridSpan w:val="2"/>
          </w:tcPr>
          <w:p>
            <w:pPr>
              <w:spacing w:after="0"/>
              <w:rPr>
                <w:sz w:val="20"/>
                <w:szCs w:val="20"/>
                <w:color w:val="auto"/>
              </w:rPr>
            </w:pPr>
            <w:r>
              <w:rPr>
                <w:rFonts w:ascii="Arial" w:cs="Arial" w:eastAsia="Arial" w:hAnsi="Arial"/>
                <w:sz w:val="18"/>
                <w:szCs w:val="18"/>
                <w:color w:val="auto"/>
                <w:w w:val="94"/>
              </w:rPr>
              <w:t>We recorded non-cash stock compensation expense in each period as follows:</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8"/>
                <w:szCs w:val="18"/>
                <w:b w:val="1"/>
                <w:bCs w:val="1"/>
                <w:color w:val="auto"/>
                <w:w w:val="98"/>
              </w:rPr>
              <w:t>Three-month period ended</w:t>
            </w:r>
          </w:p>
        </w:tc>
        <w:tc>
          <w:tcPr>
            <w:tcW w:w="220" w:type="dxa"/>
            <w:vAlign w:val="bottom"/>
          </w:tcPr>
          <w:p>
            <w:pPr>
              <w:spacing w:after="0"/>
              <w:rPr>
                <w:sz w:val="24"/>
                <w:szCs w:val="24"/>
                <w:color w:val="auto"/>
              </w:rPr>
            </w:pPr>
          </w:p>
        </w:tc>
        <w:tc>
          <w:tcPr>
            <w:tcW w:w="248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8"/>
                <w:szCs w:val="18"/>
                <w:b w:val="1"/>
                <w:bCs w:val="1"/>
                <w:color w:val="auto"/>
              </w:rPr>
              <w:t>Six-month period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340" w:type="dxa"/>
            <w:vAlign w:val="bottom"/>
            <w:gridSpan w:val="3"/>
          </w:tcPr>
          <w:p>
            <w:pPr>
              <w:jc w:val="center"/>
              <w:ind w:right="220"/>
              <w:spacing w:after="0" w:line="190"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1020" w:type="dxa"/>
            <w:vAlign w:val="bottom"/>
            <w:gridSpan w:val="2"/>
          </w:tcPr>
          <w:p>
            <w:pPr>
              <w:jc w:val="center"/>
              <w:ind w:right="39"/>
              <w:spacing w:after="0" w:line="190" w:lineRule="exact"/>
              <w:rPr>
                <w:sz w:val="20"/>
                <w:szCs w:val="20"/>
                <w:color w:val="auto"/>
              </w:rPr>
            </w:pPr>
            <w:r>
              <w:rPr>
                <w:rFonts w:ascii="Arial" w:cs="Arial" w:eastAsia="Arial" w:hAnsi="Arial"/>
                <w:sz w:val="18"/>
                <w:szCs w:val="18"/>
                <w:b w:val="1"/>
                <w:bCs w:val="1"/>
                <w:color w:val="auto"/>
                <w:w w:val="85"/>
              </w:rPr>
              <w:t>June 30,</w:t>
            </w:r>
          </w:p>
        </w:tc>
        <w:tc>
          <w:tcPr>
            <w:tcW w:w="220" w:type="dxa"/>
            <w:vAlign w:val="bottom"/>
          </w:tcPr>
          <w:p>
            <w:pPr>
              <w:spacing w:after="0"/>
              <w:rPr>
                <w:sz w:val="16"/>
                <w:szCs w:val="16"/>
                <w:color w:val="auto"/>
              </w:rPr>
            </w:pPr>
          </w:p>
        </w:tc>
        <w:tc>
          <w:tcPr>
            <w:tcW w:w="1220" w:type="dxa"/>
            <w:vAlign w:val="bottom"/>
            <w:gridSpan w:val="5"/>
          </w:tcPr>
          <w:p>
            <w:pPr>
              <w:jc w:val="center"/>
              <w:ind w:right="100"/>
              <w:spacing w:after="0" w:line="190"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tcPr>
          <w:p>
            <w:pPr>
              <w:jc w:val="center"/>
              <w:ind w:right="260"/>
              <w:spacing w:after="0" w:line="190"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800" w:type="dxa"/>
            <w:vAlign w:val="bottom"/>
          </w:tcPr>
          <w:p>
            <w:pPr>
              <w:jc w:val="center"/>
              <w:ind w:left="231"/>
              <w:spacing w:after="0"/>
              <w:rPr>
                <w:sz w:val="20"/>
                <w:szCs w:val="20"/>
                <w:color w:val="auto"/>
              </w:rPr>
            </w:pPr>
            <w:r>
              <w:rPr>
                <w:rFonts w:ascii="Arial" w:cs="Arial" w:eastAsia="Arial" w:hAnsi="Arial"/>
                <w:sz w:val="18"/>
                <w:szCs w:val="18"/>
                <w:b w:val="1"/>
                <w:bCs w:val="1"/>
                <w:color w:val="auto"/>
                <w:w w:val="89"/>
              </w:rPr>
              <w:t>2023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9"/>
              <w:spacing w:after="0"/>
              <w:rPr>
                <w:sz w:val="20"/>
                <w:szCs w:val="20"/>
                <w:color w:val="auto"/>
              </w:rPr>
            </w:pPr>
            <w:r>
              <w:rPr>
                <w:rFonts w:ascii="Arial" w:cs="Arial" w:eastAsia="Arial" w:hAnsi="Arial"/>
                <w:sz w:val="18"/>
                <w:szCs w:val="18"/>
                <w:b w:val="1"/>
                <w:bCs w:val="1"/>
                <w:color w:val="auto"/>
                <w:w w:val="84"/>
              </w:rPr>
              <w:t>2022</w:t>
            </w:r>
          </w:p>
        </w:tc>
        <w:tc>
          <w:tcPr>
            <w:tcW w:w="1340" w:type="dxa"/>
            <w:vAlign w:val="bottom"/>
            <w:gridSpan w:val="5"/>
          </w:tcPr>
          <w:p>
            <w:pPr>
              <w:jc w:val="center"/>
              <w:ind w:left="131"/>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June 30, 2023, there was $438 of total unrecognized compensation cost related to outstanding stock options, which is expected to be recognized over a weighted average period of 1.1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stock option activity for the six-month period ended June 30, 2023:</w:t>
      </w:r>
    </w:p>
    <w:p>
      <w:pPr>
        <w:spacing w:after="0" w:line="218"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52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33"/>
        </w:trPr>
        <w:tc>
          <w:tcPr>
            <w:tcW w:w="522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0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1,425,693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4.07</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(44,390)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Forfeited or expired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(99,775)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15,640</w:t>
            </w:r>
          </w:p>
        </w:tc>
      </w:tr>
      <w:tr>
        <w:trPr>
          <w:trHeight w:val="195"/>
        </w:trPr>
        <w:tc>
          <w:tcPr>
            <w:tcW w:w="5220" w:type="dxa"/>
            <w:vAlign w:val="bottom"/>
          </w:tcPr>
          <w:p>
            <w:pPr>
              <w:spacing w:after="0" w:line="195" w:lineRule="exact"/>
              <w:rPr>
                <w:sz w:val="20"/>
                <w:szCs w:val="20"/>
                <w:color w:val="auto"/>
              </w:rPr>
            </w:pPr>
            <w:r>
              <w:rPr>
                <w:rFonts w:ascii="Arial" w:cs="Arial" w:eastAsia="Arial" w:hAnsi="Arial"/>
                <w:sz w:val="18"/>
                <w:szCs w:val="18"/>
                <w:color w:val="auto"/>
              </w:rPr>
              <w:t>Vested and expected to vest at June 30, 2023</w:t>
            </w:r>
          </w:p>
        </w:tc>
        <w:tc>
          <w:tcPr>
            <w:tcW w:w="1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1,188,048</w:t>
            </w:r>
          </w:p>
        </w:tc>
        <w:tc>
          <w:tcPr>
            <w:tcW w:w="2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7.01</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3.52</w:t>
            </w:r>
          </w:p>
        </w:tc>
        <w:tc>
          <w:tcPr>
            <w:tcW w:w="3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13,124</w:t>
            </w:r>
          </w:p>
        </w:tc>
      </w:tr>
      <w:tr>
        <w:trPr>
          <w:trHeight w:val="20"/>
        </w:trPr>
        <w:tc>
          <w:tcPr>
            <w:tcW w:w="5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522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Exercisable at June 30, 2023</w:t>
            </w:r>
          </w:p>
        </w:tc>
        <w:tc>
          <w:tcPr>
            <w:tcW w:w="118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858,695</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gridSpan w:val="2"/>
            <w:shd w:val="clear" w:color="auto" w:fill="CCEEFF"/>
          </w:tcPr>
          <w:p>
            <w:pPr>
              <w:jc w:val="right"/>
              <w:ind w:right="200"/>
              <w:spacing w:after="0" w:line="195" w:lineRule="exact"/>
              <w:rPr>
                <w:sz w:val="20"/>
                <w:szCs w:val="20"/>
                <w:color w:val="auto"/>
              </w:rPr>
            </w:pPr>
            <w:r>
              <w:rPr>
                <w:rFonts w:ascii="Arial" w:cs="Arial" w:eastAsia="Arial" w:hAnsi="Arial"/>
                <w:sz w:val="18"/>
                <w:szCs w:val="18"/>
                <w:color w:val="auto"/>
              </w:rPr>
              <w:t>7.44</w:t>
            </w:r>
          </w:p>
        </w:tc>
        <w:tc>
          <w:tcPr>
            <w:tcW w:w="1180" w:type="dxa"/>
            <w:vAlign w:val="bottom"/>
            <w:tcBorders>
              <w:bottom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2.45</w:t>
            </w:r>
          </w:p>
        </w:tc>
        <w:tc>
          <w:tcPr>
            <w:tcW w:w="360" w:type="dxa"/>
            <w:vAlign w:val="bottom"/>
            <w:tcBorders>
              <w:bottom w:val="single" w:sz="8" w:color="CCEEFF"/>
            </w:tcBorders>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June 30, 2023 and June 30, 2022 was $62 and $0, respectively. Cash received from stock option exercises under our stock-based compensation plans for the six-month periods ended June 30, 2023 and June 30, 2022 was $62 and $113, respectively.</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Outstanding restricted shares vest in equal annual installments over three (3) years. Unrecognized compensation cost related to outstanding restricted shares at June 30, 2023 was $1.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Our effective tax rate for the six-month periods ended June 30, 2023 and June 30, 2022 was 29.2% and (30.5%), respectively. The period-over-period change was primarily attributable to the geographic mix of our operating results and the larger impact of discrete adjustments in the prior year.</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2022, we have domestic net operating loss (“NOL”) carryforwards of $40,952, which expire 2025 through 2035, and domestic tax credits of $2,600, which expire 2028 through 2042, available to reduce future taxable income. As of June 30, 2023, management has concluded it is more likely than not that these domestic NOL and credit carryforwards will be fully utilized.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June 30, 2023, we have not recognized a valuation allowance against our other foreign deferred tax assets, as realization is considered to be more likely than not.</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June 30, 2023, the Company maintains its assertion that all foreign earnings will be indefinitely reinvested in those operations, other than earnings generated in the U.K.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June 30, 2023 and December 31, 2022.</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2019-2022 remain subject to IRS examination. Our U.S. tax matters for 2005-2007 and 2011-2015 also remain subject to IRS examination due to the remaining availability of net operating loss carryforwards generated in those years. Our U.S. tax matters for 2005-2007 and 2011-2022 remain subject to examination by various state and local tax jurisdictions. Our tax matters for the years 2013 through 2022 remain subject to examination by the respective foreign tax jurisdiction authorities.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2" w:name="page13"/>
    <w:bookmarkEnd w:id="12"/>
    <w:p>
      <w:pPr>
        <w:ind w:left="320" w:hanging="313"/>
        <w:spacing w:after="0"/>
        <w:tabs>
          <w:tab w:leader="none" w:pos="3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has operating leases predominantly for operating facilities. As of June 30, 2023, the remaining lease terms on our operating leases range from approximately one (1) year to eight (8) years. Lease terms include renewal options reasonably certain of exercise. There is no transfer of title or option to purchase the leased assets upon expiration. There are no residual value guarantees or material restrictive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18" w:lineRule="exact"/>
        <w:rPr>
          <w:sz w:val="20"/>
          <w:szCs w:val="20"/>
          <w:color w:val="auto"/>
        </w:rPr>
      </w:pPr>
    </w:p>
    <w:tbl>
      <w:tblPr>
        <w:tblLayout w:type="fixed"/>
        <w:tblInd w:w="28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00" w:type="dxa"/>
            <w:vAlign w:val="bottom"/>
            <w:gridSpan w:val="5"/>
          </w:tcPr>
          <w:p>
            <w:pPr>
              <w:jc w:val="right"/>
              <w:ind w:right="15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r>
      <w:tr>
        <w:trPr>
          <w:trHeight w:val="190"/>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June 30,</w:t>
            </w: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June 30,</w:t>
            </w:r>
          </w:p>
        </w:tc>
        <w:tc>
          <w:tcPr>
            <w:tcW w:w="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1"/>
              <w:spacing w:after="0" w:line="190" w:lineRule="exact"/>
              <w:rPr>
                <w:sz w:val="20"/>
                <w:szCs w:val="20"/>
                <w:color w:val="auto"/>
              </w:rPr>
            </w:pPr>
            <w:r>
              <w:rPr>
                <w:rFonts w:ascii="Arial" w:cs="Arial" w:eastAsia="Arial" w:hAnsi="Arial"/>
                <w:sz w:val="18"/>
                <w:szCs w:val="18"/>
                <w:b w:val="1"/>
                <w:bCs w:val="1"/>
                <w:color w:val="auto"/>
                <w:w w:val="97"/>
              </w:rPr>
              <w:t>June 30,</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11"/>
              <w:spacing w:after="0" w:line="190" w:lineRule="exact"/>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80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239</w:t>
            </w:r>
          </w:p>
        </w:tc>
        <w:tc>
          <w:tcPr>
            <w:tcW w:w="10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226</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Variable lease cost</w:t>
            </w:r>
          </w:p>
        </w:tc>
        <w:tc>
          <w:tcPr>
            <w:tcW w:w="1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280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268</w:t>
            </w:r>
          </w:p>
        </w:tc>
        <w:tc>
          <w:tcPr>
            <w:tcW w:w="1020" w:type="dxa"/>
            <w:vAlign w:val="bottom"/>
            <w:gridSpan w:val="2"/>
            <w:shd w:val="clear" w:color="auto" w:fill="CCEEFF"/>
          </w:tcPr>
          <w:p>
            <w:pPr>
              <w:jc w:val="right"/>
              <w:ind w:right="73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249</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gridSpan w:val="5"/>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9"/>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gridSpan w:val="9"/>
          </w:tcPr>
          <w:p>
            <w:pPr>
              <w:jc w:val="right"/>
              <w:ind w:right="440"/>
              <w:spacing w:after="0"/>
              <w:rPr>
                <w:sz w:val="20"/>
                <w:szCs w:val="20"/>
                <w:color w:val="auto"/>
              </w:rPr>
            </w:pPr>
            <w:r>
              <w:rPr>
                <w:rFonts w:ascii="Arial" w:cs="Arial" w:eastAsia="Arial" w:hAnsi="Arial"/>
                <w:sz w:val="18"/>
                <w:szCs w:val="18"/>
                <w:b w:val="1"/>
                <w:bCs w:val="1"/>
                <w:color w:val="auto"/>
              </w:rPr>
              <w:t>Six-month period ended June 30,</w:t>
            </w:r>
          </w:p>
        </w:tc>
        <w:tc>
          <w:tcPr>
            <w:tcW w:w="280" w:type="dxa"/>
            <w:vAlign w:val="bottom"/>
          </w:tcPr>
          <w:p>
            <w:pPr>
              <w:spacing w:after="0"/>
              <w:rPr>
                <w:sz w:val="24"/>
                <w:szCs w:val="24"/>
                <w:color w:val="auto"/>
              </w:rPr>
            </w:pPr>
          </w:p>
        </w:tc>
      </w:tr>
      <w:tr>
        <w:trPr>
          <w:trHeight w:val="208"/>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8"/>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0"/>
              </w:rPr>
              <w:t>Operating cash flows from operating leases</w:t>
            </w:r>
          </w:p>
        </w:tc>
        <w:tc>
          <w:tcPr>
            <w:tcW w:w="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494</w:t>
            </w: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8"/>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423"/>
        </w:trPr>
        <w:tc>
          <w:tcPr>
            <w:tcW w:w="7100" w:type="dxa"/>
            <w:vAlign w:val="bottom"/>
            <w:gridSpan w:val="5"/>
          </w:tcPr>
          <w:p>
            <w:pPr>
              <w:spacing w:after="0"/>
              <w:rPr>
                <w:sz w:val="20"/>
                <w:szCs w:val="20"/>
                <w:color w:val="auto"/>
              </w:rPr>
            </w:pPr>
            <w:r>
              <w:rPr>
                <w:rFonts w:ascii="Arial" w:cs="Arial" w:eastAsia="Arial" w:hAnsi="Arial"/>
                <w:sz w:val="18"/>
                <w:szCs w:val="18"/>
                <w:color w:val="auto"/>
              </w:rPr>
              <w:t>Supplemental consolidated balance sheet information related to leases was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1"/>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w w:val="95"/>
              </w:rPr>
              <w:t>December 31,</w:t>
            </w:r>
          </w:p>
        </w:tc>
        <w:tc>
          <w:tcPr>
            <w:tcW w:w="280" w:type="dxa"/>
            <w:vAlign w:val="bottom"/>
          </w:tcPr>
          <w:p>
            <w:pPr>
              <w:spacing w:after="0"/>
              <w:rPr>
                <w:sz w:val="24"/>
                <w:szCs w:val="24"/>
                <w:color w:val="auto"/>
              </w:rPr>
            </w:pPr>
          </w:p>
        </w:tc>
      </w:tr>
      <w:tr>
        <w:trPr>
          <w:trHeight w:val="233"/>
        </w:trPr>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sheet classification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511"/>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91"/>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8"/>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760" w:type="dxa"/>
            <w:vAlign w:val="bottom"/>
            <w:gridSpan w:val="3"/>
          </w:tcPr>
          <w:p>
            <w:pPr>
              <w:ind w:left="160"/>
              <w:spacing w:after="0"/>
              <w:rPr>
                <w:sz w:val="20"/>
                <w:szCs w:val="20"/>
                <w:color w:val="auto"/>
              </w:rPr>
            </w:pPr>
            <w:r>
              <w:rPr>
                <w:rFonts w:ascii="Arial" w:cs="Arial" w:eastAsia="Arial" w:hAnsi="Arial"/>
                <w:sz w:val="18"/>
                <w:szCs w:val="18"/>
                <w:color w:val="auto"/>
              </w:rPr>
              <w:t>Operating lease right-of-use asset</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76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7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operating lease liability</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Accrued expenses and other current liabilities</w:t>
            </w:r>
          </w:p>
        </w:tc>
        <w:tc>
          <w:tcPr>
            <w:tcW w:w="38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760" w:type="dxa"/>
            <w:vAlign w:val="bottom"/>
            <w:gridSpan w:val="3"/>
          </w:tcPr>
          <w:p>
            <w:pPr>
              <w:ind w:left="160"/>
              <w:spacing w:after="0"/>
              <w:rPr>
                <w:sz w:val="20"/>
                <w:szCs w:val="20"/>
                <w:color w:val="auto"/>
              </w:rPr>
            </w:pPr>
            <w:r>
              <w:rPr>
                <w:rFonts w:ascii="Arial" w:cs="Arial" w:eastAsia="Arial" w:hAnsi="Arial"/>
                <w:sz w:val="18"/>
                <w:szCs w:val="18"/>
                <w:color w:val="auto"/>
                <w:w w:val="98"/>
              </w:rPr>
              <w:t>Operating lease liability, net of current portion</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1,199</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8"/>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34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Weighted-average remaining lease term (years)</w:t>
            </w: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34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0"/>
        </w:trPr>
        <w:tc>
          <w:tcPr>
            <w:tcW w:w="7100" w:type="dxa"/>
            <w:vAlign w:val="bottom"/>
            <w:gridSpan w:val="5"/>
          </w:tcPr>
          <w:p>
            <w:pPr>
              <w:spacing w:after="0"/>
              <w:rPr>
                <w:sz w:val="20"/>
                <w:szCs w:val="20"/>
                <w:color w:val="auto"/>
              </w:rPr>
            </w:pPr>
            <w:r>
              <w:rPr>
                <w:rFonts w:ascii="Arial" w:cs="Arial" w:eastAsia="Arial" w:hAnsi="Arial"/>
                <w:sz w:val="18"/>
                <w:szCs w:val="18"/>
                <w:color w:val="auto"/>
              </w:rPr>
              <w:t>Future minimum lease payments as of June 30, 2023 are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9"/>
        </w:trPr>
        <w:tc>
          <w:tcPr>
            <w:tcW w:w="280" w:type="dxa"/>
            <w:vAlign w:val="bottom"/>
          </w:tcPr>
          <w:p>
            <w:pPr>
              <w:spacing w:after="0"/>
              <w:rPr>
                <w:sz w:val="24"/>
                <w:szCs w:val="24"/>
                <w:color w:val="auto"/>
              </w:rPr>
            </w:pPr>
          </w:p>
        </w:tc>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8"/>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00" w:type="dxa"/>
            <w:vAlign w:val="bottom"/>
            <w:gridSpan w:val="2"/>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00" w:type="dxa"/>
            <w:vAlign w:val="bottom"/>
            <w:gridSpan w:val="2"/>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00" w:type="dxa"/>
            <w:vAlign w:val="bottom"/>
            <w:gridSpan w:val="2"/>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300" w:type="dxa"/>
            <w:vAlign w:val="bottom"/>
            <w:gridSpan w:val="2"/>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8"/>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r>
      <w:tr>
        <w:trPr>
          <w:trHeight w:val="208"/>
        </w:trPr>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Present value of remaining lease payments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3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423"/>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40" w:type="dxa"/>
            <w:vAlign w:val="bottom"/>
            <w:gridSpan w:val="2"/>
          </w:tcPr>
          <w:p>
            <w:pPr>
              <w:ind w:left="17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4"/>
        </w:trPr>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23" w:right="339" w:bottom="1440" w:gutter="0" w:footer="0" w:header="0"/>
        </w:sectPr>
      </w:pPr>
    </w:p>
    <w:bookmarkStart w:id="13" w:name="page14"/>
    <w:bookmarkEnd w:id="13"/>
    <w:p>
      <w:pPr>
        <w:ind w:right="7620" w:firstLine="7"/>
        <w:spacing w:after="0" w:line="497" w:lineRule="auto"/>
        <w:tabs>
          <w:tab w:leader="none" w:pos="322"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 Purchase Commitments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have made commitments to purchase approximately $1,023 of production machinery and equipment.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six months of 2023 and 2022 were as follows:</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233"/>
        </w:trPr>
        <w:tc>
          <w:tcPr>
            <w:tcW w:w="740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Six-month period ended 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74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7"/>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04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133</w:t>
            </w:r>
          </w:p>
        </w:tc>
        <w:tc>
          <w:tcPr>
            <w:tcW w:w="100" w:type="dxa"/>
            <w:vAlign w:val="bottom"/>
            <w:shd w:val="clear" w:color="auto" w:fill="CCEEFF"/>
          </w:tcPr>
          <w:p>
            <w:pPr>
              <w:spacing w:after="0"/>
              <w:rPr>
                <w:sz w:val="18"/>
                <w:szCs w:val="18"/>
                <w:color w:val="auto"/>
              </w:rPr>
            </w:pPr>
          </w:p>
        </w:tc>
      </w:tr>
      <w:tr>
        <w:trPr>
          <w:trHeight w:val="215"/>
        </w:trPr>
        <w:tc>
          <w:tcPr>
            <w:tcW w:w="740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5"/>
        </w:trPr>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0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0"/>
        </w:trPr>
        <w:tc>
          <w:tcPr>
            <w:tcW w:w="7400" w:type="dxa"/>
            <w:vAlign w:val="bottom"/>
            <w:tcBorders>
              <w:righ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7400" w:type="dxa"/>
            <w:vAlign w:val="bottom"/>
          </w:tcPr>
          <w:p>
            <w:pPr>
              <w:spacing w:after="0"/>
              <w:rPr>
                <w:sz w:val="20"/>
                <w:szCs w:val="20"/>
                <w:color w:val="auto"/>
              </w:rPr>
            </w:pPr>
            <w:r>
              <w:rPr>
                <w:rFonts w:ascii="Arial" w:cs="Arial" w:eastAsia="Arial" w:hAnsi="Arial"/>
                <w:sz w:val="18"/>
                <w:szCs w:val="18"/>
                <w:color w:val="auto"/>
              </w:rPr>
              <w:t>Accrued warranty obligations – ending</w:t>
            </w:r>
          </w:p>
        </w:tc>
        <w:tc>
          <w:tcPr>
            <w:tcW w:w="1040" w:type="dxa"/>
            <w:vAlign w:val="bottom"/>
          </w:tcPr>
          <w:p>
            <w:pPr>
              <w:jc w:val="right"/>
              <w:ind w:right="91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1260" w:type="dxa"/>
            <w:vAlign w:val="bottom"/>
            <w:gridSpan w:val="2"/>
          </w:tcPr>
          <w:p>
            <w:pPr>
              <w:jc w:val="right"/>
              <w:ind w:right="102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132</w:t>
            </w:r>
          </w:p>
        </w:tc>
      </w:tr>
      <w:tr>
        <w:trPr>
          <w:trHeight w:val="20"/>
        </w:trPr>
        <w:tc>
          <w:tcPr>
            <w:tcW w:w="7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Legal Matters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21"/>
          <w:szCs w:val="21"/>
          <w:b w:val="1"/>
          <w:bCs w:val="1"/>
          <w:i w:val="1"/>
          <w:iCs w:val="1"/>
          <w:color w:val="auto"/>
        </w:rPr>
      </w:pPr>
      <w:r>
        <w:rPr>
          <w:rFonts w:ascii="Arial" w:cs="Arial" w:eastAsia="Arial" w:hAnsi="Arial"/>
          <w:sz w:val="18"/>
          <w:szCs w:val="18"/>
          <w:b w:val="1"/>
          <w:bCs w:val="1"/>
          <w:i w:val="1"/>
          <w:iCs w:val="1"/>
          <w:color w:val="auto"/>
        </w:rPr>
        <w:t>REVENUE RECOGNITION</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spacing w:after="0" w:line="165"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As of June 30, 2023, there was deferred revenue on extended warranty contracts of $944, comprised of $164 expected to be recognized as revenue within one (1) year and classified as accrued expenses and other current liabilities on our consolidated balance sheet, and $780 expected to be recognized as revenue over the remaining duration of the respective contracts and classified as other noncurrent liabilities on our consolidated balance sheet.</w:t>
      </w:r>
    </w:p>
    <w:p>
      <w:pPr>
        <w:spacing w:after="0" w:line="14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As of December 31, 2022, there was deferred revenue on extended warranty contracts of $682, comprised of $119 expected to be recognized as revenue within one (1) year and classified as accrued expenses and other current liabilities on our consolidated balance sheet, and $563 expected to be recognized as revenue over the remaining duration of the respective contracts and classified as other noncurrent liabilities on our consolidated balance sheet.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 w:name="page15"/>
    <w:bookmarkEnd w:id="14"/>
    <w:p>
      <w:pPr>
        <w:jc w:val="both"/>
        <w:spacing w:after="0" w:line="261" w:lineRule="auto"/>
        <w:rPr>
          <w:sz w:val="20"/>
          <w:szCs w:val="20"/>
          <w:color w:val="auto"/>
        </w:rPr>
      </w:pPr>
      <w:r>
        <w:rPr>
          <w:rFonts w:ascii="Arial" w:cs="Arial" w:eastAsia="Arial" w:hAnsi="Arial"/>
          <w:sz w:val="18"/>
          <w:szCs w:val="18"/>
          <w:color w:val="auto"/>
        </w:rPr>
        <w:t>As of June 30, 2023 and December 31, 2022,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BUSINESS SEGMENT INFORMATION</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40" w:type="dxa"/>
            <w:vAlign w:val="bottom"/>
          </w:tcPr>
          <w:p>
            <w:pPr>
              <w:spacing w:after="0"/>
              <w:rPr>
                <w:sz w:val="20"/>
                <w:szCs w:val="20"/>
                <w:color w:val="auto"/>
              </w:rPr>
            </w:pPr>
            <w:r>
              <w:rPr>
                <w:rFonts w:ascii="Arial" w:cs="Arial" w:eastAsia="Arial" w:hAnsi="Arial"/>
                <w:sz w:val="18"/>
                <w:szCs w:val="18"/>
                <w:b w:val="1"/>
                <w:bCs w:val="1"/>
                <w:color w:val="auto"/>
              </w:rPr>
              <w:t>Three-month period ended June 30, 2023: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1"/>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5"/>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3"/>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Systems</w:t>
            </w: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0"/>
                <w:szCs w:val="20"/>
                <w:color w:val="auto"/>
              </w:rPr>
            </w:pPr>
          </w:p>
        </w:tc>
      </w:tr>
      <w:tr>
        <w:trPr>
          <w:trHeight w:val="20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3,045</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(6,923)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3,665</w:t>
            </w:r>
          </w:p>
        </w:tc>
        <w:tc>
          <w:tcPr>
            <w:tcW w:w="5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560" w:type="dxa"/>
            <w:vAlign w:val="bottom"/>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(1,375)</w:t>
            </w:r>
          </w:p>
        </w:tc>
        <w:tc>
          <w:tcPr>
            <w:tcW w:w="5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3,340</w:t>
            </w:r>
          </w:p>
        </w:tc>
        <w:tc>
          <w:tcPr>
            <w:tcW w:w="560" w:type="dxa"/>
            <w:vAlign w:val="bottom"/>
          </w:tcPr>
          <w:p>
            <w:pPr>
              <w:spacing w:after="0"/>
              <w:rPr>
                <w:sz w:val="19"/>
                <w:szCs w:val="19"/>
                <w:color w:val="auto"/>
              </w:rPr>
            </w:pPr>
          </w:p>
        </w:tc>
      </w:tr>
      <w:tr>
        <w:trPr>
          <w:trHeight w:val="415"/>
        </w:trPr>
        <w:tc>
          <w:tcPr>
            <w:tcW w:w="5140" w:type="dxa"/>
            <w:vAlign w:val="bottom"/>
          </w:tcPr>
          <w:p>
            <w:pPr>
              <w:spacing w:after="0"/>
              <w:rPr>
                <w:sz w:val="20"/>
                <w:szCs w:val="20"/>
                <w:color w:val="auto"/>
              </w:rPr>
            </w:pPr>
            <w:r>
              <w:rPr>
                <w:rFonts w:ascii="Arial" w:cs="Arial" w:eastAsia="Arial" w:hAnsi="Arial"/>
                <w:sz w:val="18"/>
                <w:szCs w:val="18"/>
                <w:b w:val="1"/>
                <w:bCs w:val="1"/>
                <w:color w:val="auto"/>
              </w:rPr>
              <w:t>Three-month period ended June 30, 2022:</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1"/>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5"/>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Energy</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3"/>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Systems</w:t>
            </w: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0"/>
                <w:szCs w:val="20"/>
                <w:color w:val="auto"/>
              </w:rPr>
            </w:pPr>
          </w:p>
        </w:tc>
      </w:tr>
      <w:tr>
        <w:trPr>
          <w:trHeight w:val="20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32,126</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(6,853)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5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5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560" w:type="dxa"/>
            <w:vAlign w:val="bottom"/>
          </w:tcPr>
          <w:p>
            <w:pPr>
              <w:spacing w:after="0"/>
              <w:rPr>
                <w:sz w:val="19"/>
                <w:szCs w:val="19"/>
                <w:color w:val="auto"/>
              </w:rPr>
            </w:pPr>
          </w:p>
        </w:tc>
      </w:tr>
      <w:tr>
        <w:trPr>
          <w:trHeight w:val="415"/>
        </w:trPr>
        <w:tc>
          <w:tcPr>
            <w:tcW w:w="5140" w:type="dxa"/>
            <w:vAlign w:val="bottom"/>
          </w:tcPr>
          <w:p>
            <w:pPr>
              <w:spacing w:after="0"/>
              <w:rPr>
                <w:sz w:val="20"/>
                <w:szCs w:val="20"/>
                <w:color w:val="auto"/>
              </w:rPr>
            </w:pPr>
            <w:r>
              <w:rPr>
                <w:rFonts w:ascii="Arial" w:cs="Arial" w:eastAsia="Arial" w:hAnsi="Arial"/>
                <w:sz w:val="18"/>
                <w:szCs w:val="18"/>
                <w:b w:val="1"/>
                <w:bCs w:val="1"/>
                <w:color w:val="auto"/>
              </w:rPr>
              <w:t>Six-month period ended June 30, 2023:</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1"/>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5"/>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Energy</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3"/>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Products</w:t>
            </w:r>
          </w:p>
        </w:tc>
        <w:tc>
          <w:tcPr>
            <w:tcW w:w="22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Systems</w:t>
            </w: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0"/>
                <w:szCs w:val="20"/>
                <w:color w:val="auto"/>
              </w:rPr>
            </w:pPr>
          </w:p>
        </w:tc>
      </w:tr>
      <w:tr>
        <w:trPr>
          <w:trHeight w:val="20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62,331</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74,608</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3,969</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(14,333)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3,691</w:t>
            </w:r>
          </w:p>
        </w:tc>
        <w:tc>
          <w:tcPr>
            <w:tcW w:w="5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560" w:type="dxa"/>
            <w:vAlign w:val="bottom"/>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(1,242)</w:t>
            </w:r>
          </w:p>
        </w:tc>
        <w:tc>
          <w:tcPr>
            <w:tcW w:w="5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c>
          <w:tcPr>
            <w:tcW w:w="560" w:type="dxa"/>
            <w:vAlign w:val="bottom"/>
          </w:tcPr>
          <w:p>
            <w:pPr>
              <w:spacing w:after="0"/>
              <w:rPr>
                <w:sz w:val="19"/>
                <w:szCs w:val="19"/>
                <w:color w:val="auto"/>
              </w:rPr>
            </w:pPr>
          </w:p>
        </w:tc>
      </w:tr>
      <w:tr>
        <w:trPr>
          <w:trHeight w:val="415"/>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9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4"/>
        </w:trPr>
        <w:tc>
          <w:tcPr>
            <w:tcW w:w="5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8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40" w:type="dxa"/>
            <w:vAlign w:val="bottom"/>
          </w:tcPr>
          <w:p>
            <w:pPr>
              <w:spacing w:after="0"/>
              <w:rPr>
                <w:sz w:val="20"/>
                <w:szCs w:val="20"/>
                <w:color w:val="auto"/>
              </w:rPr>
            </w:pPr>
            <w:r>
              <w:rPr>
                <w:rFonts w:ascii="Arial" w:cs="Arial" w:eastAsia="Arial" w:hAnsi="Arial"/>
                <w:sz w:val="18"/>
                <w:szCs w:val="18"/>
                <w:b w:val="1"/>
                <w:bCs w:val="1"/>
                <w:color w:val="auto"/>
              </w:rPr>
              <w:t>Six-month period ended June 30, 2022:</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1"/>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b w:val="1"/>
                <w:bCs w:val="1"/>
                <w:color w:val="auto"/>
                <w:w w:val="97"/>
              </w:rPr>
              <w:t>Battery &amp;</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5"/>
        </w:trPr>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b w:val="1"/>
                <w:bCs w:val="1"/>
                <w:color w:val="auto"/>
                <w:w w:val="88"/>
              </w:rPr>
              <w:t>Energy</w:t>
            </w: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3"/>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Products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Systems</w:t>
            </w:r>
          </w:p>
        </w:tc>
        <w:tc>
          <w:tcPr>
            <w:tcW w:w="140" w:type="dxa"/>
            <w:vAlign w:val="bottom"/>
          </w:tcPr>
          <w:p>
            <w:pPr>
              <w:spacing w:after="0"/>
              <w:rPr>
                <w:sz w:val="20"/>
                <w:szCs w:val="20"/>
                <w:color w:val="auto"/>
              </w:rPr>
            </w:pPr>
          </w:p>
        </w:tc>
        <w:tc>
          <w:tcPr>
            <w:tcW w:w="1460" w:type="dxa"/>
            <w:vAlign w:val="bottom"/>
            <w:gridSpan w:val="3"/>
          </w:tcPr>
          <w:p>
            <w:pPr>
              <w:jc w:val="right"/>
              <w:ind w:right="547"/>
              <w:spacing w:after="0"/>
              <w:rPr>
                <w:sz w:val="20"/>
                <w:szCs w:val="20"/>
                <w:color w:val="auto"/>
              </w:rPr>
            </w:pPr>
            <w:r>
              <w:rPr>
                <w:rFonts w:ascii="Arial" w:cs="Arial" w:eastAsia="Arial" w:hAnsi="Arial"/>
                <w:sz w:val="18"/>
                <w:szCs w:val="18"/>
                <w:b w:val="1"/>
                <w:bCs w:val="1"/>
                <w:color w:val="auto"/>
                <w:w w:val="95"/>
              </w:rPr>
              <w:t>Corporate</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0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62,499</w:t>
            </w:r>
          </w:p>
        </w:tc>
        <w:tc>
          <w:tcPr>
            <w:tcW w:w="120" w:type="dxa"/>
            <w:vAlign w:val="bottom"/>
            <w:shd w:val="clear" w:color="auto" w:fill="CCEEFF"/>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(14,106)</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Commercial and Government/Defense Revenue Information:</w:t>
            </w: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0"/>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Three-month period ended June 30, 2023:</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5"/>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Government/</w:t>
            </w:r>
          </w:p>
        </w:tc>
      </w:tr>
      <w:tr>
        <w:trPr>
          <w:trHeight w:val="229"/>
        </w:trPr>
        <w:tc>
          <w:tcPr>
            <w:tcW w:w="1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Defense</w:t>
            </w:r>
          </w:p>
        </w:tc>
      </w:tr>
      <w:tr>
        <w:trPr>
          <w:trHeight w:val="208"/>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9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26,950</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8,831</w:t>
            </w:r>
          </w:p>
        </w:tc>
        <w:tc>
          <w:tcPr>
            <w:tcW w:w="2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42,692</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1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i w:val="1"/>
                <w:iCs w:val="1"/>
                <w:color w:val="auto"/>
              </w:rPr>
              <w:t>%</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w:t>
            </w:r>
            <w:r>
              <w:rPr>
                <w:rFonts w:ascii="Arial" w:cs="Arial" w:eastAsia="Arial" w:hAnsi="Arial"/>
                <w:sz w:val="18"/>
                <w:szCs w:val="18"/>
                <w:i w:val="1"/>
                <w:iCs w:val="1"/>
                <w:color w:val="auto"/>
              </w:rPr>
              <w:t>%</w:t>
            </w:r>
          </w:p>
        </w:tc>
        <w:tc>
          <w:tcPr>
            <w:tcW w:w="20" w:type="dxa"/>
            <w:vAlign w:val="bottom"/>
          </w:tcPr>
          <w:p>
            <w:pPr>
              <w:spacing w:after="0"/>
              <w:rPr>
                <w:sz w:val="18"/>
                <w:szCs w:val="18"/>
                <w:color w:val="auto"/>
              </w:rPr>
            </w:pPr>
          </w:p>
        </w:tc>
      </w:tr>
      <w:tr>
        <w:trPr>
          <w:trHeight w:val="415"/>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Three-month period ended June 30, 2022:</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5"/>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Government/</w:t>
            </w:r>
          </w:p>
        </w:tc>
      </w:tr>
      <w:tr>
        <w:trPr>
          <w:trHeight w:val="229"/>
        </w:trPr>
        <w:tc>
          <w:tcPr>
            <w:tcW w:w="13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Defense</w:t>
            </w:r>
          </w:p>
        </w:tc>
      </w:tr>
      <w:tr>
        <w:trPr>
          <w:trHeight w:val="208"/>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19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30,140</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24,682</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Communications Systems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1,986</w:t>
            </w:r>
          </w:p>
        </w:tc>
        <w:tc>
          <w:tcPr>
            <w:tcW w:w="20" w:type="dxa"/>
            <w:vAlign w:val="bottom"/>
          </w:tcPr>
          <w:p>
            <w:pPr>
              <w:spacing w:after="0"/>
              <w:rPr>
                <w:sz w:val="18"/>
                <w:szCs w:val="18"/>
                <w:color w:val="auto"/>
              </w:rPr>
            </w:pPr>
          </w:p>
        </w:tc>
      </w:tr>
      <w:tr>
        <w:trPr>
          <w:trHeight w:val="248"/>
        </w:trPr>
        <w:tc>
          <w:tcPr>
            <w:tcW w:w="130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24,682</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1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i w:val="1"/>
                <w:iCs w:val="1"/>
                <w:color w:val="auto"/>
              </w:rPr>
              <w:t>%</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i w:val="1"/>
                <w:iCs w:val="1"/>
                <w:color w:val="auto"/>
              </w:rPr>
              <w:t>%</w:t>
            </w:r>
          </w:p>
        </w:tc>
        <w:tc>
          <w:tcPr>
            <w:tcW w:w="20" w:type="dxa"/>
            <w:vAlign w:val="bottom"/>
          </w:tcPr>
          <w:p>
            <w:pPr>
              <w:spacing w:after="0"/>
              <w:rPr>
                <w:sz w:val="18"/>
                <w:szCs w:val="18"/>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Six-month period ended June 30, 2023:</w:t>
      </w:r>
    </w:p>
    <w:p>
      <w:pPr>
        <w:sectPr>
          <w:pgSz w:w="11900" w:h="16838" w:orient="portrait"/>
          <w:cols w:equalWidth="0" w:num="1">
            <w:col w:w="11340"/>
          </w:cols>
          <w:pgMar w:left="320" w:top="5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Battery &amp; Energy Products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Six-month period ended June 30,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Battery &amp; Energy Products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215"/>
        </w:trPr>
        <w:tc>
          <w:tcPr>
            <w:tcW w:w="260" w:type="dxa"/>
            <w:vAlign w:val="bottom"/>
          </w:tcPr>
          <w:p>
            <w:pPr>
              <w:spacing w:after="0"/>
              <w:rPr>
                <w:sz w:val="18"/>
                <w:szCs w:val="18"/>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35"/>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471"/>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1420" w:type="dxa"/>
            <w:vAlign w:val="bottom"/>
            <w:gridSpan w:val="2"/>
          </w:tcPr>
          <w:p>
            <w:pPr>
              <w:jc w:val="center"/>
              <w:ind w:right="235"/>
              <w:spacing w:after="0"/>
              <w:rPr>
                <w:sz w:val="20"/>
                <w:szCs w:val="20"/>
                <w:color w:val="auto"/>
              </w:rPr>
            </w:pPr>
            <w:r>
              <w:rPr>
                <w:rFonts w:ascii="Arial" w:cs="Arial" w:eastAsia="Arial" w:hAnsi="Arial"/>
                <w:sz w:val="18"/>
                <w:szCs w:val="18"/>
                <w:color w:val="auto"/>
                <w:w w:val="86"/>
              </w:rPr>
              <w:t>Defense</w:t>
            </w:r>
          </w:p>
        </w:tc>
        <w:tc>
          <w:tcPr>
            <w:tcW w:w="0" w:type="dxa"/>
            <w:vAlign w:val="bottom"/>
          </w:tcPr>
          <w:p>
            <w:pPr>
              <w:spacing w:after="0"/>
              <w:rPr>
                <w:sz w:val="1"/>
                <w:szCs w:val="1"/>
                <w:color w:val="auto"/>
              </w:rPr>
            </w:pPr>
          </w:p>
        </w:tc>
      </w:tr>
      <w:tr>
        <w:trPr>
          <w:trHeight w:val="194"/>
        </w:trPr>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62,331</w:t>
            </w:r>
          </w:p>
        </w:tc>
        <w:tc>
          <w:tcPr>
            <w:tcW w:w="20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49,169</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13,162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35"/>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08"/>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74,608</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49,169</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i w:val="1"/>
                <w:iCs w:val="1"/>
                <w:color w:val="auto"/>
                <w:w w:val="87"/>
              </w:rPr>
              <w:t>%</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i w:val="1"/>
                <w:iCs w:val="1"/>
                <w:color w:val="auto"/>
                <w:w w:val="74"/>
              </w:rPr>
              <w:t>%</w:t>
            </w: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0"/>
        </w:trPr>
        <w:tc>
          <w:tcPr>
            <w:tcW w:w="260" w:type="dxa"/>
            <w:vAlign w:val="bottom"/>
          </w:tcPr>
          <w:p>
            <w:pPr>
              <w:spacing w:after="0"/>
              <w:rPr>
                <w:sz w:val="24"/>
                <w:szCs w:val="24"/>
                <w:color w:val="auto"/>
              </w:rPr>
            </w:pPr>
          </w:p>
        </w:tc>
        <w:tc>
          <w:tcPr>
            <w:tcW w:w="1240" w:type="dxa"/>
            <w:vAlign w:val="bottom"/>
          </w:tcPr>
          <w:p>
            <w:pPr>
              <w:jc w:val="center"/>
              <w:ind w:right="191"/>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35"/>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471"/>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1420" w:type="dxa"/>
            <w:vAlign w:val="bottom"/>
            <w:gridSpan w:val="2"/>
          </w:tcPr>
          <w:p>
            <w:pPr>
              <w:jc w:val="center"/>
              <w:ind w:right="235"/>
              <w:spacing w:after="0"/>
              <w:rPr>
                <w:sz w:val="20"/>
                <w:szCs w:val="20"/>
                <w:color w:val="auto"/>
              </w:rPr>
            </w:pPr>
            <w:r>
              <w:rPr>
                <w:rFonts w:ascii="Arial" w:cs="Arial" w:eastAsia="Arial" w:hAnsi="Arial"/>
                <w:sz w:val="18"/>
                <w:szCs w:val="18"/>
                <w:color w:val="auto"/>
                <w:w w:val="86"/>
              </w:rPr>
              <w:t>Defense</w:t>
            </w:r>
          </w:p>
        </w:tc>
        <w:tc>
          <w:tcPr>
            <w:tcW w:w="0" w:type="dxa"/>
            <w:vAlign w:val="bottom"/>
          </w:tcPr>
          <w:p>
            <w:pPr>
              <w:spacing w:after="0"/>
              <w:rPr>
                <w:sz w:val="1"/>
                <w:szCs w:val="1"/>
                <w:color w:val="auto"/>
              </w:rPr>
            </w:pPr>
          </w:p>
        </w:tc>
      </w:tr>
      <w:tr>
        <w:trPr>
          <w:trHeight w:val="194"/>
        </w:trPr>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59,290</w:t>
            </w:r>
          </w:p>
        </w:tc>
        <w:tc>
          <w:tcPr>
            <w:tcW w:w="20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47,276</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12,014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35"/>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08"/>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62,499</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47,276</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i w:val="1"/>
                <w:iCs w:val="1"/>
                <w:color w:val="auto"/>
                <w:w w:val="87"/>
              </w:rPr>
              <w:t>%</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i w:val="1"/>
                <w:iCs w:val="1"/>
                <w:color w:val="auto"/>
                <w:w w:val="74"/>
              </w:rPr>
              <w:t>%</w:t>
            </w: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-1858010</wp:posOffset>
            </wp:positionV>
            <wp:extent cx="6383020"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3020"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-1576705</wp:posOffset>
            </wp:positionV>
            <wp:extent cx="6383020" cy="161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3020" cy="1619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-588010</wp:posOffset>
            </wp:positionV>
            <wp:extent cx="6383020"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3020"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-306705</wp:posOffset>
            </wp:positionV>
            <wp:extent cx="6383020" cy="161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3020" cy="16192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81915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2">
            <w:col w:w="4820" w:space="720"/>
            <w:col w:w="5800"/>
          </w:cols>
          <w:pgMar w:left="320" w:top="577"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U.S. and Non-U.S. Revenue Information</w:t>
      </w:r>
      <w:r>
        <w:rPr>
          <w:rFonts w:ascii="Arial" w:cs="Arial" w:eastAsia="Arial" w:hAnsi="Arial"/>
          <w:sz w:val="29"/>
          <w:szCs w:val="29"/>
          <w:u w:val="single" w:color="auto"/>
          <w:color w:val="auto"/>
          <w:vertAlign w:val="superscript"/>
        </w:rPr>
        <w:t>1</w:t>
      </w:r>
      <w:r>
        <w:rPr>
          <w:rFonts w:ascii="Arial" w:cs="Arial" w:eastAsia="Arial" w:hAnsi="Arial"/>
          <w:sz w:val="18"/>
          <w:szCs w:val="18"/>
          <w:u w:val="single" w:color="auto"/>
          <w:color w:val="auto"/>
        </w:rPr>
        <w:t>:</w:t>
      </w:r>
    </w:p>
    <w:p>
      <w:pPr>
        <w:spacing w:after="0" w:line="96"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Three-month period ended June 30,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Battery &amp; Energy Products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Three-month period ended June 30, 2022: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Battery &amp; Energy Products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Six-month period ended June 30, 2023: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Battery &amp; Energy Products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Six-month period ended June 30, 2022:</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Battery &amp; Energy Products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Communications Systems</w:t>
      </w:r>
    </w:p>
    <w:p>
      <w:pPr>
        <w:spacing w:after="0" w:line="4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471"/>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18"/>
                <w:szCs w:val="18"/>
                <w:color w:val="auto"/>
              </w:rPr>
            </w:pPr>
          </w:p>
        </w:tc>
        <w:tc>
          <w:tcPr>
            <w:tcW w:w="1380" w:type="dxa"/>
            <w:vAlign w:val="bottom"/>
            <w:gridSpan w:val="2"/>
          </w:tcPr>
          <w:p>
            <w:pPr>
              <w:jc w:val="center"/>
              <w:ind w:right="235"/>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71"/>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19"/>
                <w:szCs w:val="19"/>
                <w:color w:val="auto"/>
              </w:rPr>
            </w:pPr>
          </w:p>
        </w:tc>
        <w:tc>
          <w:tcPr>
            <w:tcW w:w="1380" w:type="dxa"/>
            <w:vAlign w:val="bottom"/>
            <w:gridSpan w:val="2"/>
          </w:tcPr>
          <w:p>
            <w:pPr>
              <w:jc w:val="center"/>
              <w:ind w:right="235"/>
              <w:spacing w:after="0"/>
              <w:rPr>
                <w:sz w:val="20"/>
                <w:szCs w:val="20"/>
                <w:color w:val="auto"/>
              </w:rPr>
            </w:pPr>
            <w:r>
              <w:rPr>
                <w:rFonts w:ascii="Arial" w:cs="Arial" w:eastAsia="Arial" w:hAnsi="Arial"/>
                <w:sz w:val="18"/>
                <w:szCs w:val="18"/>
                <w:color w:val="auto"/>
                <w:w w:val="82"/>
              </w:rPr>
              <w:t>States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33,861</w:t>
            </w:r>
          </w:p>
        </w:tc>
        <w:tc>
          <w:tcPr>
            <w:tcW w:w="200" w:type="dxa"/>
            <w:vAlign w:val="bottom"/>
          </w:tcPr>
          <w:p>
            <w:pPr>
              <w:spacing w:after="0"/>
              <w:rPr>
                <w:sz w:val="16"/>
                <w:szCs w:val="16"/>
                <w:color w:val="auto"/>
              </w:rPr>
            </w:pPr>
          </w:p>
        </w:tc>
        <w:tc>
          <w:tcPr>
            <w:tcW w:w="300" w:type="dxa"/>
            <w:vAlign w:val="bottom"/>
            <w:tcBorders>
              <w:top w:val="single" w:sz="8" w:color="auto"/>
            </w:tcBorders>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17,394</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16,467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8,831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5"/>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42,692</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21,339</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i w:val="1"/>
                <w:iCs w:val="1"/>
                <w:color w:val="auto"/>
                <w:w w:val="87"/>
              </w:rPr>
              <w:t>%</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i w:val="1"/>
                <w:iCs w:val="1"/>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71"/>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380" w:type="dxa"/>
            <w:vAlign w:val="bottom"/>
            <w:gridSpan w:val="2"/>
          </w:tcPr>
          <w:p>
            <w:pPr>
              <w:jc w:val="center"/>
              <w:ind w:right="235"/>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71"/>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19"/>
                <w:szCs w:val="19"/>
                <w:color w:val="auto"/>
              </w:rPr>
            </w:pPr>
          </w:p>
        </w:tc>
        <w:tc>
          <w:tcPr>
            <w:tcW w:w="1380" w:type="dxa"/>
            <w:vAlign w:val="bottom"/>
            <w:gridSpan w:val="2"/>
          </w:tcPr>
          <w:p>
            <w:pPr>
              <w:jc w:val="center"/>
              <w:ind w:right="235"/>
              <w:spacing w:after="0"/>
              <w:rPr>
                <w:sz w:val="20"/>
                <w:szCs w:val="20"/>
                <w:color w:val="auto"/>
              </w:rPr>
            </w:pPr>
            <w:r>
              <w:rPr>
                <w:rFonts w:ascii="Arial" w:cs="Arial" w:eastAsia="Arial" w:hAnsi="Arial"/>
                <w:sz w:val="18"/>
                <w:szCs w:val="18"/>
                <w:color w:val="auto"/>
                <w:w w:val="82"/>
              </w:rPr>
              <w:t>States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30,140</w:t>
            </w:r>
          </w:p>
        </w:tc>
        <w:tc>
          <w:tcPr>
            <w:tcW w:w="200" w:type="dxa"/>
            <w:vAlign w:val="bottom"/>
          </w:tcPr>
          <w:p>
            <w:pPr>
              <w:spacing w:after="0"/>
              <w:rPr>
                <w:sz w:val="16"/>
                <w:szCs w:val="16"/>
                <w:color w:val="auto"/>
              </w:rPr>
            </w:pPr>
          </w:p>
        </w:tc>
        <w:tc>
          <w:tcPr>
            <w:tcW w:w="300" w:type="dxa"/>
            <w:vAlign w:val="bottom"/>
            <w:tcBorders>
              <w:top w:val="single" w:sz="8" w:color="auto"/>
            </w:tcBorders>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13,330</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16,810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5"/>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32,126</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15,240</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i w:val="1"/>
                <w:iCs w:val="1"/>
                <w:color w:val="auto"/>
                <w:w w:val="87"/>
              </w:rPr>
              <w:t>%</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i w:val="1"/>
                <w:iCs w:val="1"/>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71"/>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380" w:type="dxa"/>
            <w:vAlign w:val="bottom"/>
            <w:gridSpan w:val="2"/>
          </w:tcPr>
          <w:p>
            <w:pPr>
              <w:jc w:val="center"/>
              <w:ind w:right="235"/>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71"/>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19"/>
                <w:szCs w:val="19"/>
                <w:color w:val="auto"/>
              </w:rPr>
            </w:pPr>
          </w:p>
        </w:tc>
        <w:tc>
          <w:tcPr>
            <w:tcW w:w="1380" w:type="dxa"/>
            <w:vAlign w:val="bottom"/>
            <w:gridSpan w:val="2"/>
          </w:tcPr>
          <w:p>
            <w:pPr>
              <w:jc w:val="center"/>
              <w:ind w:right="235"/>
              <w:spacing w:after="0"/>
              <w:rPr>
                <w:sz w:val="20"/>
                <w:szCs w:val="20"/>
                <w:color w:val="auto"/>
              </w:rPr>
            </w:pPr>
            <w:r>
              <w:rPr>
                <w:rFonts w:ascii="Arial" w:cs="Arial" w:eastAsia="Arial" w:hAnsi="Arial"/>
                <w:sz w:val="18"/>
                <w:szCs w:val="18"/>
                <w:color w:val="auto"/>
                <w:w w:val="82"/>
              </w:rPr>
              <w:t>States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62,331</w:t>
            </w:r>
          </w:p>
        </w:tc>
        <w:tc>
          <w:tcPr>
            <w:tcW w:w="200" w:type="dxa"/>
            <w:vAlign w:val="bottom"/>
          </w:tcPr>
          <w:p>
            <w:pPr>
              <w:spacing w:after="0"/>
              <w:rPr>
                <w:sz w:val="16"/>
                <w:szCs w:val="16"/>
                <w:color w:val="auto"/>
              </w:rPr>
            </w:pPr>
          </w:p>
        </w:tc>
        <w:tc>
          <w:tcPr>
            <w:tcW w:w="300" w:type="dxa"/>
            <w:vAlign w:val="bottom"/>
            <w:tcBorders>
              <w:top w:val="single" w:sz="8" w:color="auto"/>
            </w:tcBorders>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31,162</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31,169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12,277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5"/>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74,608</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37,984</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i w:val="1"/>
                <w:iCs w:val="1"/>
                <w:color w:val="auto"/>
                <w:w w:val="87"/>
              </w:rPr>
              <w:t>%</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i w:val="1"/>
                <w:iCs w:val="1"/>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71"/>
              <w:spacing w:after="0"/>
              <w:rPr>
                <w:sz w:val="20"/>
                <w:szCs w:val="20"/>
                <w:color w:val="auto"/>
              </w:rPr>
            </w:pPr>
            <w:r>
              <w:rPr>
                <w:rFonts w:ascii="Arial" w:cs="Arial" w:eastAsia="Arial" w:hAnsi="Arial"/>
                <w:sz w:val="18"/>
                <w:szCs w:val="18"/>
                <w:color w:val="auto"/>
                <w:w w:val="96"/>
              </w:rPr>
              <w:t>United</w:t>
            </w:r>
          </w:p>
        </w:tc>
        <w:tc>
          <w:tcPr>
            <w:tcW w:w="200" w:type="dxa"/>
            <w:vAlign w:val="bottom"/>
          </w:tcPr>
          <w:p>
            <w:pPr>
              <w:spacing w:after="0"/>
              <w:rPr>
                <w:sz w:val="24"/>
                <w:szCs w:val="24"/>
                <w:color w:val="auto"/>
              </w:rPr>
            </w:pPr>
          </w:p>
        </w:tc>
        <w:tc>
          <w:tcPr>
            <w:tcW w:w="1380" w:type="dxa"/>
            <w:vAlign w:val="bottom"/>
            <w:gridSpan w:val="2"/>
          </w:tcPr>
          <w:p>
            <w:pPr>
              <w:jc w:val="center"/>
              <w:ind w:right="235"/>
              <w:spacing w:after="0"/>
              <w:rPr>
                <w:sz w:val="20"/>
                <w:szCs w:val="20"/>
                <w:color w:val="auto"/>
              </w:rPr>
            </w:pPr>
            <w:r>
              <w:rPr>
                <w:rFonts w:ascii="Arial" w:cs="Arial" w:eastAsia="Arial" w:hAnsi="Arial"/>
                <w:sz w:val="18"/>
                <w:szCs w:val="18"/>
                <w:color w:val="auto"/>
                <w:w w:val="94"/>
              </w:rPr>
              <w:t>Non-United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71"/>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471"/>
              <w:spacing w:after="0"/>
              <w:rPr>
                <w:sz w:val="20"/>
                <w:szCs w:val="20"/>
                <w:color w:val="auto"/>
              </w:rPr>
            </w:pPr>
            <w:r>
              <w:rPr>
                <w:rFonts w:ascii="Arial" w:cs="Arial" w:eastAsia="Arial" w:hAnsi="Arial"/>
                <w:sz w:val="18"/>
                <w:szCs w:val="18"/>
                <w:color w:val="auto"/>
                <w:w w:val="82"/>
              </w:rPr>
              <w:t>States</w:t>
            </w:r>
          </w:p>
        </w:tc>
        <w:tc>
          <w:tcPr>
            <w:tcW w:w="200" w:type="dxa"/>
            <w:vAlign w:val="bottom"/>
          </w:tcPr>
          <w:p>
            <w:pPr>
              <w:spacing w:after="0"/>
              <w:rPr>
                <w:sz w:val="19"/>
                <w:szCs w:val="19"/>
                <w:color w:val="auto"/>
              </w:rPr>
            </w:pPr>
          </w:p>
        </w:tc>
        <w:tc>
          <w:tcPr>
            <w:tcW w:w="1380" w:type="dxa"/>
            <w:vAlign w:val="bottom"/>
            <w:gridSpan w:val="2"/>
          </w:tcPr>
          <w:p>
            <w:pPr>
              <w:jc w:val="center"/>
              <w:ind w:right="235"/>
              <w:spacing w:after="0"/>
              <w:rPr>
                <w:sz w:val="20"/>
                <w:szCs w:val="20"/>
                <w:color w:val="auto"/>
              </w:rPr>
            </w:pPr>
            <w:r>
              <w:rPr>
                <w:rFonts w:ascii="Arial" w:cs="Arial" w:eastAsia="Arial" w:hAnsi="Arial"/>
                <w:sz w:val="18"/>
                <w:szCs w:val="18"/>
                <w:color w:val="auto"/>
                <w:w w:val="82"/>
              </w:rPr>
              <w:t>States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59,290</w:t>
            </w:r>
          </w:p>
        </w:tc>
        <w:tc>
          <w:tcPr>
            <w:tcW w:w="200" w:type="dxa"/>
            <w:vAlign w:val="bottom"/>
          </w:tcPr>
          <w:p>
            <w:pPr>
              <w:spacing w:after="0"/>
              <w:rPr>
                <w:sz w:val="16"/>
                <w:szCs w:val="16"/>
                <w:color w:val="auto"/>
              </w:rPr>
            </w:pPr>
          </w:p>
        </w:tc>
        <w:tc>
          <w:tcPr>
            <w:tcW w:w="300" w:type="dxa"/>
            <w:vAlign w:val="bottom"/>
            <w:tcBorders>
              <w:top w:val="single" w:sz="8" w:color="auto"/>
            </w:tcBorders>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27,870</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31,420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62,499</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30,932</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1"/>
              <w:spacing w:after="0"/>
              <w:rPr>
                <w:sz w:val="20"/>
                <w:szCs w:val="20"/>
                <w:color w:val="auto"/>
              </w:rPr>
            </w:pPr>
            <w:r>
              <w:rPr>
                <w:rFonts w:ascii="Arial" w:cs="Arial" w:eastAsia="Arial" w:hAnsi="Arial"/>
                <w:sz w:val="18"/>
                <w:szCs w:val="18"/>
                <w:i w:val="1"/>
                <w:iCs w:val="1"/>
                <w:color w:val="auto"/>
                <w:w w:val="87"/>
              </w:rPr>
              <w:t>%</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9"/>
                <w:szCs w:val="9"/>
                <w:i w:val="1"/>
                <w:iCs w:val="1"/>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-4397375</wp:posOffset>
            </wp:positionV>
            <wp:extent cx="6383020"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3020" cy="1365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-4116705</wp:posOffset>
            </wp:positionV>
            <wp:extent cx="6383020" cy="161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3020" cy="1619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-3128010</wp:posOffset>
            </wp:positionV>
            <wp:extent cx="6383020" cy="13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3020" cy="1365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-2846705</wp:posOffset>
            </wp:positionV>
            <wp:extent cx="6383020" cy="161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3020" cy="1619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-1858010</wp:posOffset>
            </wp:positionV>
            <wp:extent cx="6383020" cy="136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3020" cy="1365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-1576705</wp:posOffset>
            </wp:positionV>
            <wp:extent cx="6383020" cy="161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3020" cy="1619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-588010</wp:posOffset>
            </wp:positionV>
            <wp:extent cx="6383020" cy="136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3020" cy="1365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-306705</wp:posOffset>
            </wp:positionV>
            <wp:extent cx="6383020" cy="161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3020" cy="16192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580" w:space="720"/>
            <w:col w:w="5040"/>
          </w:cols>
          <w:pgMar w:left="320" w:top="581" w:right="239" w:bottom="1440" w:gutter="0" w:footer="0" w:header="0"/>
        </w:sectPr>
      </w:pPr>
    </w:p>
    <w:p>
      <w:pPr>
        <w:ind w:left="5540" w:right="2280" w:hanging="5533"/>
        <w:spacing w:after="0" w:line="363" w:lineRule="auto"/>
        <w:tabs>
          <w:tab w:leader="none" w:pos="125"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Sales classified to U.S. include shipments to U.S.-based prime contractors which in some cases may serve non-U.S. projects.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581"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and supply chain disruptions affecting our business, revenues and earnings adversely; the continued impact of COVID-19 causing delays in the manufacture and delivery of our mission critical products to end customers; our reliance on certain key customers; our efforts to develop new commercial applications for our products; reduced U.S. and foreign military spending including the uncertainty associated with government budget approvals; the unique risks associated with our China operations; breaches in information systems security and other disruptions in our information technology systems; potential disruptions in our supply of raw materials and components; fluctuations in the price of oil and the resulting impact on the demand for downhole drilling; our ability to retain top management and key personnel; our resources being overwhelmed by our growth; possible future declines in demand for the products that use our batteries or communications systems; safety risks, including the risk of fire; variability in our quarterly and annual results and the price of our common stock; rising interest rates increasing the cost of our variable borrowings; purchases by our customers of product quantities not meeting the volume expectations in our supply agreements; potential costs attributable to the warranties we supply with our products and services; our inability to comply with changes to the regulations for the shipment of our products; our ability to utilize our net operating loss carryforwards; our entrance into new end-markets which could lead to additional financial exposure; negative publicity concerning Lithium-ion batteries; possible impairments of our goodwill and other intangible assets; our exposure to foreign currency fluctuations;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“would,” “could,” or words of similar import are intended to identify forward-looking statements. For further discussion of certain of the matters described above and other risks and uncertainties, see Item 1A, “Risk Factors” in our Annual Report on Form 10-K for the year ended December 31, 2022.</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risk factors or to publicly announce the results of any revisions to any of the forward looking statements in this report to reflect new information or risks, future events or other developments.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financial information in this MD&amp;A is presented in thousands of dollars, except for share and per share amounts, unless otherwise specified.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General</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Batteries, Lithium Power®, McDowell Research®, AMTI</w:t>
      </w:r>
      <w:r>
        <w:rPr>
          <w:rFonts w:ascii="Arial" w:cs="Arial" w:eastAsia="Arial" w:hAnsi="Arial"/>
          <w:sz w:val="29"/>
          <w:szCs w:val="29"/>
          <w:color w:val="auto"/>
          <w:vertAlign w:val="superscript"/>
        </w:rPr>
        <w:t>TM</w:t>
      </w:r>
      <w:r>
        <w:rPr>
          <w:rFonts w:ascii="Arial" w:cs="Arial" w:eastAsia="Arial" w:hAnsi="Arial"/>
          <w:sz w:val="18"/>
          <w:szCs w:val="18"/>
          <w:color w:val="auto"/>
        </w:rPr>
        <w:t>, ABLE</w:t>
      </w:r>
      <w:r>
        <w:rPr>
          <w:rFonts w:ascii="Arial" w:cs="Arial" w:eastAsia="Arial" w:hAnsi="Arial"/>
          <w:sz w:val="29"/>
          <w:szCs w:val="29"/>
          <w:color w:val="auto"/>
          <w:vertAlign w:val="superscript"/>
        </w:rPr>
        <w:t>TM</w:t>
      </w:r>
      <w:r>
        <w:rPr>
          <w:rFonts w:ascii="Arial" w:cs="Arial" w:eastAsia="Arial" w:hAnsi="Arial"/>
          <w:sz w:val="18"/>
          <w:szCs w:val="18"/>
          <w:color w:val="auto"/>
        </w:rPr>
        <w:t>, ACCUTRONICS™, ACCUPRO™, ENTELLION™, SWE Southwest Electronic Energy Group™, SWE DRILL-DATA™, SWE SEASAFE™, Excell Battery Group™ and Criterion Gauge brands. We have sales, operations and product development facilities in North America, Europe and Asia.</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revenues of $42,692 for the three-month period ended June 30, 2023, increased by $10,566 or 32.9%, over $32,126 for the three-month period ended June 30, 2022, reflecting increases in government/defense sales of 111.5% and commercial sales of 9.2%. Sales for our Battery &amp; Energy Products segment increased 12.3% from $30,140 in the second quarter of 2022 to $33,861 for the second quarter of 2023, and sales for our Communications Systems segment increased 344.6% from $1,986 to $8,831.</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was $10,588, or 24.8% of revenue, for the three-month period ended June 30, 2023, compared to $7,646, or 23.8% of revenue, for the same quarter a year ago. The 100-basis point improvement primarily resulted from higher factory volume and favorable product mix for our Communications Systems business.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increased to $6,923 for the three-month period ended June 30, 2023, compared to $6,853 for the three-month period ended June 30, 2022. The increase of $70 or 1.0% was primarily attributable to slightly higher new product development investments in the 2023 period. Operating expenses represented 16.2% of revenues compared to 21.3% of revenues for the year-earlier period.</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income for the three-month period ended June 30, 2023 was $3,665, or 8.6% of revenues, compared to $793, or 2.5% of revenues, for the year-earlier period. The increase in operating income resulted from the 32.9% increase in revenues leveraged by the 100-basis point improvement in gross margin and the 510-basis point improvement in operating expenses to revenues ratio.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19" w:name="page20"/>
    <w:bookmarkEnd w:id="19"/>
    <w:p>
      <w:pPr>
        <w:jc w:val="both"/>
        <w:spacing w:after="0" w:line="274" w:lineRule="auto"/>
        <w:rPr>
          <w:sz w:val="20"/>
          <w:szCs w:val="20"/>
          <w:color w:val="auto"/>
        </w:rPr>
      </w:pPr>
      <w:r>
        <w:rPr>
          <w:rFonts w:ascii="Arial" w:cs="Arial" w:eastAsia="Arial" w:hAnsi="Arial"/>
          <w:sz w:val="18"/>
          <w:szCs w:val="18"/>
          <w:color w:val="auto"/>
        </w:rPr>
        <w:t>Other income (expense) for the second quarter of 2023 includes an Employee Retention Credit of $1,544 under Section 2301 of the Coronavirus Aid, Relief and Economic Security Act which was filed with the Internal Revenue Service during the period.</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was $3,340 or $0.21 per share – basic and diluted on a GAAP basis, compared to net income of $512 million or $0.03 per share – basic and diluted for the second quarter of 2022. Adjusted EPS was $0.29 - basic and diluted for the second quarter of 2023, compared to $0.03 - basic and diluted for the 2022 period. Adjusted EPS excludes the provision for deferred taxes of $1,278 which primarily represents non-cash charges for U.S. taxes which will be fully offset by net operating loss carryforwards and other tax credits for the foreseeable future. See the section “Adjusted EPS” on Page 23 for a reconciliation of adjusted EPS to EPS.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Adjusted EBITDA, defined as net income attributable to Ultralife before net interest expense, provision (benefit) for income taxes, depreciation and amortization, and stock-based compensation expense, plus/minus expenses/income that we do not consider reflective of our ongoing operations, amounted to $6,296, or 14.7% of revenues, for the second quarter of 2023, compared to $2,185, or 6.8% of revenues, for the second quarter of 2022. See the section “Adjusted EBITDA” beginning on Page 21 for a reconciliation of adjusted EBITDA to net income attributable to Ultralife.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backlog increasing to $110,875 and durable demand across our diverse end markets, the near-term highest priority remains to recapture gross margin through continued execution of price realization activities, qualification of alternate component suppliers, and lean manufacturing initiatives. These actions position us to deliver high-quality, sustainable profitable growth for 2023 generating incremental cash flow to pay down our acquisition debt and further invest in our businesses. We continue to strengthen our relationships with our key customers using our global new product development and sales resources to support future growth in target markets.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June 30, 2023 and June 30, 2022</w:t>
      </w:r>
    </w:p>
    <w:p>
      <w:pPr>
        <w:spacing w:after="0" w:line="218"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for the three-month period ended June 30, 2023 were $42,692, an increase of $10,566, or 32.9%, over $32,126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three-month period ended June 30, 2022. Overall, government/defense sales increased 111.5% and commercial sales increased 9.2%.</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Battery &amp; Energy Products revenues increased $3,721, or 12.3%, from $30,140 for the three-month period ended June 30, 2022 to $33,861 for the three-month period ended June 30, 2023, reflecting increases of $2,268 or 9.2% in commercial sales and $1,453 and 26.6% in government/defense sales. The increase in commercial sales was driven by a $1,966 or 25.2% increase in medical sales reflecting an increased demand for our batteries used in ventilators, respirators, infusion pumps and other medical devices and a $1,694 or 17.9% increase in oil &amp; gas sales reflecting a rebound in the energy sector. These increases in commercial sales were partially offset by a $1,392 or 18.8% decrease in industrial and other commercial sales primarily attributable to 9-Volt and our new Thionyl Chloride and thin cell battery cells for which sales are expected to rebound in future periods.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Communications Systems sales increased $6,845, or 344.6%, from $1,986 for the three-month period ended June 30, 2022 to $8,831 for the three-month period ended June 30, 2023. The increase was primarily attributable to shipments of vehicle-amplifier adaptor orders to a global defense contractor for the U.S. Army and of integrated systems of amplifiers and radio vehicle mounts to a major international defense contractor for an ongoing allied country government/defense modernization program.</w:t>
      </w:r>
    </w:p>
    <w:p>
      <w:pPr>
        <w:spacing w:after="0" w:line="18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Our total backlog at June 30, 2023 was $110,875 representing a 40.1% increase over the comparable $79,147 for the same period last year, with $76,400 due to ship over the remaining six months of 2023. Total backlog increased $2,772 or 2.6% compared to the backlog of $108,102 at March 31, 2023.</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 xml:space="preserve">Cost of Products Sold / Gross Profit. </w:t>
      </w:r>
      <w:r>
        <w:rPr>
          <w:rFonts w:ascii="Arial" w:cs="Arial" w:eastAsia="Arial" w:hAnsi="Arial"/>
          <w:sz w:val="17"/>
          <w:szCs w:val="17"/>
          <w:color w:val="auto"/>
        </w:rPr>
        <w:t>Cost of products sold totaled $32,104 for the quarter ended June 30, 2023, an increase of $7,624, or 31.1%,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$24,480 reported for the same three-month period a year ago. Consolidated cost of products sold as a percentage of total revenue decreased from 76.2% for the three-month period ended June 30, 2022 to 75.2% for the three-month period ended June 30, 2023. Correspondingly, consolidated gross margin increased from 23.8% for the three-month period ended June 30, 2022, to 24.8% for the three-month period ended June 30, 2023, primarily reflecting higher factory volume and favorable product mix for our Communications Systems business.</w:t>
      </w:r>
    </w:p>
    <w:p>
      <w:pPr>
        <w:spacing w:after="0" w:line="17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For our Battery &amp; Energy Products segment, gross profit for the second quarter of 2023 was $7,543, an increase of $392 or 5.5% from gross profit of $7,151 for the second quarter of 2022. Battery &amp; Energy Products’ gross margin of 22.3% decreased by 140-basis points from the 23.7% gross margin for the year-earlier period, primarily reflecting lingering inefficiencies resulting from the January 2023 cyberattack, disposition of certain non-conforming materials and continued investments in the transition of new products to high volume production, partially offset by improved price realization.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20" w:name="page21"/>
    <w:bookmarkEnd w:id="20"/>
    <w:p>
      <w:pPr>
        <w:jc w:val="both"/>
        <w:spacing w:after="0" w:line="261" w:lineRule="auto"/>
        <w:rPr>
          <w:sz w:val="20"/>
          <w:szCs w:val="20"/>
          <w:color w:val="auto"/>
        </w:rPr>
      </w:pPr>
      <w:r>
        <w:rPr>
          <w:rFonts w:ascii="Arial" w:cs="Arial" w:eastAsia="Arial" w:hAnsi="Arial"/>
          <w:sz w:val="18"/>
          <w:szCs w:val="18"/>
          <w:color w:val="auto"/>
        </w:rPr>
        <w:t>For our Communications Systems segment, gross profit for the second quarter of 2023 was $3,045 or 34.5% of revenues, compared to gross profit of $495 or 24.9% of revenues for the second quarter of 2022. The 960-basis point increase in gross margin was primarily due to higher factory volume and favorable product mix compared to last year’s second quarter.</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Operating Expense. </w:t>
      </w:r>
      <w:r>
        <w:rPr>
          <w:rFonts w:ascii="Arial" w:cs="Arial" w:eastAsia="Arial" w:hAnsi="Arial"/>
          <w:sz w:val="17"/>
          <w:szCs w:val="17"/>
          <w:color w:val="auto"/>
        </w:rPr>
        <w:t>Overall, operating expenses were 16.2% of revenue for the quarter ended June 30, 2023 compared to 21.3% of revenue for the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2022. Amortization expense associated with intangible assets related to our acquisitions was $227 for the second quarter of 2023 ($203 in selling, general and administrative expenses and $24 in research and development costs), compared with $323 for the second quarter of 2022 ($298 in selling, general, and administrative expenses and $25 in research and development costs). Research and development costs were $1,778 for the three-month period ended June 30, 2023, an increase of $106 or 6.3%, from $1,672 for the three-months ended June 30, 2022. The increase is largely attributable to an increase in new product development in our Communications Systems business to pursue both government/defense major programs and commercial opportunities. Selling, general, and administrative expenses were essentially flat year over year, decreasing from $5,181 for the second quarter of 2022 to $5,145 for the second quarter of 2023.</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6"/>
          <w:szCs w:val="16"/>
          <w:color w:val="auto"/>
        </w:rPr>
        <w:t>Other income (expense) totaled $1,058 for the three-month period ended June 30, 2023 compared to ($115) for the three-month</w:t>
      </w:r>
      <w:r>
        <w:rPr>
          <w:rFonts w:ascii="Arial" w:cs="Arial" w:eastAsia="Arial" w:hAnsi="Arial"/>
          <w:sz w:val="16"/>
          <w:szCs w:val="16"/>
          <w:b w:val="1"/>
          <w:bCs w:val="1"/>
          <w:color w:val="auto"/>
        </w:rPr>
        <w:t xml:space="preserve"> </w:t>
      </w:r>
      <w:r>
        <w:rPr>
          <w:rFonts w:ascii="Arial" w:cs="Arial" w:eastAsia="Arial" w:hAnsi="Arial"/>
          <w:sz w:val="16"/>
          <w:szCs w:val="16"/>
          <w:color w:val="auto"/>
        </w:rPr>
        <w:t>period ended June 30, 2022. Other income for the 2023 period includes an Employee Retention Credit (“ERC”) of $1,544 under Section 2301 of the Coronavirus Aid, Relief and Economic Security Act which was filed with the Internal Revenue Service during the second quarter of 2023. Interest and financing expense increased $263, or 148.6%, from ($177) for the second quarter of 2022 to ($440) for the comparable period in 2023. The increase is primarily due to the financing of our acquisition of Excell in December 2021, working capital funding resulting from the January 2023 cyberattack and rising interest rates. Excluding the $1,544 gain for the ERC, miscellaneous income (expense) amounted to ($46) for the second quarter of 2023 compared to $62 for the second quarter of 2022, primarily attributable to foreign exchange gains and loss due to fluctuations in foreign currency exchange rates.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tax provision for the 2023 second quarter was $1,375 compared to $170 for the second quarter of 2022. Our effective tax rate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to 29.1% for the second quarter of 2023 as compared to 25.1% for the second quarter of 2022, primarily attributable to the magnitude of our income reported in the 2023 quarter, including the Employee Retention Credit, and the geographic mix of our operating results. The income tax provision for the second quarter of 2023 is comprised of a $97 current provision for taxes expected to be paid on income primarily in foreign jurisdictions, representing a cash-based effective tax rate of 2.1%, and a $1,278 deferred tax provision which primarily represents non-cash charges for U.S. taxes that will be fully offset by net operating loss carryforwards and other tax credits for the foreseeable future. For the comparable 2022 period, the income tax provision was comprised of a $143 current tax provision, representing a cash-based effective tax rate of 21.1%, and a $27 deferred tax provision. The period over period change in the cash-based effective tax rate is primarily attributable to the geographic mix of our operating results. See Note 6 to the consolidated financial statements in Item 1 of Part I of this Form 10-Q for additional information regarding our income taxes.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was $3,340, or $0.21 per share – basic and diluted on a GAAP basis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three-month period ended June 30, 2023, compared to $512, or $0.03 per share – basic and diluted, for the three-month period ended June 30, 2022. Adjusted EPS was $0.29 on a diluted basis for the second quarter of 2023, compared to $0.03 for the second quarter of 2022. Adjusted EPS excludes the provision for deferred taxes of $1,278 and $27 for the 2023 and 2022 periods, respectively, which primarily represent non-cash charges for U.S. taxes that will be fully offset by net operating loss carryforwards and other tax credits for the foreseeable future. See the section “Adjusted EPS” on Page 23 for a reconciliation of adjusted EPS to EPS.</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Weighted average shares outstanding used to compute diluted earnings per share decreased from 16,149,278 for the second quarter of 2022 to 16,143,686 for the second quarter of 2023. The decrease is attributable to stock option exercises since the second quarter of 2022 offset by a decrease in the average stock price used to compute diluted shares from $4.93 for the second quarter of 2022 to $4.52 for the second quarter of 2023. Accordingly, dilutive shares of 20,352 were added to basic weighted average shares for the 2022 period compared to 2,334 for the 2023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Six-Month Periods Ended June 30, 2023 and June 30, 2022</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for the six-month period ended June 30, 2023 were $74,608, an increase of $12,109, or 19.4%, over $62,499 for the six-month period ended June 30, 2022. Overall, government/defense sales increased $10,216 or 67.1% and commercial sales increased $1,893 or 4.0% . On January 25, 2023, the Company experienced a ransomware cyberattack which impacted our ability to process orders, ship products, provide services to our customers and effectively manage our sales and operating planning process over a several week period for our Newark, NY location and an even longer period for our Virginia Beach, VA location. A large portion of our time during the quarter was devoted to data restoration, systems security augmentation, and regulatory reporting of the cyberattack, all of which were successfully accomplished with no ransom paid. Management continues to work on its cybersecurity insurance claim covering the cost of engaging external cybersecurity experts and the business interruption impact.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Battery &amp; Energy Products revenues increased $3,041, or 5.1%, from $59,290 for the six-month period ended June 30, 2022 to $62,331 for the six-month period ended June 30, 2023. The increase was attributable to a $1,893 or 4.0% increase in commercial sales and a $1,148 or 9.6% increase in government/defense sales. The increase in commercial sales was driven by a $3,601 or 19.5% increase in oil &amp; gas sales reflecting the recent rebound in the energy sector and a $597 or 3.9% increase in medical battery sales due to the high demand for our batteries used in ventilators, respirators, infusion pumps and other medical devices. These increases in commercial sales were partially offset by a $2,305 or 16.9% decrease in industrial and other commercial market sales primarily due to timing of demand for 9-Volt and our new Thionyl Chloride and thin cell battery cells which are expected to rebound in future periods.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Communications Systems revenues increased $9,068, or 282.6%, from $3,209 for the six-month period ended June 30, 2022 to $12,277 for the six-month period ended June 30, 2023. This increase was primarily attributable to shipments of vehicle-amplifier adaptor orders to a global defense contractor for the U.S. Army and of integrated systems of amplifiers and radio vehicle mounts to a major international defense contractor for an ongoing allied country government/defense modernization program.</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Cost of Products Sold / Gross Profit. </w:t>
      </w:r>
      <w:r>
        <w:rPr>
          <w:rFonts w:ascii="Arial" w:cs="Arial" w:eastAsia="Arial" w:hAnsi="Arial"/>
          <w:sz w:val="17"/>
          <w:szCs w:val="17"/>
          <w:color w:val="auto"/>
        </w:rPr>
        <w:t>Cost of products sold totaled $56,584 for the six-month period ended June 30, 2023, an increase of $8,689, or</w:t>
      </w:r>
      <w:r>
        <w:rPr>
          <w:rFonts w:ascii="Arial" w:cs="Arial" w:eastAsia="Arial" w:hAnsi="Arial"/>
          <w:sz w:val="17"/>
          <w:szCs w:val="17"/>
          <w:b w:val="1"/>
          <w:bCs w:val="1"/>
          <w:color w:val="auto"/>
        </w:rPr>
        <w:t xml:space="preserve"> </w:t>
      </w:r>
      <w:r>
        <w:rPr>
          <w:rFonts w:ascii="Arial" w:cs="Arial" w:eastAsia="Arial" w:hAnsi="Arial"/>
          <w:sz w:val="17"/>
          <w:szCs w:val="17"/>
          <w:color w:val="auto"/>
        </w:rPr>
        <w:t>18.1%, from the $47,895 reported for the same six-month period a year ago. Consolidated cost of products sold as a percentage of total revenue decreased from 76.6% for the six-month period ended June 30, 2022 to 75.8% for the six-month period ended June 30, 2023. Correspondingly, consolidated gross margin increased from 23.4% for the six-month period ended June 30, 2022, to 24.2% for the six-month period ended June 30, 2023, primarily reflecting higher factory volume and favorable product mix for our Communications Systems segment, tempered by the inefficiencies experienced at our Newark, NY and Virginia Beach, VA facilities resulting from the January 2023 cyberattack.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Battery &amp; Energy Products segment, gross profit for the first six months of 2023 was $14,055, an increase of $183 or 1.3% over gross profit of $13,872 for the comparable 2022 period. Battery &amp; Energy Products’ gross margin of 22.5% decreased by 90 basis points from the 23.4% gross margin for the year-earlier period, primarily reflecting lingering supply chain disruptions, inefficiencies resulting from the January 2023 cyberattack, disposition of certain non-conforming materials and continued investments in the transition of new products to high volume production, partially offset by improved price realization.</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our Communications Systems segment, gross profit for the first six months of 2023 was $3,969 or 32.3% of revenues, compared to gross profit of $732 or 22.8% of revenues, for the comparable 2022 period. The increase was primarily due to higher factory volume and favorable product mix compared to last year’s second quarter.</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six-month period ended June 30, 2023 were $14,333, an increase of $227 or 1.6% from the $14,106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six-month period ended June 30, 2022. The increase is primarily attributable to increased new product development investments and the recording of the $100 deductible on our cybersecurity insurance policy for expenses incurred associated with the January 2023 cyberattack. Both periods reflected continued tight control over discretionary spending.</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Overall, operating expenses as a percentage of revenues were 19.2% for the six-month period ended June 30, 2023 compared to 22.6% for the six-month period ended June 30, 2022. Amortization expense associated with intangible assets related to our acquisitions was $436 for the first six months of 2023 ($388 in selling, general and administrative expenses and $48 in research and development costs), compared with $651 for the first six months of 2022 ($600 in selling, general, and administrative expenses and $51 in research and development costs). Research and development costs were $3,810 for the six-month period ended June 30, 2023, an increase of $281 or 8.0%, from $3,529 for the six-months ended June 30, 2022. The increase is largely attributable to an increase in new product development in our Communications Systems business to pursue both government/defense major programs and commercial opportunities. Selling, general, and administrative expenses were essentially flat year over year, decreasing from $10,577 for the first six months of 2022 to $10,523 for the first six months of 2023, a decrease of $54 or 0.05%.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7"/>
          <w:szCs w:val="17"/>
          <w:b w:val="1"/>
          <w:bCs w:val="1"/>
          <w:color w:val="auto"/>
        </w:rPr>
        <w:t xml:space="preserve">Other Income (Expense). </w:t>
      </w:r>
      <w:r>
        <w:rPr>
          <w:rFonts w:ascii="Arial" w:cs="Arial" w:eastAsia="Arial" w:hAnsi="Arial"/>
          <w:sz w:val="17"/>
          <w:szCs w:val="17"/>
          <w:color w:val="auto"/>
        </w:rPr>
        <w:t>Other income (expense) totaled $564 for the six-month period ended June 30, 2023 compared to ($232) for the six-month period</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2022. Other income for the 2023 period includes an Employee Retention Credit for $1,544 under Section 2301 of the Coronavirus Aid, Relief and Economic Security Act which was filed with the Internal Revenue Service during the second quarter of 2023. Interest and financing expense increased $553, or 177.8%, from ($311) for the first six months of 2022 to ($864) for the comparable period in 2023. The increase is primarily due to the financing of our acquisition of Excell in December 2021, working capital funding resulting from our January 2023 cyberattack and rising interest rates. Excluding the ERC gain in the 2023 period, miscellaneous income (expense) amounted to ($116) for the 2023 period compared to $79 for the 2022 period, primarily attributable to foreign exchange gains and loss due to fluctuations in foreign currency exchange rates.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income tax provision for the 2023 six-month period was $1,242 compared to an income tax benefit of ($81) for the 2022 six-month</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Our effective tax rate increased to 29.2% for the 2023 period as compared to (30.5%) for the 2022 period, primarily attributable to the magnitude of our income reported in the first six-months of 2023, including the Employee Retention Credit, and the geographic mix of our operating results. The income tax provision for the first six months of 2023 is comprised of a $354 current provision for taxes expected to be paid on income primarily in foreign jurisdictions, representing a cash-based effective tax rate of 8.3%, and an $888 deferred tax provision which primarily represents non-cash charges for U.S. taxes that will be fully offset by net operating loss carryforwards and other tax credits for the foreseeable future. For the comparable 2022 period, the income tax benefit was comprised of a $294 current tax provision, representing a cash-based effective tax rate of 110.5%, and a ($375) deferred tax benefit. The period over period change in the cash-based effective tax rate is primarily attributable to the geographic mix of our operating results. See Note 6 to the consolidated financial statements in Item 1 of Part I of this Form 10-Q for additional information regarding our income taxes.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was $2,994, or $0.19 per share – basic and diluted on a GAAP basis for the six-month period ended June 30, 2023, compared to $344, or $0.02 per share – basic and diluted, for the six-month period ended June 30, 2022. Adjusted EPS was $0.24 on a diluted basis for the 2023 period, compared to $0.00 for the 2022 period. Adjusted EPS excludes the provision (benefit) for deferred taxes of $888 and ($375) for the 2023 and 2022 periods, respectively, which primarily represents non-cash charges (benefits) for U.S. taxes that will be fully offset by net operating loss carryforwards and other tax credits for the foreseeable future. See the section “Adjusted EPS” on Page 23 for a reconciliation of adjusted EPS to EPS.</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Weighted average shares outstanding used to compute diluted earnings per share decreased from 16,141,083 for the first six-months of 2022 to 16,140,528 for the first six-months of 2023. The decrease is attributable to stock option exercises since the second quarter of 2022 offset by a decrease in the average stock price used to compute diluted shares from $5.11 for the six-month period ended June 30, 2022 to $4.25 for the six-month period ended June 30, 2023. Accordingly diluted shares of 24,751 were added to basic weighted average shares in 2022 compared to 2,157 in 2023.</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(loss) attributable to Ultralife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Corporation, the most comparable financial measure under GAAP.</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7"/>
          <w:szCs w:val="17"/>
          <w:color w:val="auto"/>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Corporation or other consolidated statement of operations data prepared in accordance with GAAP. Some of these limitations include, but are not limited to, the following:</w:t>
      </w:r>
    </w:p>
    <w:p>
      <w:pPr>
        <w:spacing w:after="0" w:line="171" w:lineRule="exact"/>
        <w:rPr>
          <w:sz w:val="20"/>
          <w:szCs w:val="20"/>
          <w:color w:val="auto"/>
        </w:rPr>
      </w:pPr>
    </w:p>
    <w:p>
      <w:pPr>
        <w:jc w:val="both"/>
        <w:ind w:left="1100" w:hanging="323"/>
        <w:spacing w:after="0" w:line="257"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7" w:lineRule="exact"/>
        <w:rPr>
          <w:rFonts w:ascii="Arial" w:cs="Arial" w:eastAsia="Arial" w:hAnsi="Arial"/>
          <w:sz w:val="18"/>
          <w:szCs w:val="18"/>
          <w:color w:val="auto"/>
        </w:rPr>
      </w:pPr>
    </w:p>
    <w:p>
      <w:pPr>
        <w:ind w:left="1100" w:hanging="323"/>
        <w:spacing w:after="0" w:line="305"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7" w:lineRule="exact"/>
        <w:rPr>
          <w:rFonts w:ascii="Arial" w:cs="Arial" w:eastAsia="Arial" w:hAnsi="Arial"/>
          <w:sz w:val="17"/>
          <w:szCs w:val="17"/>
          <w:color w:val="auto"/>
        </w:rPr>
      </w:pPr>
    </w:p>
    <w:p>
      <w:pPr>
        <w:jc w:val="both"/>
        <w:ind w:left="1100" w:hanging="323"/>
        <w:spacing w:after="0" w:line="261"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3" w:lineRule="exact"/>
        <w:rPr>
          <w:rFonts w:ascii="Arial" w:cs="Arial" w:eastAsia="Arial" w:hAnsi="Arial"/>
          <w:sz w:val="18"/>
          <w:szCs w:val="18"/>
          <w:color w:val="auto"/>
        </w:rPr>
      </w:pPr>
    </w:p>
    <w:p>
      <w:pPr>
        <w:ind w:left="1100" w:hanging="32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loss attributable to Ultralife.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calculated as follows for the periods presented: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93"/>
              </w:rPr>
              <w:t>Three-Month Period Ended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6"/>
              </w:rPr>
              <w:t>Six-Month Period Ended</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60"/>
              <w:spacing w:after="0" w:line="190"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1"/>
              <w:spacing w:after="0" w:line="190" w:lineRule="exact"/>
              <w:rPr>
                <w:sz w:val="20"/>
                <w:szCs w:val="20"/>
                <w:color w:val="auto"/>
              </w:rPr>
            </w:pPr>
            <w:r>
              <w:rPr>
                <w:rFonts w:ascii="Arial" w:cs="Arial" w:eastAsia="Arial" w:hAnsi="Arial"/>
                <w:sz w:val="18"/>
                <w:szCs w:val="18"/>
                <w:b w:val="1"/>
                <w:bCs w:val="1"/>
                <w:color w:val="auto"/>
                <w:w w:val="94"/>
              </w:rPr>
              <w:t>June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line="190" w:lineRule="exact"/>
              <w:rPr>
                <w:sz w:val="20"/>
                <w:szCs w:val="20"/>
                <w:color w:val="auto"/>
              </w:rPr>
            </w:pPr>
            <w:r>
              <w:rPr>
                <w:rFonts w:ascii="Arial" w:cs="Arial" w:eastAsia="Arial" w:hAnsi="Arial"/>
                <w:sz w:val="18"/>
                <w:szCs w:val="18"/>
                <w:b w:val="1"/>
                <w:bCs w:val="1"/>
                <w:color w:val="auto"/>
              </w:rPr>
              <w:t>June 30,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1"/>
              <w:spacing w:after="0" w:line="190"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Add: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160"/>
              <w:spacing w:after="0"/>
              <w:rPr>
                <w:sz w:val="20"/>
                <w:szCs w:val="20"/>
                <w:color w:val="auto"/>
              </w:rPr>
            </w:pPr>
            <w:r>
              <w:rPr>
                <w:rFonts w:ascii="Arial" w:cs="Arial" w:eastAsia="Arial" w:hAnsi="Arial"/>
                <w:sz w:val="18"/>
                <w:szCs w:val="18"/>
                <w:color w:val="auto"/>
              </w:rPr>
              <w:t>Income tax provision (benefit)</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160"/>
              <w:spacing w:after="0"/>
              <w:rPr>
                <w:sz w:val="20"/>
                <w:szCs w:val="20"/>
                <w:color w:val="auto"/>
              </w:rPr>
            </w:pPr>
            <w:r>
              <w:rPr>
                <w:rFonts w:ascii="Arial" w:cs="Arial" w:eastAsia="Arial" w:hAnsi="Arial"/>
                <w:sz w:val="18"/>
                <w:szCs w:val="18"/>
                <w:color w:val="auto"/>
              </w:rPr>
              <w:t>Amortization expense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160"/>
              <w:spacing w:after="0"/>
              <w:rPr>
                <w:sz w:val="20"/>
                <w:szCs w:val="20"/>
                <w:color w:val="auto"/>
              </w:rPr>
            </w:pPr>
            <w:r>
              <w:rPr>
                <w:rFonts w:ascii="Arial" w:cs="Arial" w:eastAsia="Arial" w:hAnsi="Arial"/>
                <w:sz w:val="18"/>
                <w:szCs w:val="18"/>
                <w:color w:val="auto"/>
              </w:rPr>
              <w:t>Cybersecurity insurance policy deductible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purchase accounting adjustments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80" w:type="dxa"/>
            <w:vAlign w:val="bottom"/>
          </w:tcPr>
          <w:p>
            <w:pPr>
              <w:spacing w:after="0"/>
              <w:rPr>
                <w:sz w:val="20"/>
                <w:szCs w:val="20"/>
                <w:color w:val="auto"/>
              </w:rPr>
            </w:pPr>
            <w:r>
              <w:rPr>
                <w:rFonts w:ascii="Arial" w:cs="Arial" w:eastAsia="Arial" w:hAnsi="Arial"/>
                <w:sz w:val="18"/>
                <w:szCs w:val="18"/>
                <w:color w:val="auto"/>
              </w:rPr>
              <w:t>Adjusted EBITDA</w:t>
            </w:r>
          </w:p>
        </w:tc>
        <w:tc>
          <w:tcPr>
            <w:tcW w:w="1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80" w:type="dxa"/>
            <w:vAlign w:val="bottom"/>
            <w:vMerge w:val="restart"/>
          </w:tcPr>
          <w:p>
            <w:pPr>
              <w:jc w:val="right"/>
              <w:ind w:right="151"/>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4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Adjusted Earnings Per Share</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evaluating our business, we consider and use adjusted EPS, a non-GAAP financial measure, as a supplemental measure of our business performance. We define adjusted EPS as net income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tax provision that will be predominantly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3"/>
              </w:rPr>
              <w:t>Three-Month Period Ended</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3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 2022</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31"/>
              <w:spacing w:after="0" w:line="190" w:lineRule="exact"/>
              <w:rPr>
                <w:sz w:val="20"/>
                <w:szCs w:val="20"/>
                <w:color w:val="auto"/>
              </w:rPr>
            </w:pPr>
            <w:r>
              <w:rPr>
                <w:rFonts w:ascii="Arial" w:cs="Arial" w:eastAsia="Arial" w:hAnsi="Arial"/>
                <w:sz w:val="18"/>
                <w:szCs w:val="18"/>
                <w:b w:val="1"/>
                <w:bCs w:val="1"/>
                <w:color w:val="auto"/>
                <w:w w:val="89"/>
              </w:rPr>
              <w:t>Per</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1"/>
              <w:spacing w:after="0" w:line="190" w:lineRule="exact"/>
              <w:rPr>
                <w:sz w:val="20"/>
                <w:szCs w:val="20"/>
                <w:color w:val="auto"/>
              </w:rPr>
            </w:pPr>
            <w:r>
              <w:rPr>
                <w:rFonts w:ascii="Arial" w:cs="Arial" w:eastAsia="Arial" w:hAnsi="Arial"/>
                <w:sz w:val="18"/>
                <w:szCs w:val="18"/>
                <w:b w:val="1"/>
                <w:bCs w:val="1"/>
                <w:color w:val="auto"/>
                <w:w w:val="96"/>
              </w:rPr>
              <w:t>Per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440"/>
              <w:spacing w:after="0" w:line="190" w:lineRule="exact"/>
              <w:rPr>
                <w:sz w:val="20"/>
                <w:szCs w:val="20"/>
                <w:color w:val="auto"/>
              </w:rPr>
            </w:pPr>
            <w:r>
              <w:rPr>
                <w:rFonts w:ascii="Arial" w:cs="Arial" w:eastAsia="Arial" w:hAnsi="Arial"/>
                <w:sz w:val="18"/>
                <w:szCs w:val="18"/>
                <w:b w:val="1"/>
                <w:bCs w:val="1"/>
                <w:color w:val="auto"/>
                <w:w w:val="96"/>
              </w:rPr>
              <w:t>Per</w:t>
            </w:r>
          </w:p>
        </w:tc>
        <w:tc>
          <w:tcPr>
            <w:tcW w:w="180" w:type="dxa"/>
            <w:vAlign w:val="bottom"/>
          </w:tcPr>
          <w:p>
            <w:pPr>
              <w:spacing w:after="0"/>
              <w:rPr>
                <w:sz w:val="16"/>
                <w:szCs w:val="16"/>
                <w:color w:val="auto"/>
              </w:rPr>
            </w:pPr>
          </w:p>
        </w:tc>
        <w:tc>
          <w:tcPr>
            <w:tcW w:w="940" w:type="dxa"/>
            <w:vAlign w:val="bottom"/>
          </w:tcPr>
          <w:p>
            <w:pPr>
              <w:jc w:val="center"/>
              <w:ind w:right="91"/>
              <w:spacing w:after="0" w:line="190" w:lineRule="exact"/>
              <w:rPr>
                <w:sz w:val="20"/>
                <w:szCs w:val="20"/>
                <w:color w:val="auto"/>
              </w:rPr>
            </w:pPr>
            <w:r>
              <w:rPr>
                <w:rFonts w:ascii="Arial" w:cs="Arial" w:eastAsia="Arial" w:hAnsi="Arial"/>
                <w:sz w:val="18"/>
                <w:szCs w:val="18"/>
                <w:b w:val="1"/>
                <w:bCs w:val="1"/>
                <w:color w:val="auto"/>
                <w:w w:val="96"/>
              </w:rPr>
              <w:t>Per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Basic</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Basic</w:t>
            </w: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Diluted</w:t>
            </w:r>
          </w:p>
        </w:tc>
      </w:tr>
      <w:tr>
        <w:trPr>
          <w:trHeight w:val="233"/>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920" w:type="dxa"/>
            <w:vAlign w:val="bottom"/>
          </w:tcPr>
          <w:p>
            <w:pPr>
              <w:jc w:val="center"/>
              <w:ind w:right="111"/>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8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Share</w:t>
            </w:r>
          </w:p>
        </w:tc>
      </w:tr>
      <w:tr>
        <w:trPr>
          <w:trHeight w:val="208"/>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8"/>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195"/>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16,149</w:t>
            </w:r>
          </w:p>
        </w:tc>
        <w:tc>
          <w:tcPr>
            <w:tcW w:w="100" w:type="dxa"/>
            <w:vAlign w:val="bottom"/>
            <w:shd w:val="clear" w:color="auto" w:fill="CCEEFF"/>
          </w:tcPr>
          <w:p>
            <w:pPr>
              <w:spacing w:after="0"/>
              <w:rPr>
                <w:sz w:val="18"/>
                <w:szCs w:val="18"/>
                <w:color w:val="auto"/>
              </w:rPr>
            </w:pPr>
          </w:p>
        </w:tc>
      </w:tr>
      <w:tr>
        <w:trPr>
          <w:trHeight w:val="429"/>
        </w:trPr>
        <w:tc>
          <w:tcPr>
            <w:tcW w:w="3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98"/>
              </w:rPr>
              <w:t>Six-Month Period Ended</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3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 2022</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31"/>
              <w:spacing w:after="0" w:line="190" w:lineRule="exact"/>
              <w:rPr>
                <w:sz w:val="20"/>
                <w:szCs w:val="20"/>
                <w:color w:val="auto"/>
              </w:rPr>
            </w:pPr>
            <w:r>
              <w:rPr>
                <w:rFonts w:ascii="Arial" w:cs="Arial" w:eastAsia="Arial" w:hAnsi="Arial"/>
                <w:sz w:val="18"/>
                <w:szCs w:val="18"/>
                <w:b w:val="1"/>
                <w:bCs w:val="1"/>
                <w:color w:val="auto"/>
                <w:w w:val="89"/>
              </w:rPr>
              <w:t>Per</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1"/>
              <w:spacing w:after="0" w:line="190" w:lineRule="exact"/>
              <w:rPr>
                <w:sz w:val="20"/>
                <w:szCs w:val="20"/>
                <w:color w:val="auto"/>
              </w:rPr>
            </w:pPr>
            <w:r>
              <w:rPr>
                <w:rFonts w:ascii="Arial" w:cs="Arial" w:eastAsia="Arial" w:hAnsi="Arial"/>
                <w:sz w:val="18"/>
                <w:szCs w:val="18"/>
                <w:b w:val="1"/>
                <w:bCs w:val="1"/>
                <w:color w:val="auto"/>
                <w:w w:val="96"/>
              </w:rPr>
              <w:t>Per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440"/>
              <w:spacing w:after="0" w:line="190" w:lineRule="exact"/>
              <w:rPr>
                <w:sz w:val="20"/>
                <w:szCs w:val="20"/>
                <w:color w:val="auto"/>
              </w:rPr>
            </w:pPr>
            <w:r>
              <w:rPr>
                <w:rFonts w:ascii="Arial" w:cs="Arial" w:eastAsia="Arial" w:hAnsi="Arial"/>
                <w:sz w:val="18"/>
                <w:szCs w:val="18"/>
                <w:b w:val="1"/>
                <w:bCs w:val="1"/>
                <w:color w:val="auto"/>
                <w:w w:val="96"/>
              </w:rPr>
              <w:t>Per</w:t>
            </w:r>
          </w:p>
        </w:tc>
        <w:tc>
          <w:tcPr>
            <w:tcW w:w="180" w:type="dxa"/>
            <w:vAlign w:val="bottom"/>
          </w:tcPr>
          <w:p>
            <w:pPr>
              <w:spacing w:after="0"/>
              <w:rPr>
                <w:sz w:val="16"/>
                <w:szCs w:val="16"/>
                <w:color w:val="auto"/>
              </w:rPr>
            </w:pPr>
          </w:p>
        </w:tc>
        <w:tc>
          <w:tcPr>
            <w:tcW w:w="960" w:type="dxa"/>
            <w:vAlign w:val="bottom"/>
            <w:gridSpan w:val="2"/>
          </w:tcPr>
          <w:p>
            <w:pPr>
              <w:jc w:val="center"/>
              <w:ind w:right="180"/>
              <w:spacing w:after="0" w:line="190"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r>
      <w:tr>
        <w:trPr>
          <w:trHeight w:val="215"/>
        </w:trPr>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1"/>
              <w:spacing w:after="0"/>
              <w:rPr>
                <w:sz w:val="20"/>
                <w:szCs w:val="20"/>
                <w:color w:val="auto"/>
              </w:rPr>
            </w:pPr>
            <w:r>
              <w:rPr>
                <w:rFonts w:ascii="Arial" w:cs="Arial" w:eastAsia="Arial" w:hAnsi="Arial"/>
                <w:sz w:val="18"/>
                <w:szCs w:val="18"/>
                <w:b w:val="1"/>
                <w:bCs w:val="1"/>
                <w:color w:val="auto"/>
                <w:w w:val="83"/>
              </w:rPr>
              <w:t>Basic</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Diluted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Basic</w:t>
            </w: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Diluted</w:t>
            </w:r>
          </w:p>
        </w:tc>
      </w:tr>
      <w:tr>
        <w:trPr>
          <w:trHeight w:val="233"/>
        </w:trPr>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920" w:type="dxa"/>
            <w:vAlign w:val="bottom"/>
          </w:tcPr>
          <w:p>
            <w:pPr>
              <w:jc w:val="center"/>
              <w:ind w:right="111"/>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8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Share</w:t>
            </w:r>
          </w:p>
        </w:tc>
      </w:tr>
      <w:tr>
        <w:trPr>
          <w:trHeight w:val="208"/>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Deferred Tax Provision (Benefit)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r>
      <w:tr>
        <w:trPr>
          <w:trHeight w:val="248"/>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5"/>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16,141</w:t>
            </w:r>
          </w:p>
        </w:tc>
        <w:tc>
          <w:tcPr>
            <w:tcW w:w="100" w:type="dxa"/>
            <w:vAlign w:val="bottom"/>
            <w:shd w:val="clear" w:color="auto" w:fill="CCEEFF"/>
          </w:tcPr>
          <w:p>
            <w:pPr>
              <w:spacing w:after="0"/>
              <w:rPr>
                <w:sz w:val="18"/>
                <w:szCs w:val="18"/>
                <w:color w:val="auto"/>
              </w:rPr>
            </w:pPr>
          </w:p>
        </w:tc>
      </w:tr>
      <w:tr>
        <w:trPr>
          <w:trHeight w:val="430"/>
        </w:trPr>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3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8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June 30, 2023, cash totaled $8,283 (including restricted cash of $81), an increase of $2,570 as compared to $5,713 of cash held at December 31, 2022, primarily attributable to draws on our credit facility and net income generated during the period.</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six-month period ended June 30, 2023, cash provided by our operations was $386, as compared to $3,400 used in operations for the six-month period ended June 30, 2022. For the 2023 period, cash provided by our operations was comprised of net income of $3,013 plus non-cash items totaling $3,171 for depreciation, amortization, stock-based compensation, and deferred taxes, largely offset by a $5,798 increase in net working capital. The increase in working capital was driven by the procurement of inventory to proactively manage our supply chain, reduce lead times and the impact of potential cost increases on components and raw materials, and enhance our position to service customer orders, as well as the effects of the January 2023 cyberattack.</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Cash used in investing activities for the six months ended June 30, 2023 was $1,013 for capital expenditures, primarily reflecting investments in equipment for new products transitioning to high-volume manufacturing.</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provided by financing activities for the six months ended June 30, 2023 was $3,362, largely attributable to draws on our credit facility primarily due to the sales impact of the January 2023 cyberattack as well as the advance purchase of certain critical raw materials, partially offset by principle payments on our term loan during the period.</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continue to have significant U.S. net operating loss carryforwards available to utilize as an offset to future taxable income. See Note 6 to the consolidated financial statements of this Form 10-Q for additional information.</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Going forward, we expect positive operating cash flow and the availability under our Revolving Credit Facility will be sufficient to meet our general funding requirements for the foreseeable future.</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June 30, 2023, the Company had $17,630 outstanding borrowings on the Revolving Credit Facility and $7,167 on the Term Loan Facility. The Company was in full compliance with all covenants under the Credit Facilities as of June 30,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had made commitments to purchase approximately $1,023 of production machinery and equipment.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2022 Annual Report on Form 10-K and subsequent Quarterly Reports on Form 10-Q should be reviewed for a greater understanding of how our financial performance is recorded and reported.</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During the first six months of 2023, there were no significant changes in the manner in which our significant accounting policies were applied or in which related assumptions and estimates were developed.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3"/>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40" w:type="dxa"/>
            <w:vAlign w:val="bottom"/>
            <w:gridSpan w:val="7"/>
          </w:tcPr>
          <w:p>
            <w:pPr>
              <w:ind w:left="120"/>
              <w:spacing w:after="0"/>
              <w:rPr>
                <w:sz w:val="20"/>
                <w:szCs w:val="20"/>
                <w:color w:val="auto"/>
              </w:rPr>
            </w:pPr>
            <w:r>
              <w:rPr>
                <w:rFonts w:ascii="Arial" w:cs="Arial" w:eastAsia="Arial" w:hAnsi="Arial"/>
                <w:sz w:val="18"/>
                <w:szCs w:val="18"/>
                <w:b w:val="1"/>
                <w:bCs w:val="1"/>
                <w:color w:val="auto"/>
              </w:rPr>
              <w:t>OTHER INFORMATION</w:t>
            </w:r>
          </w:p>
        </w:tc>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29"/>
        </w:trPr>
        <w:tc>
          <w:tcPr>
            <w:tcW w:w="7220" w:type="dxa"/>
            <w:vAlign w:val="bottom"/>
            <w:gridSpan w:val="9"/>
          </w:tcPr>
          <w:p>
            <w:pPr>
              <w:spacing w:after="0"/>
              <w:rPr>
                <w:sz w:val="20"/>
                <w:szCs w:val="20"/>
                <w:color w:val="auto"/>
              </w:rPr>
            </w:pPr>
            <w:r>
              <w:rPr>
                <w:rFonts w:ascii="Arial" w:cs="Arial" w:eastAsia="Arial" w:hAnsi="Arial"/>
                <w:sz w:val="18"/>
                <w:szCs w:val="18"/>
                <w:b w:val="1"/>
                <w:bCs w:val="1"/>
                <w:color w:val="auto"/>
              </w:rPr>
              <w:t>Item 6. Exhibits</w:t>
            </w: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15"/>
        </w:trPr>
        <w:tc>
          <w:tcPr>
            <w:tcW w:w="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9"/>
        </w:trPr>
        <w:tc>
          <w:tcPr>
            <w:tcW w:w="18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Index</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Exhibit Description</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from</w:t>
            </w:r>
          </w:p>
        </w:tc>
      </w:tr>
      <w:tr>
        <w:trPr>
          <w:trHeight w:val="168"/>
        </w:trPr>
        <w:tc>
          <w:tcPr>
            <w:tcW w:w="180" w:type="dxa"/>
            <w:vAlign w:val="bottom"/>
          </w:tcPr>
          <w:p>
            <w:pPr>
              <w:spacing w:after="0"/>
              <w:rPr>
                <w:sz w:val="14"/>
                <w:szCs w:val="14"/>
                <w:color w:val="auto"/>
              </w:rPr>
            </w:pPr>
          </w:p>
        </w:tc>
        <w:tc>
          <w:tcPr>
            <w:tcW w:w="80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31.1</w:t>
            </w:r>
          </w:p>
        </w:tc>
        <w:tc>
          <w:tcPr>
            <w:tcW w:w="4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320" w:type="dxa"/>
            <w:vAlign w:val="bottom"/>
            <w:tcBorders>
              <w:top w:val="single" w:sz="8" w:color="auto"/>
              <w:bottom w:val="single" w:sz="8" w:color="0000EE"/>
            </w:tcBorders>
            <w:gridSpan w:val="3"/>
          </w:tcPr>
          <w:p>
            <w:pPr>
              <w:spacing w:after="0" w:line="168" w:lineRule="exact"/>
              <w:rPr>
                <w:sz w:val="20"/>
                <w:szCs w:val="20"/>
                <w:color w:val="auto"/>
              </w:rPr>
            </w:pPr>
            <w:r>
              <w:rPr>
                <w:rFonts w:ascii="Arial" w:cs="Arial" w:eastAsia="Arial" w:hAnsi="Arial"/>
                <w:sz w:val="18"/>
                <w:szCs w:val="18"/>
                <w:color w:val="0000EE"/>
                <w:w w:val="90"/>
              </w:rPr>
              <w:t>Rule 13a-14(a) / 15d-14(a) CEO Certifications</w:t>
            </w:r>
          </w:p>
        </w:tc>
        <w:tc>
          <w:tcPr>
            <w:tcW w:w="21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52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rPr>
              <w:t>Filed herewith</w:t>
            </w:r>
          </w:p>
        </w:tc>
      </w:tr>
      <w:tr>
        <w:trPr>
          <w:trHeight w:val="195"/>
        </w:trPr>
        <w:tc>
          <w:tcPr>
            <w:tcW w:w="98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31.2</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80" w:type="dxa"/>
            <w:vAlign w:val="bottom"/>
            <w:gridSpan w:val="5"/>
          </w:tcPr>
          <w:p>
            <w:pPr>
              <w:spacing w:after="0" w:line="195" w:lineRule="exact"/>
              <w:rPr>
                <w:sz w:val="20"/>
                <w:szCs w:val="20"/>
                <w:color w:val="auto"/>
              </w:rPr>
            </w:pPr>
            <w:r>
              <w:rPr>
                <w:rFonts w:ascii="Arial" w:cs="Arial" w:eastAsia="Arial" w:hAnsi="Arial"/>
                <w:sz w:val="18"/>
                <w:szCs w:val="18"/>
                <w:color w:val="0000EE"/>
              </w:rPr>
              <w:t>Rule 13a-14(a) / 15d-14(a) CFO Certifications</w:t>
            </w:r>
          </w:p>
        </w:tc>
        <w:tc>
          <w:tcPr>
            <w:tcW w:w="384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Filed herewith</w:t>
            </w:r>
          </w:p>
        </w:tc>
      </w:tr>
      <w:tr>
        <w:trPr>
          <w:trHeight w:val="195"/>
        </w:trPr>
        <w:tc>
          <w:tcPr>
            <w:tcW w:w="98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90"/>
              </w:rPr>
              <w:t>Section 1350 Certifications</w:t>
            </w:r>
          </w:p>
        </w:tc>
        <w:tc>
          <w:tcPr>
            <w:tcW w:w="1360" w:type="dxa"/>
            <w:vAlign w:val="bottom"/>
            <w:tcBorders>
              <w:top w:val="single" w:sz="8" w:color="0000EE"/>
            </w:tcBorders>
          </w:tcPr>
          <w:p>
            <w:pPr>
              <w:spacing w:after="0"/>
              <w:rPr>
                <w:sz w:val="16"/>
                <w:szCs w:val="16"/>
                <w:color w:val="auto"/>
              </w:rPr>
            </w:pPr>
          </w:p>
        </w:tc>
        <w:tc>
          <w:tcPr>
            <w:tcW w:w="2160" w:type="dxa"/>
            <w:vAlign w:val="bottom"/>
            <w:gridSpan w:val="2"/>
          </w:tcPr>
          <w:p>
            <w:pPr>
              <w:spacing w:after="0"/>
              <w:rPr>
                <w:sz w:val="16"/>
                <w:szCs w:val="16"/>
                <w:color w:val="auto"/>
              </w:rPr>
            </w:pPr>
          </w:p>
        </w:tc>
        <w:tc>
          <w:tcPr>
            <w:tcW w:w="384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Furnished herewith</w:t>
            </w:r>
          </w:p>
        </w:tc>
      </w:tr>
      <w:tr>
        <w:trPr>
          <w:trHeight w:val="221"/>
        </w:trPr>
        <w:tc>
          <w:tcPr>
            <w:tcW w:w="18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Filed herewith</w:t>
            </w:r>
          </w:p>
        </w:tc>
      </w:tr>
      <w:tr>
        <w:trPr>
          <w:trHeight w:val="215"/>
        </w:trPr>
        <w:tc>
          <w:tcPr>
            <w:tcW w:w="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Filed herewith</w:t>
            </w:r>
          </w:p>
        </w:tc>
      </w:tr>
      <w:tr>
        <w:trPr>
          <w:trHeight w:val="215"/>
        </w:trPr>
        <w:tc>
          <w:tcPr>
            <w:tcW w:w="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Filed herewith</w:t>
            </w:r>
          </w:p>
        </w:tc>
      </w:tr>
      <w:tr>
        <w:trPr>
          <w:trHeight w:val="215"/>
        </w:trPr>
        <w:tc>
          <w:tcPr>
            <w:tcW w:w="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Filed herewith</w:t>
            </w:r>
          </w:p>
        </w:tc>
      </w:tr>
      <w:tr>
        <w:trPr>
          <w:trHeight w:val="215"/>
        </w:trPr>
        <w:tc>
          <w:tcPr>
            <w:tcW w:w="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Filed herewith</w:t>
            </w:r>
          </w:p>
        </w:tc>
      </w:tr>
      <w:tr>
        <w:trPr>
          <w:trHeight w:val="215"/>
        </w:trPr>
        <w:tc>
          <w:tcPr>
            <w:tcW w:w="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Filed herewith</w:t>
            </w:r>
          </w:p>
        </w:tc>
      </w:tr>
      <w:tr>
        <w:trPr>
          <w:trHeight w:val="215"/>
        </w:trPr>
        <w:tc>
          <w:tcPr>
            <w:tcW w:w="980" w:type="dxa"/>
            <w:vAlign w:val="bottom"/>
            <w:gridSpan w:val="2"/>
          </w:tcPr>
          <w:p>
            <w:pPr>
              <w:ind w:left="18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92"/>
              </w:rPr>
              <w:t>Cover Page Interactive Data File (formatted as Inline XBRL and contained</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Filed herewith</w:t>
            </w:r>
          </w:p>
        </w:tc>
      </w:tr>
      <w:tr>
        <w:trPr>
          <w:trHeight w:val="229"/>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in Exhibit 101)</w:t>
            </w: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200" w:lineRule="exact"/>
        <w:rPr>
          <w:sz w:val="20"/>
          <w:szCs w:val="20"/>
          <w:color w:val="auto"/>
        </w:rPr>
      </w:pPr>
    </w:p>
    <w:p>
      <w:pPr>
        <w:jc w:val="both"/>
        <w:ind w:left="500"/>
        <w:spacing w:after="0" w:line="286" w:lineRule="auto"/>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Consolidated Balance Sheets as of June 30, 2023 and December 31, 2022, (ii) Consolidated Statements of Income (Loss) and Comprehensive Income (Loss) for the three and six months ended June 30, 2023 and 2022, (iii) Consolidated Statements of Cash Flows for the six months ended June 30, 2023 and 2022,</w:t>
      </w:r>
    </w:p>
    <w:p>
      <w:pPr>
        <w:spacing w:after="0" w:line="1" w:lineRule="exact"/>
        <w:rPr>
          <w:sz w:val="20"/>
          <w:szCs w:val="20"/>
          <w:color w:val="auto"/>
        </w:rPr>
      </w:pPr>
    </w:p>
    <w:p>
      <w:pPr>
        <w:ind w:left="500" w:hanging="9"/>
        <w:spacing w:after="0" w:line="257"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for the three and six months ended June 30, 2023 and 2022, and (v) Notes to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940" w:type="dxa"/>
            <w:vAlign w:val="bottom"/>
            <w:gridSpan w:val="3"/>
          </w:tcPr>
          <w:p>
            <w:pPr>
              <w:jc w:val="center"/>
              <w:ind w:left="151"/>
              <w:spacing w:after="0"/>
              <w:rPr>
                <w:sz w:val="20"/>
                <w:szCs w:val="20"/>
                <w:color w:val="auto"/>
              </w:rPr>
            </w:pPr>
            <w:r>
              <w:rPr>
                <w:rFonts w:ascii="Arial" w:cs="Arial" w:eastAsia="Arial" w:hAnsi="Arial"/>
                <w:sz w:val="18"/>
                <w:szCs w:val="18"/>
                <w:b w:val="1"/>
                <w:bCs w:val="1"/>
                <w:color w:val="auto"/>
              </w:rPr>
              <w:t>ULTRALIFE CORPORATION</w:t>
            </w:r>
          </w:p>
        </w:tc>
      </w:tr>
      <w:tr>
        <w:trPr>
          <w:trHeight w:val="235"/>
        </w:trPr>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(Registrant)</w:t>
            </w:r>
          </w:p>
        </w:tc>
        <w:tc>
          <w:tcPr>
            <w:tcW w:w="640" w:type="dxa"/>
            <w:vAlign w:val="bottom"/>
          </w:tcPr>
          <w:p>
            <w:pPr>
              <w:spacing w:after="0"/>
              <w:rPr>
                <w:sz w:val="20"/>
                <w:szCs w:val="20"/>
                <w:color w:val="auto"/>
              </w:rPr>
            </w:pPr>
          </w:p>
        </w:tc>
      </w:tr>
      <w:tr>
        <w:trPr>
          <w:trHeight w:val="402"/>
        </w:trPr>
        <w:tc>
          <w:tcPr>
            <w:tcW w:w="1400" w:type="dxa"/>
            <w:vAlign w:val="bottom"/>
            <w:gridSpan w:val="2"/>
          </w:tcPr>
          <w:p>
            <w:pPr>
              <w:spacing w:after="0"/>
              <w:rPr>
                <w:sz w:val="20"/>
                <w:szCs w:val="20"/>
                <w:color w:val="auto"/>
              </w:rPr>
            </w:pPr>
            <w:r>
              <w:rPr>
                <w:rFonts w:ascii="Arial" w:cs="Arial" w:eastAsia="Arial" w:hAnsi="Arial"/>
                <w:sz w:val="18"/>
                <w:szCs w:val="18"/>
                <w:color w:val="auto"/>
                <w:w w:val="88"/>
              </w:rPr>
              <w:t>Date: July 27, 2023</w:t>
            </w:r>
          </w:p>
        </w:tc>
        <w:tc>
          <w:tcPr>
            <w:tcW w:w="8160" w:type="dxa"/>
            <w:vAlign w:val="bottom"/>
            <w:gridSpan w:val="4"/>
          </w:tcPr>
          <w:p>
            <w:pPr>
              <w:ind w:left="3880"/>
              <w:spacing w:after="0"/>
              <w:rPr>
                <w:sz w:val="20"/>
                <w:szCs w:val="20"/>
                <w:color w:val="auto"/>
              </w:rPr>
            </w:pPr>
            <w:r>
              <w:rPr>
                <w:rFonts w:ascii="Arial" w:cs="Arial" w:eastAsia="Arial" w:hAnsi="Arial"/>
                <w:sz w:val="18"/>
                <w:szCs w:val="18"/>
                <w:color w:val="auto"/>
              </w:rPr>
              <w:t>By: /s/ Michael E. Manna</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40" w:type="dxa"/>
            <w:vAlign w:val="bottom"/>
            <w:gridSpan w:val="3"/>
          </w:tcPr>
          <w:p>
            <w:pPr>
              <w:ind w:left="240"/>
              <w:spacing w:after="0" w:line="181" w:lineRule="exact"/>
              <w:rPr>
                <w:sz w:val="20"/>
                <w:szCs w:val="20"/>
                <w:color w:val="auto"/>
              </w:rPr>
            </w:pPr>
            <w:r>
              <w:rPr>
                <w:rFonts w:ascii="Arial" w:cs="Arial" w:eastAsia="Arial" w:hAnsi="Arial"/>
                <w:sz w:val="18"/>
                <w:szCs w:val="18"/>
                <w:color w:val="auto"/>
              </w:rPr>
              <w:t>Michael E. Manna</w:t>
            </w:r>
          </w:p>
        </w:tc>
      </w:tr>
      <w:tr>
        <w:trPr>
          <w:trHeight w:val="215"/>
        </w:trPr>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940" w:type="dxa"/>
            <w:vAlign w:val="bottom"/>
            <w:gridSpan w:val="3"/>
          </w:tcPr>
          <w:p>
            <w:pPr>
              <w:ind w:left="24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94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617"/>
        </w:trPr>
        <w:tc>
          <w:tcPr>
            <w:tcW w:w="1400" w:type="dxa"/>
            <w:vAlign w:val="bottom"/>
            <w:gridSpan w:val="2"/>
          </w:tcPr>
          <w:p>
            <w:pPr>
              <w:spacing w:after="0"/>
              <w:rPr>
                <w:sz w:val="20"/>
                <w:szCs w:val="20"/>
                <w:color w:val="auto"/>
              </w:rPr>
            </w:pPr>
            <w:r>
              <w:rPr>
                <w:rFonts w:ascii="Arial" w:cs="Arial" w:eastAsia="Arial" w:hAnsi="Arial"/>
                <w:sz w:val="18"/>
                <w:szCs w:val="18"/>
                <w:color w:val="auto"/>
                <w:w w:val="88"/>
              </w:rPr>
              <w:t>Date: July 27, 2023</w:t>
            </w:r>
          </w:p>
        </w:tc>
        <w:tc>
          <w:tcPr>
            <w:tcW w:w="8160" w:type="dxa"/>
            <w:vAlign w:val="bottom"/>
            <w:gridSpan w:val="4"/>
          </w:tcPr>
          <w:p>
            <w:pPr>
              <w:ind w:left="3880"/>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1"/>
        </w:trPr>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40" w:type="dxa"/>
            <w:vAlign w:val="bottom"/>
            <w:gridSpan w:val="3"/>
          </w:tcPr>
          <w:p>
            <w:pPr>
              <w:ind w:left="240"/>
              <w:spacing w:after="0" w:line="181" w:lineRule="exact"/>
              <w:rPr>
                <w:sz w:val="20"/>
                <w:szCs w:val="20"/>
                <w:color w:val="auto"/>
              </w:rPr>
            </w:pPr>
            <w:r>
              <w:rPr>
                <w:rFonts w:ascii="Arial" w:cs="Arial" w:eastAsia="Arial" w:hAnsi="Arial"/>
                <w:sz w:val="18"/>
                <w:szCs w:val="18"/>
                <w:color w:val="auto"/>
              </w:rPr>
              <w:t>Philip A. Fain</w:t>
            </w:r>
          </w:p>
        </w:tc>
      </w:tr>
      <w:tr>
        <w:trPr>
          <w:trHeight w:val="215"/>
        </w:trPr>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9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and Treasurer</w:t>
            </w:r>
          </w:p>
        </w:tc>
      </w:tr>
      <w:tr>
        <w:trPr>
          <w:trHeight w:val="215"/>
        </w:trPr>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940" w:type="dxa"/>
            <w:vAlign w:val="bottom"/>
            <w:gridSpan w:val="3"/>
          </w:tcPr>
          <w:p>
            <w:pPr>
              <w:ind w:left="240"/>
              <w:spacing w:after="0"/>
              <w:rPr>
                <w:sz w:val="20"/>
                <w:szCs w:val="20"/>
                <w:color w:val="auto"/>
              </w:rPr>
            </w:pPr>
            <w:r>
              <w:rPr>
                <w:rFonts w:ascii="Arial" w:cs="Arial" w:eastAsia="Arial" w:hAnsi="Arial"/>
                <w:sz w:val="18"/>
                <w:szCs w:val="18"/>
                <w:color w:val="auto"/>
              </w:rPr>
              <w:t>(Principal Financial Officer and</w:t>
            </w:r>
          </w:p>
        </w:tc>
      </w:tr>
      <w:tr>
        <w:trPr>
          <w:trHeight w:val="229"/>
        </w:trPr>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940" w:type="dxa"/>
            <w:vAlign w:val="bottom"/>
            <w:gridSpan w:val="3"/>
          </w:tcPr>
          <w:p>
            <w:pPr>
              <w:ind w:left="240"/>
              <w:spacing w:after="0"/>
              <w:rPr>
                <w:sz w:val="20"/>
                <w:szCs w:val="20"/>
                <w:color w:val="auto"/>
              </w:rPr>
            </w:pPr>
            <w:r>
              <w:rPr>
                <w:rFonts w:ascii="Arial" w:cs="Arial" w:eastAsia="Arial" w:hAnsi="Arial"/>
                <w:sz w:val="18"/>
                <w:szCs w:val="18"/>
                <w:color w:val="auto"/>
              </w:rPr>
              <w:t>Principal Accounting Officer)</w:t>
            </w:r>
          </w:p>
        </w:tc>
      </w:tr>
      <w:tr>
        <w:trPr>
          <w:trHeight w:val="429"/>
        </w:trPr>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2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120"/>
          </w:cols>
          <w:pgMar w:left="320" w:top="577" w:right="459" w:bottom="1440" w:gutter="0" w:footer="0" w:header="0"/>
        </w:sectPr>
      </w:pPr>
    </w:p>
    <w:bookmarkStart w:id="29" w:name="page30"/>
    <w:bookmarkEnd w:id="2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 Michael E. Manna, certify that:</w:t>
      </w:r>
    </w:p>
    <w:p>
      <w:pPr>
        <w:spacing w:after="0" w:line="222" w:lineRule="exact"/>
        <w:rPr>
          <w:sz w:val="20"/>
          <w:szCs w:val="20"/>
          <w:color w:val="auto"/>
        </w:rPr>
      </w:pPr>
    </w:p>
    <w:p>
      <w:pPr>
        <w:ind w:left="660" w:hanging="65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2" w:lineRule="exact"/>
        <w:rPr>
          <w:rFonts w:ascii="Arial" w:cs="Arial" w:eastAsia="Arial" w:hAnsi="Arial"/>
          <w:sz w:val="18"/>
          <w:szCs w:val="18"/>
          <w:color w:val="auto"/>
        </w:rPr>
      </w:pPr>
    </w:p>
    <w:p>
      <w:pPr>
        <w:jc w:val="both"/>
        <w:ind w:left="660" w:hanging="653"/>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3"/>
        <w:spacing w:after="0" w:line="30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660" w:hanging="653"/>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6"/>
        <w:spacing w:after="0" w:line="26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6"/>
        <w:spacing w:after="0" w:line="26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6"/>
        <w:spacing w:after="0" w:line="339"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300" w:hanging="326"/>
        <w:spacing w:after="0" w:line="26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3"/>
        <w:spacing w:after="0" w:line="339"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300" w:hanging="326"/>
        <w:spacing w:after="0" w:line="305"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300" w:hanging="326"/>
        <w:spacing w:after="0" w:line="27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Arial" w:cs="Arial" w:eastAsia="Arial" w:hAnsi="Arial"/>
                <w:sz w:val="18"/>
                <w:szCs w:val="18"/>
                <w:color w:val="auto"/>
                <w:w w:val="88"/>
              </w:rPr>
              <w:t>Date: July 27, 2023</w:t>
            </w:r>
          </w:p>
        </w:tc>
        <w:tc>
          <w:tcPr>
            <w:tcW w:w="8160" w:type="dxa"/>
            <w:vAlign w:val="bottom"/>
            <w:gridSpan w:val="2"/>
          </w:tcPr>
          <w:p>
            <w:pPr>
              <w:jc w:val="right"/>
              <w:ind w:right="2291"/>
              <w:spacing w:after="0"/>
              <w:rPr>
                <w:sz w:val="20"/>
                <w:szCs w:val="20"/>
                <w:color w:val="auto"/>
              </w:rPr>
            </w:pPr>
            <w:r>
              <w:rPr>
                <w:rFonts w:ascii="Arial" w:cs="Arial" w:eastAsia="Arial" w:hAnsi="Arial"/>
                <w:sz w:val="18"/>
                <w:szCs w:val="18"/>
                <w:color w:val="auto"/>
              </w:rPr>
              <w:t>By: /s/ Michael E. Manna</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940" w:type="dxa"/>
            <w:vAlign w:val="bottom"/>
          </w:tcPr>
          <w:p>
            <w:pPr>
              <w:jc w:val="right"/>
              <w:ind w:right="2291"/>
              <w:spacing w:after="0" w:line="194" w:lineRule="exact"/>
              <w:rPr>
                <w:sz w:val="20"/>
                <w:szCs w:val="20"/>
                <w:color w:val="auto"/>
              </w:rPr>
            </w:pPr>
            <w:r>
              <w:rPr>
                <w:rFonts w:ascii="Arial" w:cs="Arial" w:eastAsia="Arial" w:hAnsi="Arial"/>
                <w:sz w:val="18"/>
                <w:szCs w:val="18"/>
                <w:color w:val="auto"/>
              </w:rPr>
              <w:t>Michael E. Manna</w:t>
            </w:r>
          </w:p>
        </w:tc>
      </w:tr>
      <w:tr>
        <w:trPr>
          <w:trHeight w:val="229"/>
        </w:trPr>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940" w:type="dxa"/>
            <w:vAlign w:val="bottom"/>
          </w:tcPr>
          <w:p>
            <w:pPr>
              <w:jc w:val="right"/>
              <w:ind w:right="891"/>
              <w:spacing w:after="0"/>
              <w:rPr>
                <w:sz w:val="20"/>
                <w:szCs w:val="20"/>
                <w:color w:val="auto"/>
              </w:rPr>
            </w:pPr>
            <w:r>
              <w:rPr>
                <w:rFonts w:ascii="Arial" w:cs="Arial" w:eastAsia="Arial" w:hAnsi="Arial"/>
                <w:sz w:val="18"/>
                <w:szCs w:val="18"/>
                <w:color w:val="auto"/>
                <w:w w:val="98"/>
              </w:rPr>
              <w:t>President and Chief Executive Officer</w:t>
            </w:r>
          </w:p>
        </w:tc>
      </w:tr>
    </w:tbl>
    <w:p>
      <w:pPr>
        <w:sectPr>
          <w:pgSz w:w="11900" w:h="16838" w:orient="portrait"/>
          <w:cols w:equalWidth="0" w:num="1">
            <w:col w:w="11240"/>
          </w:cols>
          <w:pgMar w:left="320" w:top="121" w:right="339" w:bottom="1440" w:gutter="0" w:footer="0" w:header="0"/>
        </w:sectPr>
      </w:pPr>
    </w:p>
    <w:bookmarkStart w:id="30" w:name="page31"/>
    <w:bookmarkEnd w:id="3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2" w:lineRule="exact"/>
        <w:rPr>
          <w:sz w:val="20"/>
          <w:szCs w:val="20"/>
          <w:color w:val="auto"/>
        </w:rPr>
      </w:pPr>
    </w:p>
    <w:p>
      <w:pPr>
        <w:ind w:left="660" w:hanging="65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2" w:lineRule="exact"/>
        <w:rPr>
          <w:rFonts w:ascii="Arial" w:cs="Arial" w:eastAsia="Arial" w:hAnsi="Arial"/>
          <w:sz w:val="18"/>
          <w:szCs w:val="18"/>
          <w:color w:val="auto"/>
        </w:rPr>
      </w:pPr>
    </w:p>
    <w:p>
      <w:pPr>
        <w:jc w:val="both"/>
        <w:ind w:left="660" w:hanging="653"/>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3"/>
        <w:spacing w:after="0" w:line="30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660" w:hanging="653"/>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6"/>
        <w:spacing w:after="0" w:line="26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6"/>
        <w:spacing w:after="0" w:line="26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6"/>
        <w:spacing w:after="0" w:line="339"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300" w:hanging="326"/>
        <w:spacing w:after="0" w:line="261"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3"/>
        <w:spacing w:after="0" w:line="33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300" w:hanging="326"/>
        <w:spacing w:after="0" w:line="305"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300" w:hanging="326"/>
        <w:spacing w:after="0" w:line="27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Arial" w:cs="Arial" w:eastAsia="Arial" w:hAnsi="Arial"/>
                <w:sz w:val="18"/>
                <w:szCs w:val="18"/>
                <w:color w:val="auto"/>
                <w:w w:val="88"/>
              </w:rPr>
              <w:t>Date: July 27, 2023</w:t>
            </w:r>
          </w:p>
        </w:tc>
        <w:tc>
          <w:tcPr>
            <w:tcW w:w="8160" w:type="dxa"/>
            <w:vAlign w:val="bottom"/>
            <w:gridSpan w:val="2"/>
          </w:tcPr>
          <w:p>
            <w:pPr>
              <w:jc w:val="right"/>
              <w:ind w:right="2631"/>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3940" w:type="dxa"/>
            <w:vAlign w:val="bottom"/>
          </w:tcPr>
          <w:p>
            <w:pPr>
              <w:jc w:val="right"/>
              <w:ind w:right="2631"/>
              <w:spacing w:after="0" w:line="194" w:lineRule="exact"/>
              <w:rPr>
                <w:sz w:val="20"/>
                <w:szCs w:val="20"/>
                <w:color w:val="auto"/>
              </w:rPr>
            </w:pPr>
            <w:r>
              <w:rPr>
                <w:rFonts w:ascii="Arial" w:cs="Arial" w:eastAsia="Arial" w:hAnsi="Arial"/>
                <w:sz w:val="18"/>
                <w:szCs w:val="18"/>
                <w:color w:val="auto"/>
              </w:rPr>
              <w:t>Philip A. Fain</w:t>
            </w:r>
          </w:p>
        </w:tc>
      </w:tr>
      <w:tr>
        <w:trPr>
          <w:trHeight w:val="229"/>
        </w:trPr>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940" w:type="dxa"/>
            <w:vAlign w:val="bottom"/>
          </w:tcPr>
          <w:p>
            <w:pPr>
              <w:jc w:val="right"/>
              <w:ind w:right="931"/>
              <w:spacing w:after="0"/>
              <w:rPr>
                <w:sz w:val="20"/>
                <w:szCs w:val="20"/>
                <w:color w:val="auto"/>
              </w:rPr>
            </w:pPr>
            <w:r>
              <w:rPr>
                <w:rFonts w:ascii="Arial" w:cs="Arial" w:eastAsia="Arial" w:hAnsi="Arial"/>
                <w:sz w:val="18"/>
                <w:szCs w:val="18"/>
                <w:color w:val="auto"/>
                <w:w w:val="98"/>
              </w:rPr>
              <w:t>Chief Financial Officer and Treasurer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June 30, 2023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200" w:lineRule="exact"/>
        <w:rPr>
          <w:sz w:val="20"/>
          <w:szCs w:val="20"/>
          <w:color w:val="auto"/>
        </w:rPr>
      </w:pPr>
    </w:p>
    <w:p>
      <w:pPr>
        <w:spacing w:after="0" w:line="38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40" w:type="dxa"/>
            <w:vAlign w:val="bottom"/>
            <w:gridSpan w:val="3"/>
          </w:tcPr>
          <w:p>
            <w:pPr>
              <w:spacing w:after="0"/>
              <w:rPr>
                <w:sz w:val="20"/>
                <w:szCs w:val="20"/>
                <w:color w:val="auto"/>
              </w:rPr>
            </w:pPr>
            <w:r>
              <w:rPr>
                <w:rFonts w:ascii="Arial" w:cs="Arial" w:eastAsia="Arial" w:hAnsi="Arial"/>
                <w:sz w:val="18"/>
                <w:szCs w:val="18"/>
                <w:color w:val="auto"/>
              </w:rPr>
              <w:t>Date: July 27, 2023</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Michael E. Manna</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Pr>
          <w:p>
            <w:pPr>
              <w:ind w:left="220"/>
              <w:spacing w:after="0" w:line="194" w:lineRule="exact"/>
              <w:rPr>
                <w:sz w:val="20"/>
                <w:szCs w:val="20"/>
                <w:color w:val="auto"/>
              </w:rPr>
            </w:pPr>
            <w:r>
              <w:rPr>
                <w:rFonts w:ascii="Arial" w:cs="Arial" w:eastAsia="Arial" w:hAnsi="Arial"/>
                <w:sz w:val="18"/>
                <w:szCs w:val="18"/>
                <w:color w:val="auto"/>
              </w:rPr>
              <w:t>Michael E. Manna</w:t>
            </w:r>
          </w:p>
        </w:tc>
      </w:tr>
      <w:tr>
        <w:trPr>
          <w:trHeight w:val="229"/>
        </w:trPr>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389"/>
        </w:trPr>
        <w:tc>
          <w:tcPr>
            <w:tcW w:w="3340" w:type="dxa"/>
            <w:vAlign w:val="bottom"/>
            <w:gridSpan w:val="3"/>
          </w:tcPr>
          <w:p>
            <w:pPr>
              <w:spacing w:after="0"/>
              <w:rPr>
                <w:sz w:val="20"/>
                <w:szCs w:val="20"/>
                <w:color w:val="auto"/>
              </w:rPr>
            </w:pPr>
            <w:r>
              <w:rPr>
                <w:rFonts w:ascii="Arial" w:cs="Arial" w:eastAsia="Arial" w:hAnsi="Arial"/>
                <w:sz w:val="18"/>
                <w:szCs w:val="18"/>
                <w:color w:val="auto"/>
              </w:rPr>
              <w:t>Date: July 27, 2023</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Pr>
          <w:p>
            <w:pPr>
              <w:ind w:left="220"/>
              <w:spacing w:after="0" w:line="194" w:lineRule="exact"/>
              <w:rPr>
                <w:sz w:val="20"/>
                <w:szCs w:val="20"/>
                <w:color w:val="auto"/>
              </w:rPr>
            </w:pPr>
            <w:r>
              <w:rPr>
                <w:rFonts w:ascii="Arial" w:cs="Arial" w:eastAsia="Arial" w:hAnsi="Arial"/>
                <w:sz w:val="18"/>
                <w:szCs w:val="18"/>
                <w:color w:val="auto"/>
              </w:rPr>
              <w:t>Philip A. Fain</w:t>
            </w:r>
          </w:p>
        </w:tc>
      </w:tr>
      <w:tr>
        <w:trPr>
          <w:trHeight w:val="229"/>
        </w:trPr>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Pr>
          <w:p>
            <w:pPr>
              <w:ind w:left="22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Roman"/>
      <w:start w:val="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2023-07-27T06:43:18Z</dcterms:created>
  <dcterms:modified xsi:type="dcterms:W3CDTF">2023-07-27T06:43:18Z</dcterms:modified>
</cp:coreProperties>
</file>