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7" w:lineRule="exact"/>
        <w:rPr>
          <w:rFonts w:ascii="MS PGothic" w:cs="MS PGothic" w:eastAsia="MS PGothic" w:hAnsi="MS PGothic"/>
          <w:sz w:val="18"/>
          <w:szCs w:val="18"/>
          <w:color w:val="auto"/>
        </w:rPr>
      </w:pPr>
    </w:p>
    <w:p>
      <w:pPr>
        <w:ind w:left="38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1900" w:hanging="3332"/>
        <w:spacing w:after="0" w:line="498"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ULTRALIFE CORPORATION</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0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Delaware</w:t>
            </w:r>
          </w:p>
        </w:tc>
        <w:tc>
          <w:tcPr>
            <w:tcW w:w="46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16-1387013</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of organization)</w:t>
            </w:r>
          </w:p>
        </w:tc>
        <w:tc>
          <w:tcPr>
            <w:tcW w:w="46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462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(315) 332-7100</w:t>
            </w:r>
          </w:p>
        </w:tc>
      </w:tr>
      <w:tr>
        <w:trPr>
          <w:trHeight w:val="234"/>
        </w:trPr>
        <w:tc>
          <w:tcPr>
            <w:tcW w:w="50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6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16" w:right="339" w:bottom="1440" w:gutter="0" w:footer="0" w:header="0"/>
        </w:sectPr>
      </w:pPr>
    </w:p>
    <w:p>
      <w:pPr>
        <w:spacing w:after="0" w:line="225"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Common Stock, $0.10 par value per share</w:t>
      </w:r>
    </w:p>
    <w:p>
      <w:pPr>
        <w:spacing w:after="0" w:line="2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ULBI</w:t>
      </w:r>
    </w:p>
    <w:p>
      <w:pPr>
        <w:spacing w:after="0" w:line="2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NASDAQ</w:t>
      </w:r>
    </w:p>
    <w:p>
      <w:pPr>
        <w:spacing w:after="0" w:line="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60" w:space="720"/>
            <w:col w:w="2020" w:space="720"/>
            <w:col w:w="3520"/>
          </w:cols>
          <w:pgMar w:left="320" w:top="1116" w:right="339" w:bottom="1440" w:gutter="0" w:footer="0" w:header="0"/>
          <w:type w:val="continuous"/>
        </w:sectPr>
      </w:pPr>
    </w:p>
    <w:p>
      <w:pPr>
        <w:spacing w:after="0" w:line="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16" w:right="339" w:bottom="1440"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98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16"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16" w:right="339" w:bottom="1440" w:gutter="0" w:footer="0" w:header="0"/>
          <w:type w:val="continuous"/>
        </w:sectPr>
      </w:pPr>
    </w:p>
    <w:p>
      <w:pPr>
        <w:spacing w:after="0" w:line="37" w:lineRule="exact"/>
        <w:rPr>
          <w:sz w:val="24"/>
          <w:szCs w:val="24"/>
          <w:color w:val="auto"/>
        </w:rPr>
      </w:pPr>
    </w:p>
    <w:p>
      <w:pPr>
        <w:ind w:left="58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116" w:right="339" w:bottom="1440" w:gutter="0" w:footer="0" w:header="0"/>
          <w:type w:val="continuous"/>
        </w:sectPr>
      </w:pPr>
    </w:p>
    <w:p>
      <w:pPr>
        <w:spacing w:after="0" w:line="26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July 25, 2022, the registrant had 16,132,868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928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928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92"/>
        </w:trPr>
        <w:tc>
          <w:tcPr>
            <w:tcW w:w="102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9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10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Balance Sheets as of June 30, 2022 and December 31, 2021</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8"/>
        </w:trPr>
        <w:tc>
          <w:tcPr>
            <w:tcW w:w="1020" w:type="dxa"/>
            <w:vAlign w:val="bottom"/>
            <w:shd w:val="clear" w:color="auto" w:fill="CCEEFF"/>
          </w:tcPr>
          <w:p>
            <w:pPr>
              <w:spacing w:after="0"/>
              <w:rPr>
                <w:sz w:val="17"/>
                <w:szCs w:val="17"/>
                <w:color w:val="auto"/>
              </w:rPr>
            </w:pPr>
          </w:p>
        </w:tc>
        <w:tc>
          <w:tcPr>
            <w:tcW w:w="92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Consolidated Statements of Income and Comprehensive (Loss) Income for the Three and Six-Month Periods Ended June</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 2022 and June 30, 2021</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Statements of Cash Flows for the Six-Month Periods Ended June 30, 2022 and June 30, 2021</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8"/>
        </w:trPr>
        <w:tc>
          <w:tcPr>
            <w:tcW w:w="1020" w:type="dxa"/>
            <w:vAlign w:val="bottom"/>
            <w:shd w:val="clear" w:color="auto" w:fill="CCEEFF"/>
          </w:tcPr>
          <w:p>
            <w:pPr>
              <w:spacing w:after="0"/>
              <w:rPr>
                <w:sz w:val="17"/>
                <w:szCs w:val="17"/>
                <w:color w:val="auto"/>
              </w:rPr>
            </w:pPr>
          </w:p>
        </w:tc>
        <w:tc>
          <w:tcPr>
            <w:tcW w:w="92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Six-Month Periods Ended June 30, 2022</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and June 30, 2021</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19</w:t>
            </w:r>
          </w:p>
        </w:tc>
        <w:tc>
          <w:tcPr>
            <w:tcW w:w="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Controls and Procedures</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Exhibits</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30</w:t>
            </w:r>
          </w:p>
        </w:tc>
        <w:tc>
          <w:tcPr>
            <w:tcW w:w="300" w:type="dxa"/>
            <w:vAlign w:val="bottom"/>
            <w:shd w:val="clear" w:color="auto" w:fill="CCEEFF"/>
          </w:tcPr>
          <w:p>
            <w:pPr>
              <w:spacing w:after="0"/>
              <w:rPr>
                <w:sz w:val="18"/>
                <w:szCs w:val="18"/>
                <w:color w:val="auto"/>
              </w:rPr>
            </w:pPr>
          </w:p>
        </w:tc>
      </w:tr>
      <w:tr>
        <w:trPr>
          <w:trHeight w:val="601"/>
        </w:trPr>
        <w:tc>
          <w:tcPr>
            <w:tcW w:w="102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ULTRALIFE CORPORATION AND SUBSIDIARIES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$316 and $346, respectively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162,223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159,538</w:t>
            </w:r>
          </w:p>
        </w:tc>
      </w:tr>
      <w:tr>
        <w:trPr>
          <w:trHeight w:val="197"/>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41,795</w:t>
            </w:r>
          </w:p>
        </w:tc>
      </w:tr>
      <w:tr>
        <w:trPr>
          <w:trHeight w:val="210"/>
        </w:trPr>
        <w:tc>
          <w:tcPr>
            <w:tcW w:w="8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20,567,460 shares at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30, 2022 and 20,522,427 shares at December 31, 2021; outstanding – 16,132,868 shares at June 30,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 and 16,089,832 shares at December 31, 2021</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186,999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 at cost; 4,434,592 shares at June 30, 2022 and 4,432,595 shares at December 31, 2021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(21,469)</w:t>
            </w:r>
          </w:p>
        </w:tc>
      </w:tr>
      <w:tr>
        <w:trPr>
          <w:trHeight w:val="210"/>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116,937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117,616</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117,067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117,743</w:t>
            </w:r>
          </w:p>
        </w:tc>
      </w:tr>
      <w:tr>
        <w:trPr>
          <w:trHeight w:val="210"/>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159,538</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9600" w:type="dxa"/>
            <w:vAlign w:val="bottom"/>
            <w:gridSpan w:val="4"/>
          </w:tcPr>
          <w:p>
            <w:pPr>
              <w:jc w:val="center"/>
              <w:ind w:left="15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0"/>
                <w:szCs w:val="20"/>
                <w:color w:val="auto"/>
              </w:rPr>
            </w:pPr>
          </w:p>
        </w:tc>
        <w:tc>
          <w:tcPr>
            <w:tcW w:w="23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52,743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24,480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47,895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7,646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14,245</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5,181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12,202</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Ultralife Corporation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Ultralife 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common stockholders </w:t>
            </w: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02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16,129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Potential common shares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16,149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r>
      <w:tr>
        <w:trPr>
          <w:trHeight w:val="187"/>
        </w:trPr>
        <w:tc>
          <w:tcPr>
            <w:tcW w:w="80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(2,873)</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6,955</w:t>
            </w:r>
          </w:p>
        </w:tc>
      </w:tr>
      <w:tr>
        <w:trPr>
          <w:trHeight w:val="209"/>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r>
      <w:tr>
        <w:trPr>
          <w:trHeight w:val="209"/>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term loan facility</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withholdings on stock-based awards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10"/>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8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5,175</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1920" w:type="dxa"/>
            <w:vAlign w:val="bottom"/>
            <w:gridSpan w:val="6"/>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18"/>
                <w:szCs w:val="18"/>
                <w:color w:val="auto"/>
              </w:rPr>
            </w:pPr>
          </w:p>
        </w:tc>
        <w:tc>
          <w:tcPr>
            <w:tcW w:w="192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in Excess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of Par</w:t>
            </w:r>
          </w:p>
        </w:tc>
        <w:tc>
          <w:tcPr>
            <w:tcW w:w="1360" w:type="dxa"/>
            <w:vAlign w:val="bottom"/>
            <w:gridSpan w:val="4"/>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980" w:type="dxa"/>
            <w:vAlign w:val="bottom"/>
            <w:gridSpan w:val="3"/>
          </w:tcPr>
          <w:p>
            <w:pPr>
              <w:jc w:val="right"/>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9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8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9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20,373,519</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185,464</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(47,598)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(21,321)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116,923</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 stock options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 restricted</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June 30,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20,474,676</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186,138</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(1,586)</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(46,116)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(21,388)</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119,237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20,522,427</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186,518</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(47,832)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(21,469)</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117,743</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 stock options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 restricted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(1,498)</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June 30,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20,567,460</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186,999</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(3,151)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(47,488)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(21,480)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117,067</w:t>
            </w:r>
          </w:p>
        </w:tc>
        <w:tc>
          <w:tcPr>
            <w:tcW w:w="0" w:type="dxa"/>
            <w:vAlign w:val="bottom"/>
          </w:tcPr>
          <w:p>
            <w:pPr>
              <w:spacing w:after="0"/>
              <w:rPr>
                <w:sz w:val="1"/>
                <w:szCs w:val="1"/>
                <w:color w:val="auto"/>
              </w:rPr>
            </w:pPr>
          </w:p>
        </w:tc>
      </w:tr>
      <w:tr>
        <w:trPr>
          <w:trHeight w:val="183"/>
        </w:trPr>
        <w:tc>
          <w:tcPr>
            <w:tcW w:w="296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March 31, 2021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20,416,511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185,674</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(46,927)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(21,380)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117,861</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822</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 stock options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 restricted</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
        </w:trPr>
        <w:tc>
          <w:tcPr>
            <w:tcW w:w="29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June 30,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20,474,676</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186,138</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(1,586)</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(46,116)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(21,388)</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119,237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March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20,560,796</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186,816</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(1,889)</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(21,476)</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117,641</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 stock options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 restricted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(1,262)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June 30,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20,567,460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186,999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(3,151)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(47,488)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(21,480)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117,067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2021.</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December 31, 2021 consolidated balance sheet information referenced herein was derived from audited financial statements but does not include all disclosures required by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13, 2021, the Company acquired all the outstanding shares of Excell (as defined below) for an aggregate net purchase price of $23,519 in cash.</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13, 2021, 1336889 B.C. Unlimited Liability Company, a British Columbia unlimited liability company and wholly-owned subsidiary of Ultralife Canada Holding Corp., a Delaware corporation (“UCHC”) and wholly-owned subsidiary of Ultralife Excell Holding Corp., a Delaware corporation (“UEHC”) and wholly-owned subsidiary of Ultralife Corporation, completed the acquisition of all issued and outstanding shares of Excell Battery Canada Inc., a British Columbia corporation (“Excell Canada”) (the “Excell Canada Acquisition”), and, concurrently, 1336902 B.C. Unlimited Liability Company, a British Columbia unlimited liability company and wholly-owned subsidiary of UCHC, completed the acquisition of all issued and outstanding shares of 656700 B.C. LTD, a British Columbia corporation and sole owner of all issued and outstanding shares of Excell Battery Corporation USA, a Texas corporation (“Excell USA”, and together with Excell Canada, “Excell Battery Group” or “Excell”) (the “Excell USA Acquisition”, and together with the Excell Canada Acquisition, the “Excell Acquisition”).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in Canada with U.S. operations, Excell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ruggedized computers, and mining, marine and other mission critical applications which demand uncompromised safety, service, reliability and quality.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The Excell Canada Acquisition was completed pursuant to a Share Purchase Agreement dated December 13, 2021 (the “Excell Canada Acquisition Agreement”) by and among 1336889 B.C. Unlimited Liability Company, Mark Kroeker, Randolph Peters, Brian Larsen, M. &amp; W. Holdings Ltd., Karen Kroeker, Heather Peterson, Michael Kroeker, Nicholas Kroeker, Brentley Peters, Craig Peters, Kurtis Peters, Heather Larsen, Ian Kane, Carol Peters, and 0835205 B.C. LTD (the “Excell Canada Sellers”), Mark Kroeker in his capacity as the Excell Canada Sellers’ Representative, and Excell Canada. The Excell USA Acquisition was completed pursuant to a Share Purchase Agreement dated December 13, 2021 (the “Excell USA Acquisition Agreement”, and together with the Excell Canada Acquisition Agreement, the “Excell Acquisition Agreements”) by and among 1336902 B.C. Unlimited Liability Company, M. &amp; W. Holdings Ltd., Ian Kane, Sanford Capital Ltd., Arcee Enterprises Inc., and 0835205 B.C. Ltd. (the “Excell USA Sellers”, and together with the Excell Canada Sellers, the “Sellers”), Mark Kroeker in his capacity as the Excell USA Sellers’ Representative, and 656700 B.C. LTD. The Excell Acquisition Agreements contain customary terms and conditions including representations, warranties and indemnification provisions. A portion of the consideration paid to the Sellers is being held in escrow for indemnification purposes for a period of twelve months from the closing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Excell Acquisition was funded by the Company through a combination of cash on hand and borrowings under the Amended Credit Facilities (Note 3).</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Excell Acquisition was accounted for in accordance with the accounting treatment of a business combination pursuant to FASB ASC Topic 805, Business Combinations (“ASC 805”). Accordingly, the purchase price was allocated to the tangible and intangible assets acquired and the liabilities assumed based on their estimated fair values on the acquisition date. The excess of the purchase price over the estimated fair value of the separately identifiable assets acquired and liabilities assumed was allocated to goodwill. Management is responsible for determining the acquisition date fair value of the assets acquired and liabilities assumed, which requires the use of various assumptions and judgments that are inherently subjective. The purchase price allocation presented below reflects all known information about the fair value of the assets acquired and liabilities assumed as of the acquisition date. The purchase price allocation is subject to change should additional information existing as of the acquisition date about the fair value of the assets acquired and liabilities assumed becomes known. The final purchase price allocation may reflect material changes in the valuation of assets acquired and liabilities assumed, including but not limited to intangible assets, fixed assets, deferred taxes, and residual goodwill.</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5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w:t>
            </w:r>
          </w:p>
        </w:tc>
      </w:tr>
      <w:tr>
        <w:trPr>
          <w:trHeight w:val="209"/>
        </w:trPr>
        <w:tc>
          <w:tcPr>
            <w:tcW w:w="7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24,256</w:t>
            </w:r>
          </w:p>
        </w:tc>
        <w:tc>
          <w:tcPr>
            <w:tcW w:w="8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allocation was adjusted during the six-month period ended June 30, 2022 to reflect a change in the estimated fair value of certain other intangible assets acquired. The measurement period adjustment resulted in a $40 increase in other intangible assets acquired, a $10 increase in deferred tax liabilities and a $30 decrease to goodwill. The adjusted purchase price allocation is reflected in the consolidated balance sheet as of June 30,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Excell’s assembled and trained workforce, the incremental value that Excell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intangible assets were valued using the income approach which requires a forecast of all expected future cash flows and the use of certain assumptions and estimates. The following table summarizes the estimated fair value and annual amortization for each of the identifiable intangible assets acquired.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Annual Amortization</w:t>
            </w: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3</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3"/>
              </w:rPr>
              <w:t>Year 4</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w:t>
            </w: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acquired right-of-use assets and assumed lease liabilities of $960 for Excell’s operating facilities. Right-of-use assets are classified as other noncurrent assets, and current and long-term lease liabilities are classified as accrued expenses and other current liabilities and other noncurrent liabilities, respectively, on the Company’s consolidated balance sheet.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results and cash flows of Excell are reflected in the Company’s consolidated financial statements from the date of acquisition. Excell is included in the Battery &amp; Energy Products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Excell contributed revenue of $6,591 and net income of $320, inclusive of amortization expense of $182 on acquired identifiable intangible assets. For the six months ended June 30, 2022, Excell contributed revenue of $13,027 and net income of $714, inclusive of amortization expense of $364 on acquired identifiable intangible assets and $55 in cost of products sold attributable to the fair market value step-up of acquired inventory sold during the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13, 2021, Ultralife, Southwest Electronic Energy Corporation, a Texas corporation (“SWE”), CLB, INC., a Texas corporation and wholly owned subsidiary of SWE (“CLB”), UEHC, UCHC and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and together with the Second Amendment Agreement, the “Amended Credit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had $9,167 outstanding principal on the Term Loan Facility, $2,000 of which is included in current portion of long-term debt on the consolidated balance sheet, and $12,530 outstanding on the Revolving Credit Facility. As of June 30, 2022, total unamortized debt issuance costs of $131, including placement, renewal and legal fees associated with the Amended Credit Agreement, are classified as a reduction of long-term debt on the balance sheet. Debt issuance costs are amortized to interest expense over the term of the Amended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Revolving Credit Facility is subject to certain borrowing base limits based on trade receivables and inventories.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2025. The Company may voluntarily prepay principal amounts outstanding at any time subject to certain restrictions.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Amended Credit Facilities are secured by substantially all the assets of the Company and its subsidiaries.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Amended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 The Second Amendment Agreement includes standard market provisions permitting the Bank to transition from LIBOR to a SOFR based rate, in its discretion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must pay a fee of 0.15% to 0.25% based on the average daily unused availability under the Revolving Credit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attributable to Ultralife by the weighted average shares outstanding during the period. Diluted EPS includes the dilutive effect of securities, if any, and is calculated using the treasury stock method. For the three-month period ended June 30, 2022, 135,163 stock options and 5,000 restricted stock awards were included in the calculation of diluted EPS as such securities are dilutive. Inclusion of these securities resulted in 20,352 additional shares in the calculation of fully diluted earnings per share. For the comparable three-month period ended June 30, 2021, 906,404 stock options and 14,164 restricted stock awards were included in the calculation of diluted EPS resulting in 240,259 additional shares in the calculation of fully diluted earnings per share. For the six-month periods ended June 30, 2022 and June 30, 2021, 135,163 and 659,488 stock options and 5,000 and 14,164 restricted stock awards, respectively, were included in the calculation of diluted EPS as such securities are dilutive. Inclusion of these securities resulted in 24,751 and 197,848 additional shares, respectively, in the calculation of fully diluted EPS. There were 1,073,077 and 414,916 outstanding stock options for the three and six-month periods ended June 30, 2022 and June 30, 2021,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480" w:firstLine="8"/>
        <w:spacing w:after="0" w:line="503" w:lineRule="auto"/>
        <w:tabs>
          <w:tab w:leader="none" w:pos="486"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 Fair Value Measurements and Disclosures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June 30, 2022 and December 31, 2021. The fair value of cash, accounts receivable, accounts payable, accrued liabilities, and the current portion of long-term debt approximates carrying value due to the short-term nature of these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2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Company’s cash was as follows:</w:t>
            </w:r>
          </w:p>
        </w:tc>
        <w:tc>
          <w:tcPr>
            <w:tcW w:w="2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0"/>
        </w:trPr>
        <w:tc>
          <w:tcPr>
            <w:tcW w:w="3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9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5,037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5,114</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412"/>
        </w:trPr>
        <w:tc>
          <w:tcPr>
            <w:tcW w:w="30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2840" w:type="dxa"/>
            <w:vAlign w:val="bottom"/>
            <w:tcBorders>
              <w:top w:val="single" w:sz="8" w:color="CCEEFF"/>
            </w:tcBorders>
          </w:tcPr>
          <w:p>
            <w:pPr>
              <w:jc w:val="right"/>
              <w:ind w:right="191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restricted cash included $77 and $84, respectively, of euro-denominated deposits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net of obsolescence reserves, with cost determined under the first-in, first-out (FIFO)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composition of inventories, net was: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8"/>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39,201</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8"/>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91,423</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(69,550)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(68,218)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10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for property, plant and equipment was as follows: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00" w:type="dxa"/>
            <w:vAlign w:val="bottom"/>
          </w:tcPr>
          <w:p>
            <w:pPr>
              <w:spacing w:after="0"/>
              <w:rPr>
                <w:sz w:val="24"/>
                <w:szCs w:val="24"/>
                <w:color w:val="auto"/>
              </w:rPr>
            </w:pPr>
          </w:p>
        </w:tc>
        <w:tc>
          <w:tcPr>
            <w:tcW w:w="2540" w:type="dxa"/>
            <w:vAlign w:val="bottom"/>
            <w:gridSpan w:val="12"/>
          </w:tcPr>
          <w:p>
            <w:pPr>
              <w:ind w:left="30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gridSpan w:val="4"/>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4"/>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1,635</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5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six-month period ended June 30, 2022.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38,068</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Measurement period adjustment (1)</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37,502</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Change for measurement period adjustment related to Excell Acquisition (Note 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at June 30, 2022</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3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5,689</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9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28,076</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3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December 31, 2021</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3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5,484</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5,126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11,064</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17,390</w:t>
            </w:r>
          </w:p>
        </w:tc>
      </w:tr>
      <w:tr>
        <w:trPr>
          <w:trHeight w:val="20"/>
        </w:trPr>
        <w:tc>
          <w:tcPr>
            <w:tcW w:w="6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cost of total intangible assets from December 31, 2021 to June 30, 2022 is a result of measurement period adjustments for the Excell Acquisition (Note 2) and the effect of foreign currency translations.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other intangible assets was as follows: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4"/>
                <w:szCs w:val="24"/>
                <w:color w:val="auto"/>
              </w:rPr>
            </w:pPr>
          </w:p>
        </w:tc>
        <w:tc>
          <w:tcPr>
            <w:tcW w:w="2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included in:</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c>
          <w:tcPr>
            <w:tcW w:w="5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4"/>
                <w:szCs w:val="24"/>
                <w:color w:val="auto"/>
              </w:rPr>
            </w:pPr>
          </w:p>
        </w:tc>
        <w:tc>
          <w:tcPr>
            <w:tcW w:w="23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r>
      <w:tr>
        <w:trPr>
          <w:trHeight w:val="187"/>
        </w:trPr>
        <w:tc>
          <w:tcPr>
            <w:tcW w:w="44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June 30, 2022, there was $516 of total unrecognized compensation cost related to outstanding stock options, which is expected to be recognized over a weighted average period of 1.0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six-month period ended June 30, 2022:</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1,306,824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1,208,240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4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4.07</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1,103,948</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1400" w:type="dxa"/>
            <w:vAlign w:val="bottom"/>
            <w:gridSpan w:val="2"/>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3.93</w:t>
            </w:r>
          </w:p>
        </w:tc>
        <w:tc>
          <w:tcPr>
            <w:tcW w:w="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2022</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717,956</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7.06</w:t>
            </w:r>
          </w:p>
        </w:tc>
        <w:tc>
          <w:tcPr>
            <w:tcW w:w="1400" w:type="dxa"/>
            <w:vAlign w:val="bottom"/>
            <w:tcBorders>
              <w:bottom w:val="single" w:sz="8" w:color="CCEEFF"/>
            </w:tcBorders>
            <w:gridSpan w:val="2"/>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2.93</w:t>
            </w:r>
          </w:p>
        </w:tc>
        <w:tc>
          <w:tcPr>
            <w:tcW w:w="32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June 30, 2022 and June 30, 2021 was $0 and $283,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restricted shares vest in equal annual installments over three (3) years. There were 5,000 unvested restricted shares outstanding as of June 30, 2022. Unrecognized compensation cost related to these restricted shares was $6 at June 30, 2022, which is expected to be recognized over a weighted average period of 1.3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 w:name="page14"/>
    <w:bookmarkEnd w:id="13"/>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six-month periods ended June 30, 2022 and June 30, 2021 was (30.5%) and 23.7%, respectively. The period-over-period change was primarily attributable to the geographic mix of our operating results and the larger impact of permanent and discrete adjustments on a smaller amount of pretax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we have domestic net operating loss (“NOL”) carryforwards of $44,716, which expire 2022 thru 2037, and domestic tax credits of $2,239, which expire 2028 thru 2039, available to reduce future taxable income. As of June 30, 2022, management has concluded it is more likely than not that these domestic NOL and credit carryforwards will be fully utilized.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for certain past operations in the U.K., we continue to report a valuation allowance for NOL carryforwards of approximately $11,000,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have not recognized a valuation allowance against our other foreign deferred tax assets, as realization is considered to be more likely than not.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Company maintains its assertion that all foreign earnings will be indefinitely reinvested in those operations, other than earnings generated in the U.K.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June 30, 2022 and December 31, 2021.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In August 2020, the Internal Revenue Service (“IRS”) completed its examination of the Company’s federal tax returns for 2016-2018 with no material adjustments identified. Our U.S. tax matters for 2019-2021 remain subject to IRS examination. Our U.S. tax matters for 2002, 2005-2007 and 2011-2015 also remain subject to IRS examination due to the remaining availability of NOL carryforwards generated in those years. Our U.S. tax matters for 2002, 2005-2007 and 2011-2021 remain subject to examination by various state and local tax jurisdictions. Our tax matters for the years 2011 through 2021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June 30, 2022, the remaining lease terms on our operating leases range from approximately one (1) year to ten (10)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80" w:type="dxa"/>
            <w:vAlign w:val="bottom"/>
          </w:tcPr>
          <w:p>
            <w:pPr>
              <w:spacing w:after="0"/>
              <w:rPr>
                <w:sz w:val="20"/>
                <w:szCs w:val="20"/>
                <w:color w:val="auto"/>
              </w:rPr>
            </w:pPr>
          </w:p>
        </w:tc>
      </w:tr>
      <w:tr>
        <w:trPr>
          <w:trHeight w:val="187"/>
        </w:trPr>
        <w:tc>
          <w:tcPr>
            <w:tcW w:w="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20" w:type="dxa"/>
            <w:vAlign w:val="bottom"/>
            <w:tcBorders>
              <w:top w:val="single" w:sz="8" w:color="auto"/>
            </w:tcBorders>
          </w:tcPr>
          <w:p>
            <w:pPr>
              <w:jc w:val="center"/>
              <w:ind w:lef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8"/>
        </w:trPr>
        <w:tc>
          <w:tcPr>
            <w:tcW w:w="300" w:type="dxa"/>
            <w:vAlign w:val="bottom"/>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0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226</w:t>
            </w:r>
          </w:p>
        </w:tc>
        <w:tc>
          <w:tcPr>
            <w:tcW w:w="11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189</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cost</w:t>
            </w:r>
          </w:p>
        </w:tc>
        <w:tc>
          <w:tcPr>
            <w:tcW w:w="18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249</w:t>
            </w:r>
          </w:p>
        </w:tc>
        <w:tc>
          <w:tcPr>
            <w:tcW w:w="11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413"/>
        </w:trPr>
        <w:tc>
          <w:tcPr>
            <w:tcW w:w="30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gridSpan w:val="11"/>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Six-month period ended June 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8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80" w:type="dxa"/>
            <w:vAlign w:val="bottom"/>
            <w:gridSpan w:val="3"/>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lease payments as of June 30, 2022 are as follows: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14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60" w:type="dxa"/>
            <w:vAlign w:val="bottom"/>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ind w:right="7420" w:firstLine="8"/>
        <w:spacing w:after="0" w:line="503" w:lineRule="auto"/>
        <w:tabs>
          <w:tab w:leader="none" w:pos="486"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Purchase Commitments</w:t>
      </w:r>
    </w:p>
    <w:p>
      <w:pPr>
        <w:spacing w:after="0"/>
        <w:rPr>
          <w:sz w:val="20"/>
          <w:szCs w:val="20"/>
          <w:color w:val="auto"/>
        </w:rPr>
      </w:pPr>
      <w:r>
        <w:rPr>
          <w:rFonts w:ascii="Times New Roman" w:cs="Times New Roman" w:eastAsia="Times New Roman" w:hAnsi="Times New Roman"/>
          <w:sz w:val="18"/>
          <w:szCs w:val="18"/>
          <w:color w:val="auto"/>
        </w:rPr>
        <w:t>As of June 30, 2022, we have made commitments to purchase approximately $697 of production machinery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six months of 2022 and 2021 were as follows:</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Six-month period ended June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0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06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(108)</w:t>
            </w:r>
          </w:p>
        </w:tc>
      </w:tr>
      <w:tr>
        <w:trPr>
          <w:trHeight w:val="20"/>
        </w:trPr>
        <w:tc>
          <w:tcPr>
            <w:tcW w:w="20" w:type="dxa"/>
            <w:vAlign w:val="bottom"/>
          </w:tcPr>
          <w:p>
            <w:pPr>
              <w:spacing w:after="0" w:line="20" w:lineRule="exact"/>
              <w:rPr>
                <w:sz w:val="1"/>
                <w:szCs w:val="1"/>
                <w:color w:val="auto"/>
              </w:rPr>
            </w:pPr>
          </w:p>
        </w:tc>
        <w:tc>
          <w:tcPr>
            <w:tcW w:w="738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1060" w:type="dxa"/>
            <w:vAlign w:val="bottom"/>
          </w:tcPr>
          <w:p>
            <w:pPr>
              <w:jc w:val="right"/>
              <w:ind w:right="92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122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from prior period performance obligations for the six-month periods ended June 30, 2022 and 2021 were not material.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unbilled revenue and deferred contract costs recorded on our consolidated balance sheets as of June 30, 2022 and December 31, 2021 were not material. As of June 30, 2022 and December 31, 2021, the Company had no unsatisfied performance obligations for contracts with an original expected duration of greater than one (1) year. Pursuant to Topic 606, we have applied the practical expedient with respect to disclosure of the deferral and future expected timing of revenue recognition for transaction price allocated to remaining performance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6" w:name="page17"/>
    <w:bookmarkEnd w:id="16"/>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results in two (2) operating segments: Battery &amp; Energy Products and Communications Systems. The Battery &amp; Energy Products segment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June 30, 2022:</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30,140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32,126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414"/>
        </w:trPr>
        <w:tc>
          <w:tcPr>
            <w:tcW w:w="4380" w:type="dxa"/>
            <w:vAlign w:val="bottom"/>
          </w:tcPr>
          <w:p>
            <w:pPr>
              <w:spacing w:after="0"/>
              <w:rPr>
                <w:sz w:val="24"/>
                <w:szCs w:val="24"/>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June 30, 2021:</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22,875</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26,770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r>
      <w:tr>
        <w:trPr>
          <w:trHeight w:val="414"/>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Six-month period ended June 30, 2022:</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59,290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62,499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414"/>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Six-month period ended June 30, 2021:</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44,986</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52,743</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2,043</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w:t>
            </w:r>
          </w:p>
        </w:tc>
      </w:tr>
      <w:tr>
        <w:trPr>
          <w:trHeight w:val="414"/>
        </w:trPr>
        <w:tc>
          <w:tcPr>
            <w:tcW w:w="4380" w:type="dxa"/>
            <w:vAlign w:val="bottom"/>
          </w:tcPr>
          <w:p>
            <w:pPr>
              <w:spacing w:after="0"/>
              <w:rPr>
                <w:sz w:val="24"/>
                <w:szCs w:val="24"/>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Commercial and Government/Defense Revenue Information:</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June 30, 2022:</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Government/</w:t>
            </w: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r>
      <w:tr>
        <w:trPr>
          <w:trHeight w:val="20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30,140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5,458</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1,986</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1,986</w:t>
            </w: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7,444</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8"/>
                <w:szCs w:val="18"/>
                <w:i w:val="1"/>
                <w:iCs w:val="1"/>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i w:val="1"/>
                <w:iCs w:val="1"/>
                <w:color w:val="auto"/>
              </w:rPr>
              <w:t>%</w:t>
            </w:r>
          </w:p>
        </w:tc>
      </w:tr>
      <w:tr>
        <w:trPr>
          <w:trHeight w:val="41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June 30, 2021:</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Government/</w:t>
            </w: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22,875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6,864</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3,895</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3,895</w:t>
            </w: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26,770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10,759</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r>
              <w:rPr>
                <w:rFonts w:ascii="Times New Roman" w:cs="Times New Roman" w:eastAsia="Times New Roman" w:hAnsi="Times New Roman"/>
                <w:sz w:val="18"/>
                <w:szCs w:val="18"/>
                <w:i w:val="1"/>
                <w:iCs w:val="1"/>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r>
              <w:rPr>
                <w:rFonts w:ascii="Times New Roman" w:cs="Times New Roman" w:eastAsia="Times New Roman" w:hAnsi="Times New Roman"/>
                <w:sz w:val="18"/>
                <w:szCs w:val="18"/>
                <w:i w:val="1"/>
                <w:iCs w:val="1"/>
                <w:color w:val="auto"/>
              </w:rPr>
              <w:t>%</w:t>
            </w:r>
          </w:p>
        </w:tc>
      </w:tr>
      <w:tr>
        <w:trPr>
          <w:trHeight w:val="41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Six-month period ended June 30, 2022:</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Government/</w:t>
            </w: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r>
      <w:tr>
        <w:trPr>
          <w:trHeight w:val="20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59,290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12,014</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3,209</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3,209</w:t>
            </w: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62,499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15,223</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r>
              <w:rPr>
                <w:rFonts w:ascii="Times New Roman" w:cs="Times New Roman" w:eastAsia="Times New Roman" w:hAnsi="Times New Roman"/>
                <w:sz w:val="18"/>
                <w:szCs w:val="18"/>
                <w:i w:val="1"/>
                <w:iCs w:val="1"/>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i w:val="1"/>
                <w:iCs w:val="1"/>
                <w:color w:val="auto"/>
              </w:rPr>
              <w:t>%</w:t>
            </w:r>
          </w:p>
        </w:tc>
      </w:tr>
      <w:tr>
        <w:trPr>
          <w:trHeight w:val="41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Six-month period ended June 30, 2021:</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Government/</w:t>
            </w:r>
          </w:p>
        </w:tc>
      </w:tr>
      <w:tr>
        <w:trPr>
          <w:trHeight w:val="234"/>
        </w:trPr>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20"/>
                <w:szCs w:val="20"/>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14,630</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7,757</w:t>
            </w:r>
          </w:p>
        </w:tc>
        <w:tc>
          <w:tcPr>
            <w:tcW w:w="1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7,757</w:t>
            </w:r>
          </w:p>
        </w:tc>
      </w:tr>
      <w:tr>
        <w:trPr>
          <w:trHeight w:val="20"/>
        </w:trPr>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52,743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22,387</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18"/>
                <w:szCs w:val="18"/>
                <w:i w:val="1"/>
                <w:iCs w:val="1"/>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i w:val="1"/>
                <w:iCs w:val="1"/>
                <w:color w:val="auto"/>
              </w:rPr>
              <w:t>%</w:t>
            </w:r>
          </w:p>
        </w:tc>
      </w:tr>
      <w:tr>
        <w:trPr>
          <w:trHeight w:val="412"/>
        </w:trPr>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U.S. and Non-U.S. Revenue Information</w:t>
      </w:r>
      <w:r>
        <w:rPr>
          <w:rFonts w:ascii="Times New Roman" w:cs="Times New Roman" w:eastAsia="Times New Roman" w:hAnsi="Times New Roman"/>
          <w:sz w:val="29"/>
          <w:szCs w:val="29"/>
          <w:u w:val="single" w:color="auto"/>
          <w:color w:val="auto"/>
          <w:vertAlign w:val="superscript"/>
        </w:rPr>
        <w:t>1</w:t>
      </w:r>
      <w:r>
        <w:rPr>
          <w:rFonts w:ascii="Times New Roman" w:cs="Times New Roman" w:eastAsia="Times New Roman" w:hAnsi="Times New Roman"/>
          <w:sz w:val="18"/>
          <w:szCs w:val="18"/>
          <w:u w:val="single" w:color="auto"/>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Three-month period ended June 30, 2022: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Three-month period ended June 30,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Six-month period ended June 30, 2022: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Six-month period ended June 30,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18"/>
                <w:szCs w:val="18"/>
                <w:color w:val="auto"/>
              </w:rPr>
            </w:pPr>
          </w:p>
        </w:tc>
        <w:tc>
          <w:tcPr>
            <w:tcW w:w="13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7"/>
              </w:rPr>
              <w:t>United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3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States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30,140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13,330</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16,810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32,126</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2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4"/>
                <w:szCs w:val="24"/>
                <w:color w:val="auto"/>
              </w:rPr>
            </w:pPr>
          </w:p>
        </w:tc>
        <w:tc>
          <w:tcPr>
            <w:tcW w:w="13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7"/>
              </w:rPr>
              <w:t>United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3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States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22,875</w:t>
            </w:r>
          </w:p>
        </w:tc>
        <w:tc>
          <w:tcPr>
            <w:tcW w:w="220" w:type="dxa"/>
            <w:vAlign w:val="bottom"/>
            <w:gridSpan w:val="2"/>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11,813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11,062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1,953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26,770</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2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4"/>
                <w:szCs w:val="24"/>
                <w:color w:val="auto"/>
              </w:rPr>
            </w:pPr>
          </w:p>
        </w:tc>
        <w:tc>
          <w:tcPr>
            <w:tcW w:w="13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7"/>
              </w:rPr>
              <w:t>United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3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States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59,290</w:t>
            </w:r>
          </w:p>
        </w:tc>
        <w:tc>
          <w:tcPr>
            <w:tcW w:w="220" w:type="dxa"/>
            <w:vAlign w:val="bottom"/>
            <w:gridSpan w:val="2"/>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27,870</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31,420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62,499</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2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4"/>
                <w:szCs w:val="24"/>
                <w:color w:val="auto"/>
              </w:rPr>
            </w:pPr>
          </w:p>
        </w:tc>
        <w:tc>
          <w:tcPr>
            <w:tcW w:w="13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7"/>
              </w:rPr>
              <w:t>United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3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States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44,986</w:t>
            </w:r>
          </w:p>
        </w:tc>
        <w:tc>
          <w:tcPr>
            <w:tcW w:w="220" w:type="dxa"/>
            <w:vAlign w:val="bottom"/>
            <w:gridSpan w:val="2"/>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24,403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20,583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52,743</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-4425950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-4142740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-3148330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-2865755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-1871345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-1588135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-593725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-311150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5540" w:space="720"/>
            <w:col w:w="4960"/>
          </w:cols>
          <w:pgMar w:left="320" w:top="580" w:right="359" w:bottom="1440" w:gutter="0" w:footer="0" w:header="0"/>
        </w:sectPr>
      </w:pPr>
    </w:p>
    <w:p>
      <w:pPr>
        <w:ind w:left="100" w:hanging="92"/>
        <w:spacing w:after="0"/>
        <w:tabs>
          <w:tab w:leader="none" w:pos="10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Sales classified to U.S. include shipments to U.S.-based prime contractors which in some cases may serve non-U.S. projects.</w:t>
      </w:r>
    </w:p>
    <w:p>
      <w:pPr>
        <w:spacing w:after="0" w:line="203" w:lineRule="exact"/>
        <w:rPr>
          <w:rFonts w:ascii="Times New Roman" w:cs="Times New Roman" w:eastAsia="Times New Roman" w:hAnsi="Times New Roman"/>
          <w:sz w:val="27"/>
          <w:szCs w:val="27"/>
          <w:color w:val="auto"/>
          <w:vertAlign w:val="superscript"/>
        </w:rPr>
      </w:pPr>
    </w:p>
    <w:p>
      <w:pPr>
        <w:ind w:left="55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continued impact of COVID-19 and the related supply chain disruptions on our business, operating results and financial condition; our reliance on certain key customers; reduced U.S. and foreign military spending including the uncertainty associated with government budget approvals; our efforts to develop new commercial applications for our products; fluctuations in the price of oil and the resulting impact on the demand for downhole drilling; the unique risks associated with our China operations; potential disruptions in our supply of raw materials and components; our ability to retain top management and key personnel; possible breaches in information systems security and other disruptions in our information technology systems; our resources being overwhelmed by our growth; possible future declines in demand for the products that use our batteries or communications systems; potential costs attributable to the warranties we supply with our products and services; safety risks, including the risk of fire; variability in our quarterly and annual results and the price of our common stock; our entrance into new end-markets which could lead to additional financial exposure; our inability to comply with changes to the regulations for the shipment of our products; our customers’ demand falling short of volume expectations in our supply agreements; our exposure to foreign currency fluctuations; negative publicity concerning Lithium-ion batteries; possible impairments of our goodwill and other intangible assets; our ability to utilize our net operating loss carryforwards;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or words of similar import are intended to identify forward-looking statements. For further discussion of certain of the matters described above and other risks and uncertainties, see Item 1A, “Risk Factors” in our Annual Report on Form 10-K for the year ended December 31, 2021.</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Form 10-Q or our Annual Report on Form 10-K for the year ended December 31, 2021 to reflect new information or risks, future events or other developments.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in this MD&amp;A is presented in thousands of dollars, except for share and per share amounts, unless otherwise specified.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8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Batteries, Lithium Power®, McDowell Research®, AMTI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ABLE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ACCUTRONICS™, ACCUPRO™, ENTELLION™, SWE Southwest Electronic Energy Group™, SWE DRILL-DATA™, SWE SEASAFE™, Excell Battery Group and Criterion Gauge brands. We have sales, operations and product development facilities in North America, Europe and Asia.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to the consolidated financial statements of this Form 10-Q for further information.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COVID-19</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and on meeting the demand of our customers. While we have maintained normal business operations at all our facilities with the exception of the well-publicized shutdowns in China which impacted our Shenzhen facility in the first quarter of 2022, the COVID-19 related supply chain disruptions including increased lead times on key components experienced within our business and by our customers, impacted our work schedules and timing of shipments. The continuing impact of these conditions on our business is uncertain and will depend on many evolving factors which we continue to monitor but cannot predict, including the duration and scope of the pandemic and its variants, the resulting actions taken by governments, businesses and individuals, and the flow-through impact on operations and supply chains. Potential effects of COVID-19 that may continue to adversely impact our future business include limited availability and/or increased cost of raw materials and components used in our products, reduced demand and/or pricing for our products, inability of our customers to pay for our products or remain solvent, and reduced availability of our workforce. Prolonged adverse effects of COVID-19 on our business could result in the impairment of long-lived assets including goodwill and other intangible assets. Further, we cannot predict all possible adverse effects the COVID-19 pandemic may cause. Consequently, there may be adverse effects in addition to those described above. We will continue to closely monitor the developments surrounding COVID-19 and take actions when possible to mitigate the business risks involved and the potential effects of COVID-19 on our business.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revenues of $32,126 for the three-month period ended June 30, 2022, increased by $5,356 or 20.0%, over $26,770 for the three-month period ended June 30, 2021, reflecting the revenues of Excell Battery Group (“Excell”) acquired on December 13, 2021, and increased sales in our medical, industrial, and oil &amp; gas battery markets, partially offset by lower revenues for government/defense which continued to be impacted by supply chain challenges. Excluding Excell, commercial revenues of $18,090 for the quarter-ended June 30, 2022 increased $2,079 or 13.0% over the year-earlier period, and government/defense revenues of $7,444 decreased $3,315 or 30.8% from the 2021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$7,646, or 23.8% of revenue, for the three-month period ended June 30, 2022, compared to $7,267, or 27.1% of revenue, for the same quarter a year ago. The 330-basis point decline primarily reflects the lower sales volume for Communications Systems resulting in lower factory throughput and incremental costs in 2022 associated with supply chain disruptions, including rapid increases in the cost of some key components in advance of price realization from customers, and the transition of new products to higher volume production.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increased to $6,853 for the three-month period ended June 30, 2022, compared to $6,176 for the three-month period ended June 30, 2021. The increase of $677 or 11.0% was primarily attributable to our acquisition of Excell which contributed operating expenses of $1,086. Excluding Excell, operating expenses decreased by $409 or 6.6% reflecting the timing of new product development spending, including those costs associated with test materials dedicated to the May 2021 indefinite-delivery/indefinite-quantity contract from the U.S. Army for purchases of Conformal Wear Batteries not to exceed $168,000 during the three-year base award period with the potential for up to an additional $350,000 should the six one-year options be exercised, and strict control over all discretionary spending. Operating expenses as a percentage of sales decreased 180 basis points from 23.1% for the second quarter of 2021 to 21.3% for the current quarter.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for the three-month period ended June 30, 2022 was $793, or 2.5% of revenues, compared to $1,091, or 4.1% of revenues, for the year-earlier period. The decrease in operating income primarily resulted from lower sales for our Communications Systems segment and a reduction in gross margin due to supply chain disruptions, including rapid increases in the cost of some key components in advance of price realization from customers, partially offset by the operating income generated by Excell and lower operating expenses across our businesses excluding Excell.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Ultralife was $512, or $0.03 per share – basic and diluted, for the three-month period ended June 30, 2022, compared to net income attributable to Ultralife of $811, or $0.05 per share – basic and diluted, for the three-month period ended June 30,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defined as net income attributable to Ultralife before net interest expense, provision for income taxes, depreciation and amortization, and stock-based compensation expense, plus/minus expenses/income that we do not consider reflective of our ongoing operations, amounted to $2,185, or 6.8% of revenues, for the second quarter of 2022, compared to $2,186, or 8.2% of revenues, for the second quarter of 2021. See the section “Adjusted EBITDA” beginning on Page 25 for a reconciliation of Adjusted EBITDA to net income attributable to Ultralife.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anticipate continuing to contend with inflationary cost pressures and manufacturing inefficiencies associated with supply chain disruptions in the second half of the year, we remain steadfast in our commitment to advancing our new product development initiatives, transitioning new products to production, and generating profitable growth for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June 30, 2022 and June 30, 2021</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ended June 30, 2022 were $32,126, an increase of $5,356, or 20.0%, over $26,770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three-month period ended June 30, 2021. Overall, commercial sales increased 54.2% while government/defense sales decreased 30.8% from the 2021 period. Revenues for the 2022 period include Excell which was acquired by the Company on December 13, 2021.</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Battery &amp; Energy Products revenues increased $7,265, or 31.8%, from $22,875 for the three-month period ended June 30, 2021 to $30,140 for the three-month period ended June 30, 2022. The increase was attributable to the $6,592 revenue contribution from the acquisition of Excell, and a 13.0% increase in commercial sales excluding Excell, partially offset by a 20.5% reduction in government/defense sales. Net organic sales for this segment increased 3.0%. The increase in commercial sales, excluding Excell, was driven by a 16.3% increase in medical battery sales due to the high demand for our batteries used in ventilators, respirators, infusion pumps and other medical devices, a 14.6% increase in industrial market sales including our new Thionyl Chloride and thin cell battery cells, and a 6.9% increase in oil &amp; gas market sales reflecting the recent rebound in the energy sector. The decline in government/defense sales was primarily due to supply chain disruptions experienced by us and our customers which pushed out sales to future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Systems revenues decreased $1,909, or 49.0%, from $3,895 for the three-month period ended June 30, 2021 to $1,986 for the three-month period ended June 30, 2022. This decrease is primarily attributable to supply chain disruptions including extended lead times for components and the push out of certain orders by our customers which delayed approximately $4,100 of sales to future periods and the placement and fulfillment of an order from an international defense contractor in the first quarter of 2021 which is not expected to reoccur until the second half of 2022.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$24,480 for the quarter ended June 30, 2022, an increase of $4,977, or 25.5%,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$19,503 reported for the same three-month period a year ago. Consolidated cost of products sold as a percentage of total revenue increased from 72.9% for the three-month period ended June 30, 2021 to 76.2% for the three-month period ended June 30, 2022. Correspondingly, consolidated gross margin decreased from 27.1% for the three-month period ended June 30, 2021, to 23.8% for the three-month period ended June 30, 2022, primarily reflecting lower factory volume for our Communications Systems segment, incremental costs in 2022 associated with supply chain disruptions, including rapid increases in the cost of some key components in advance of price realization from customers, and the transition of new products to higher volume production.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second quarter of 2022 was $7,151, an increase of $1,135 or 18.9% over gross profit of $6,016 for the second quarter of 2021. Battery &amp; Energy Products’ gross margin of 23.7% decreased by 260 basis points from the 26.3% gross margin for the year-earlier period, reflecting sales mix, higher materials and logistics costs on incoming materials in advance of price realization from customers, and incremental costs associated with the transition of new products to higher volume production.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second quarter of 2022 was $495 or 24.9% of revenues, compared to gross profit of $1,251 or 32.1% of revenues, for the second quarter of 2021. The decline was primarily due to lower factory volume resulting in the under-absorption of factory costs and unfavorable sales mix.</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three-month period ended June 30, 2022 were $6,853, an increase of $677 or 11.0% from the $6,176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three-month period ended June 30, 2021. The increase is primarily attributable to the acquisition of Excell, which contributed operating expenses of $1,086 in the second quarter, including $182 of intangible asset amortization. Excluding Excell, operating expenses decreased $409 or 6.6% due to the timing of new product development spending, including those costs associated with test materials dedicated to the May 2021 indefinite-delivery/indefinite-quantity contract from the U.S. Army for purchases of Conformal Wear Batteries not to exceed $168,000 during the three-year base award period with the potential for up to an additional $350,000 should the six one-year options be exercised. Both periods reflected continued tight control over discretionary spending.</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21.3% for the quarter ended June 30, 2022 compared to 23.1% for the quarter ended June 30, 2021. Amortization expense associated with intangible assets related to our acquisitions was $323 for the second quarter of 2022 ($298 in selling, general and administrative expenses and $25 in research and development costs), compared with $156 for the second quarter of 2021 ($123 in selling, general, and administrative expenses and $33 in research and development costs). Research and development costs were $1,672 for the three-month period ended June 30, 2022, a decrease of $181 or 9.7%, from $1,853 for the three-months ended June 30, 2021. The decrease is largely attributable to the timing of the purchase of test materials to support new product development in our Battery &amp; Energy Products business, including those resources and materials dedicated to our Conformal Wearable Battery contract. Selling, general, and administrative expenses increased $858 or 19.8%, to $5,181 for the second quarter of 2022 from $4,323 for the second quarter of 2021. The increase is attributable to the December 2021 acquisition of Excell which contributed $1,000 of selling, general and administrative expenses, including intangible asset amortization of $182, for the second quarter of 2022.</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$115 for the three-month period ended June 30, 2022 compared to $21 for the three-month period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Interest and financing expense increased $122, or 221.8%, from $55 for the second quarter of 2021 to $177 for the second quarter of 2022. The increase is due to the financing of the Excell Acquisition. Miscellaneous income amounted to $62 for the second quarter of 2022 compared with $34 for the second quarter of 2021, primarily representing foreign currency exchange gains and losses on U.S.-denominated transactions and balances of our non-U.S.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For the three-month period ended June 30, 2022, Ultralife recognized an income tax provision of $170, comprised of a $143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for taxes expected to be paid on income primarily from our non-U.S. operations, and a $27 deferred provision, compared to a tax provision of $248 for the three-month period ended June 30, 2021, comprised of a current provision of $71 and a deferred provision of $177. Our effective tax rate was 25.1% for the second quarter of 2022 as compared to 23.2% for the second quarter of 2021, primarily attributable to the geographic mix of our operating results, including income generated in Canada by Excell for the current year. See Note 7 to the consolidated financial statements in Item 1 of Part I of this Form 10-Q for further information.</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was $512, or $0.03 per share – basic and diluted, for the three-month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2022, compared to net income of $811, or $0.05 per share – basic and diluted, for the three-month period ended June 30, 2021. Weighted average shares outstanding used to compute diluted earnings per share decreased from 16,259,584 for the second quarter of 2021 to 16,149,278 for the second quarter of 2022. The decrease is attributable to stock option exercises since the second quarter of 2021 offset by a decrease in the average stock price used to compute diluted shares from $8.66 for the second quarter of 2021 to $4.93 for the second quarter of 2022. Accordingly diluted shares of 240,259 were added to basic weighted average shares in 2021 compared to 20,352 in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Six-Month Periods Ended June 30, 2022 and June 30, 2021</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six-month period ended June 30, 2022 were $62,499, an increase of $9,756, or 18.5%, over $52,743 for the six-month period ended June 30, 2021. Overall, commercial sales increased 55.7% while government/defense sales decreased 32.0% from the 2021 period. Revenues for the 2022 period include Excell which was acquired by the Company on December 13, 2021.</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Battery &amp; Energy Products revenues increased $14,304, or 31.8%, from $44,986 for the six-month period ended June 30, 2021 to $59,290 for the six-month period ended June 30, 2022. The increase was attributable to the $13,028 revenue contribution from the acquisition of Excell, and a 12.8% increase in commercial sales excluding Excell, partially offset by a 17.9% reduction in government/defense sales. The increase in commercial sales, excluding Excell, was driven by a 13.8% increase in industrial market sales including our new Thionyl Chloride and thin cell battery cells, a 12.8% increase in oil &amp; gas market sales reflecting the recent rebound in the energy sector, and a 12.7% increase in medical battery sales due to the high demand for our batteries used in ventilators, respirators, infusion pumps and other medical devices. The decline in government/defense sales was primarily due to supply chain disruptions experienced internally and by our customers which pushed out sales to future periods.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Systems revenues decreased $4,548, or 58.6%, from $7,757 for the six-month period ended June 30, 2021 to $3,209 for the six-month period ended June 30, 2022. This decrease is primarily attributable to supply chain disruptions including extended lead times for components and the push out of certain orders by our customers to future periods and the placement and fulfillment of an order from an international defense contractor in the first quarter of 2021 which is not expected to reoccur until the second half of 2022.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$47,895 for the six-month period ended June 30, 2022, an increase of $9,397,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24.4%, from the $38,498 reported for the same six-month period a year ago. Consolidated cost of products sold as a percentage of total revenue increased from 73.0% for the six-month period ended June 30, 2021 to 76.6% for the six-month period ended June 30, 2022. Correspondingly, consolidated gross margin decreased from 27.0% for the six-month period ended June 30, 2021, to 23.4% for the six-month period ended June 30, 2022, primarily reflecting lower factory volume for our Communications Systems segment, incremental costs in 2022 associated with supply chain disruptions, including rapid increases in the cost of some key components in advance of price realization from customers, and the transition of new products to higher volume production.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first six months of 2022 was $13,872, an increase of $2,420 or 21.1% over gross profit of $11,452 for the comparable 2021 period. Battery &amp; Energy Products’ gross margin of 23.4% decreased by 210 basis points from the 25.5% gross margin for the year-earlier period, reflecting sales mix, higher materials and logistics costs on incoming materials in advance of price realization from customers, and incremental costs associated with the transition of new products to higher volume production.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first six months of 2022 was $732 or 22.8% of revenues, compared to gross profit of $2,793 or 36.0% of revenues, for the comparable 2021 period. The decline was primarily due to lower factory volume resulting in the under-absorption of factory costs and unfavorable sales mix.</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six-month period ended June 30, 2022 were $14,106, an increase of $1,904 or 15.6% from the $12,202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six-month period ended June 30, 2021. The increase is primarily attributable to the acquisition of Excell, which contributed operating expenses of $2,143 for the first six months of 2022, including $364 of intangible asset amortization and one-time acquisition costs of $70. Excluding Excell, operating expenses decreased $239 or 2.0% due to the timing of new product development spending, including those costs associated with test materials dedicated to the May 2021 indefinite-delivery/indefinite-quantity contract from the U.S. Army for purchases of Conformal Wear Batteries not to exceed $168,000 during the three-year base award period with the potential for up to an additional $350,000 should the six one-year options be exercised. Both periods reflected continued tight control over discretionary spending.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22.6% for the six-month period ended June 30, 2022 compared to 23.1% for the six-month period ended June 30, 2021. Amortization expense associated with intangible assets related to our acquisitions was $651 for the first six months of 2022 ($600 in selling, general and administrative expenses and $51 in research and development costs), compared with $310 for the first six months of 2021 ($244 in selling, general, and administrative expenses and $66 in research and development costs). Research and development costs were $3,529 for the six-month period ended June 30, 2022, an increase of $29 or 0.8%, from $3,500 for the six-months ended June 30, 2021. The increase is largely attributable to our acquisition of Excell and the timing of the purchase of test materials to support new product development in our Battery &amp; Energy Products business, including those resources and materials dedicated to our Conformal Wearable Battery contract. Selling, general, and administrative expenses increased $1,875 or 21.5%, to $10,577 for the first six months of 2022 from $8,702 for the comparable 2021 period. The increase is attributable to the December 2021 acquisition of Excell which contributed $1,985 of selling, general and administrative expenses, including intangible asset amortization of $363, for the 2022 period.</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$232 for the six-month period ended June 30, 2022 compared to $77 for the six-month period ended June 30,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and financing expense increased $200, or 180.2%, from $111 for the first six months of 2021 to $311 for the first six months of 2022. The increase is due to the financing of the Excell Acquisition. Miscellaneous income amounted to $79 for the first six months of 2022 compared with $34 for the 2021 period, primarily representing foreign currency exchange gains and losses on U.S.-denominated transactions and balances of our non-U.S. businesses.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For the six-month period ended June 30, 2022, Ultralife recognized an income tax benefit of $81, comprised of a $294 current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expected to be paid on income primarily from our non-U.S. operations, and a $375 deferred benefit, compared to a tax provision of $465 for the prior year same period, comprised of a current provision of $120 and a deferred provision of $345. Our effective tax rate was (30.5%) for the first half of 2022 as compared to 23.7% for the first half of 2021, primarily attributable to the geographic mix of our operating results, including income generated in Canada by Excell for the current year. See Note 7 to the consolidated financial statements in Item 1 of Part I of this Form 10-Q for further information.</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was $344, or $0.02 per share – basic and diluted, for the six-month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2022, compared to $1,482, or $0.09 per share – basic and diluted, for the six-month period ended June 30, 2021. Weighted average shares outstanding used to compute diluted earnings per share decreased from 16,194,377 for the 2021 period to 16,141,083 for 2022. The decrease is attributable to stock option exercises since the second quarter of 2021 offset by a decrease in the average stock price used to compute diluted shares from $7.89 for the first six months of 2021 to $5.11 for the first six months of 2022. Accordingly diluted shares of 197,848 were added to basic weighted average shares in 2021 compared to 24,751 in 2022.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(loss) attributable to Ultralife before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GAAP.</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(loss),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jc w:val="both"/>
        <w:ind w:left="1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5" w:lineRule="exact"/>
        <w:rPr>
          <w:rFonts w:ascii="Times New Roman" w:cs="Times New Roman" w:eastAsia="Times New Roman" w:hAnsi="Times New Roman"/>
          <w:sz w:val="18"/>
          <w:szCs w:val="18"/>
          <w:color w:val="auto"/>
        </w:rPr>
      </w:pPr>
    </w:p>
    <w:p>
      <w:pPr>
        <w:ind w:left="1100" w:hanging="323"/>
        <w:spacing w:after="0" w:line="282" w:lineRule="auto"/>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(loss) attributable to Ultralife.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60" w:type="dxa"/>
            <w:vAlign w:val="bottom"/>
          </w:tcPr>
          <w:p>
            <w:pPr>
              <w:spacing w:after="0"/>
              <w:rPr>
                <w:sz w:val="24"/>
                <w:szCs w:val="24"/>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Six-Month Period Ended</w:t>
            </w:r>
          </w:p>
        </w:tc>
      </w:tr>
      <w:tr>
        <w:trPr>
          <w:trHeight w:val="187"/>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cash on hand totaled $5,114 (including restricted cash of $77), a decrease of $3,299 as compared to $8,413 as of December 31, 2021, primarily attributable to the procurement of inventory to enhance our ability to service orders requested by customers to ship in 2022 amidst challenging supply chain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six-month period ended June 30, 2022, cash used in operations was $3,400, as compared to $6,955 generated from operations for the six-month period ended June 30, 2021. For the 2022 period, we used cash of $6,606 to procure inventory to proactively manage our supply chain, reduce lead times and the impact of potential cost increases on components and raw materials, and enhance our position to service customer orders. The increase in inventory and the timing of sales, collections and disbursements resulted in net cash of $6,048 used for working capital, which was partially offset by net income of $347 and non-cash expenses totaling $2,301 for depreciation, amortization, stock-based compensation, and deferred taxes.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was $585 for capital expenditures, reflecting investments in equipment for new products transitioning to high-volume manufacturing.</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2022 was $794, consisting of draws from our credit facility for the purchase of certain critical raw materials requiring cash-in-advance payment terms by the vendors, plus $102 in net proceeds on stock-based awards, partially offset by $833 of principle payments on our term loan.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future taxable income. See Note 7 to the consolidated financial statements of this Form 10-Q for additional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under our Revolving Credit Facility will be sufficient to meet our general funding requirements for the foreseeable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flexibility in accessing the capital market, the Company filed a shelf registration statement on Form S-3 on March 30, 2021, which was declared effective by the SEC on April 2, 2021. Under this registration statement, upon the filing of an appropriate supplemental prospectus, we may offer and sell certain of our securities from time to time in one (1) or more offerings, at our discretion, of up to an aggregate offering price of $100 million. We intend to use the net proceeds resulting from any sales of our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competitively-differentiated products for attractive growth markets.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$12,530 outstanding borrowings on the Revolving Credit Facility and $9,167 on the Term Loan Facility. The Company was in full compliance with all covenants under the Credit Facilities as of June 30,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had made commitments to purchase approximately $697 of production machinery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(“Summary of Operations and Significant Accounting Policies”) to the consolidated financial statements in our 2021 Annual Report on Form 10-K should be reviewed for a greater understanding of how our financial performance is recorded and reported.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2022, there were no significant changes in the manner in which our significant accounting policies were applied or in which related assumptions and estimates were developed.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2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3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234"/>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Index</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tcBorders>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Rule 13a-14(a) / 15d-14(a) CEO Certifications</w:t>
            </w:r>
          </w:p>
        </w:tc>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 15d-14(a) CFO Certifications</w:t>
            </w:r>
          </w:p>
        </w:tc>
        <w:tc>
          <w:tcPr>
            <w:tcW w:w="2300" w:type="dxa"/>
            <w:vAlign w:val="bottom"/>
            <w:gridSpan w:val="2"/>
          </w:tcPr>
          <w:p>
            <w:pPr>
              <w:spacing w:after="0"/>
              <w:rPr>
                <w:sz w:val="17"/>
                <w:szCs w:val="17"/>
                <w:color w:val="auto"/>
              </w:rPr>
            </w:pPr>
          </w:p>
        </w:tc>
        <w:tc>
          <w:tcPr>
            <w:tcW w:w="39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Certifications</w:t>
            </w:r>
          </w:p>
        </w:tc>
        <w:tc>
          <w:tcPr>
            <w:tcW w:w="39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3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101)</w:t>
            </w:r>
          </w:p>
        </w:tc>
        <w:tc>
          <w:tcPr>
            <w:tcW w:w="320" w:type="dxa"/>
            <w:vAlign w:val="bottom"/>
          </w:tcPr>
          <w:p>
            <w:pPr>
              <w:spacing w:after="0"/>
              <w:rPr>
                <w:sz w:val="20"/>
                <w:szCs w:val="20"/>
                <w:color w:val="auto"/>
              </w:rPr>
            </w:pPr>
          </w:p>
        </w:tc>
        <w:tc>
          <w:tcPr>
            <w:tcW w:w="36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June 30, 2022 and December 31, 2021, (ii) Consolidated Statements of Income and Comprehensive Income for the three and six months ended June 30, 2022 and 2021, (iii) Consolidated Statements of Cash Flows for the six months ended June 30, 2022 and 2021, (iv) Consolidated Statements of Changes in Stockholders’ Equity for the three and six months ended June 30, 2022 and 2021, and (v) Notes to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40" w:type="dxa"/>
            <w:vAlign w:val="bottom"/>
            <w:gridSpan w:val="4"/>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ULTRALIFE CORPORATION</w:t>
            </w:r>
          </w:p>
        </w:tc>
      </w:tr>
      <w:tr>
        <w:trPr>
          <w:trHeight w:val="237"/>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392"/>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5580" w:type="dxa"/>
            <w:vAlign w:val="bottom"/>
            <w:gridSpan w:val="5"/>
          </w:tcPr>
          <w:p>
            <w:pPr>
              <w:ind w:left="182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Michael D. Popielec</w:t>
            </w:r>
          </w:p>
        </w:tc>
        <w:tc>
          <w:tcPr>
            <w:tcW w:w="13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92"/>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5580" w:type="dxa"/>
            <w:vAlign w:val="bottom"/>
            <w:gridSpan w:val="5"/>
          </w:tcPr>
          <w:p>
            <w:pPr>
              <w:ind w:left="182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1320" w:type="dxa"/>
            <w:vAlign w:val="bottom"/>
            <w:gridSpan w:val="2"/>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48"/>
        </w:trPr>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00"/>
          </w:cols>
          <w:pgMar w:left="320" w:top="576"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46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5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D. Popielec</w:t>
            </w:r>
          </w:p>
        </w:tc>
        <w:tc>
          <w:tcPr>
            <w:tcW w:w="38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458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6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r>
    </w:tbl>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June 30, 2022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46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5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D. Popielec</w:t>
            </w:r>
          </w:p>
        </w:tc>
        <w:tc>
          <w:tcPr>
            <w:tcW w:w="380" w:type="dxa"/>
            <w:vAlign w:val="bottom"/>
            <w:gridSpan w:val="2"/>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39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46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5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34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decimal"/>
      <w:start w:val="10"/>
    </w:lvl>
  </w:abstractNum>
  <w:abstractNum w:abstractNumId="11">
    <w:nsid w:val="DED7263"/>
    <w:multiLevelType w:val="hybridMultilevel"/>
    <w:lvl w:ilvl="0">
      <w:lvlJc w:val="left"/>
      <w:lvlText w:val="%1."/>
      <w:numFmt w:val="decimal"/>
      <w:start w:val="11"/>
    </w:lvl>
  </w:abstractNum>
  <w:abstractNum w:abstractNumId="12">
    <w:nsid w:val="7FDCC233"/>
    <w:multiLevelType w:val="hybridMultilevel"/>
    <w:lvl w:ilvl="0">
      <w:lvlJc w:val="left"/>
      <w:lvlText w:val="1"/>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2022-07-28T06:15:55Z</dcterms:created>
  <dcterms:modified xsi:type="dcterms:W3CDTF">2022-07-28T06:15:55Z</dcterms:modified>
</cp:coreProperties>
</file>