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QUARTERLY REPORT PURSUANT TO SECTION 13 OR 15(d) OF THE SECURITIES EXCHANGE ACT OF 1934</w:t>
      </w:r>
    </w:p>
    <w:p>
      <w:pPr>
        <w:spacing w:after="0" w:line="221" w:lineRule="exact"/>
        <w:rPr>
          <w:rFonts w:ascii="MS PGothic" w:cs="MS PGothic" w:eastAsia="MS PGothic" w:hAnsi="MS PGothic"/>
          <w:sz w:val="18"/>
          <w:szCs w:val="18"/>
          <w:color w:val="auto"/>
          <w:highlight w:val="black"/>
        </w:rPr>
      </w:pPr>
    </w:p>
    <w:p>
      <w:pPr>
        <w:ind w:left="39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quarterly period ended June 30, 2019</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3420" w:right="2060" w:hanging="3412"/>
        <w:spacing w:after="0" w:line="498" w:lineRule="auto"/>
        <w:tabs>
          <w:tab w:leader="none" w:pos="649"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highlight w:val="black"/>
        </w:rPr>
      </w:pPr>
    </w:p>
    <w:p>
      <w:pPr>
        <w:ind w:left="442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0-20852</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ULTRALIFE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5100" w:type="dxa"/>
            <w:vAlign w:val="bottom"/>
          </w:tcPr>
          <w:p>
            <w:pPr>
              <w:jc w:val="center"/>
              <w:ind w:right="710"/>
              <w:spacing w:after="0"/>
              <w:rPr>
                <w:sz w:val="20"/>
                <w:szCs w:val="20"/>
                <w:color w:val="auto"/>
              </w:rPr>
            </w:pPr>
            <w:r>
              <w:rPr>
                <w:rFonts w:ascii="Arial" w:cs="Arial" w:eastAsia="Arial" w:hAnsi="Arial"/>
                <w:sz w:val="18"/>
                <w:szCs w:val="18"/>
                <w:b w:val="1"/>
                <w:bCs w:val="1"/>
                <w:color w:val="auto"/>
                <w:w w:val="93"/>
              </w:rPr>
              <w:t>Delaware</w:t>
            </w:r>
          </w:p>
        </w:tc>
        <w:tc>
          <w:tcPr>
            <w:tcW w:w="4640" w:type="dxa"/>
            <w:vAlign w:val="bottom"/>
          </w:tcPr>
          <w:p>
            <w:pPr>
              <w:jc w:val="center"/>
              <w:ind w:left="730"/>
              <w:spacing w:after="0"/>
              <w:rPr>
                <w:sz w:val="20"/>
                <w:szCs w:val="20"/>
                <w:color w:val="auto"/>
              </w:rPr>
            </w:pPr>
            <w:r>
              <w:rPr>
                <w:rFonts w:ascii="Arial" w:cs="Arial" w:eastAsia="Arial" w:hAnsi="Arial"/>
                <w:sz w:val="18"/>
                <w:szCs w:val="18"/>
                <w:b w:val="1"/>
                <w:bCs w:val="1"/>
                <w:color w:val="auto"/>
                <w:w w:val="89"/>
              </w:rPr>
              <w:t>16-1387013</w:t>
            </w:r>
          </w:p>
        </w:tc>
      </w:tr>
      <w:tr>
        <w:trPr>
          <w:trHeight w:val="230"/>
        </w:trPr>
        <w:tc>
          <w:tcPr>
            <w:tcW w:w="5100" w:type="dxa"/>
            <w:vAlign w:val="bottom"/>
          </w:tcPr>
          <w:p>
            <w:pPr>
              <w:jc w:val="center"/>
              <w:ind w:right="710"/>
              <w:spacing w:after="0"/>
              <w:rPr>
                <w:sz w:val="20"/>
                <w:szCs w:val="20"/>
                <w:color w:val="auto"/>
              </w:rPr>
            </w:pPr>
            <w:r>
              <w:rPr>
                <w:rFonts w:ascii="Arial" w:cs="Arial" w:eastAsia="Arial" w:hAnsi="Arial"/>
                <w:sz w:val="18"/>
                <w:szCs w:val="18"/>
                <w:color w:val="auto"/>
                <w:w w:val="92"/>
              </w:rPr>
              <w:t>(State or other jurisdiction of incorporation of organization)</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100" w:type="dxa"/>
            <w:vAlign w:val="bottom"/>
          </w:tcPr>
          <w:p>
            <w:pPr>
              <w:jc w:val="center"/>
              <w:ind w:right="710"/>
              <w:spacing w:after="0"/>
              <w:rPr>
                <w:sz w:val="20"/>
                <w:szCs w:val="20"/>
                <w:color w:val="auto"/>
              </w:rPr>
            </w:pPr>
            <w:r>
              <w:rPr>
                <w:rFonts w:ascii="Arial" w:cs="Arial" w:eastAsia="Arial" w:hAnsi="Arial"/>
                <w:sz w:val="18"/>
                <w:szCs w:val="18"/>
                <w:b w:val="1"/>
                <w:bCs w:val="1"/>
                <w:color w:val="auto"/>
                <w:w w:val="91"/>
              </w:rPr>
              <w:t>2000 Technology Parkway Newark, New York 14513</w:t>
            </w:r>
          </w:p>
        </w:tc>
        <w:tc>
          <w:tcPr>
            <w:tcW w:w="4640" w:type="dxa"/>
            <w:vAlign w:val="bottom"/>
          </w:tcPr>
          <w:p>
            <w:pPr>
              <w:jc w:val="center"/>
              <w:ind w:left="670"/>
              <w:spacing w:after="0"/>
              <w:rPr>
                <w:sz w:val="20"/>
                <w:szCs w:val="20"/>
                <w:color w:val="auto"/>
              </w:rPr>
            </w:pPr>
            <w:r>
              <w:rPr>
                <w:rFonts w:ascii="Arial" w:cs="Arial" w:eastAsia="Arial" w:hAnsi="Arial"/>
                <w:sz w:val="18"/>
                <w:szCs w:val="18"/>
                <w:b w:val="1"/>
                <w:bCs w:val="1"/>
                <w:color w:val="auto"/>
                <w:w w:val="90"/>
              </w:rPr>
              <w:t>(315) 332-7100</w:t>
            </w:r>
          </w:p>
        </w:tc>
      </w:tr>
      <w:tr>
        <w:trPr>
          <w:trHeight w:val="230"/>
        </w:trPr>
        <w:tc>
          <w:tcPr>
            <w:tcW w:w="5100" w:type="dxa"/>
            <w:vAlign w:val="bottom"/>
          </w:tcPr>
          <w:p>
            <w:pPr>
              <w:jc w:val="center"/>
              <w:ind w:right="710"/>
              <w:spacing w:after="0"/>
              <w:rPr>
                <w:sz w:val="20"/>
                <w:szCs w:val="20"/>
                <w:color w:val="auto"/>
              </w:rPr>
            </w:pPr>
            <w:r>
              <w:rPr>
                <w:rFonts w:ascii="Arial" w:cs="Arial" w:eastAsia="Arial" w:hAnsi="Arial"/>
                <w:sz w:val="18"/>
                <w:szCs w:val="18"/>
                <w:color w:val="auto"/>
                <w:w w:val="92"/>
              </w:rPr>
              <w:t>(Address of principal executive offices) (Zip Code)</w:t>
            </w:r>
          </w:p>
        </w:tc>
        <w:tc>
          <w:tcPr>
            <w:tcW w:w="4640" w:type="dxa"/>
            <w:vAlign w:val="bottom"/>
          </w:tcPr>
          <w:p>
            <w:pPr>
              <w:jc w:val="center"/>
              <w:ind w:left="710"/>
              <w:spacing w:after="0"/>
              <w:rPr>
                <w:sz w:val="20"/>
                <w:szCs w:val="20"/>
                <w:color w:val="auto"/>
              </w:rPr>
            </w:pPr>
            <w:r>
              <w:rPr>
                <w:rFonts w:ascii="Arial" w:cs="Arial" w:eastAsia="Arial" w:hAnsi="Arial"/>
                <w:sz w:val="18"/>
                <w:szCs w:val="18"/>
                <w:color w:val="auto"/>
                <w:w w:val="89"/>
              </w:rPr>
              <w:t>(Registrant's telephone number, including area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904" w:right="239" w:bottom="414" w:gutter="0" w:footer="0" w:header="0"/>
        </w:sectPr>
      </w:pPr>
    </w:p>
    <w:p>
      <w:pPr>
        <w:spacing w:after="0" w:line="221" w:lineRule="exact"/>
        <w:rPr>
          <w:sz w:val="24"/>
          <w:szCs w:val="24"/>
          <w:color w:val="auto"/>
        </w:rPr>
      </w:pPr>
    </w:p>
    <w:p>
      <w:pPr>
        <w:jc w:val="center"/>
        <w:ind w:right="520"/>
        <w:spacing w:after="0"/>
        <w:rPr>
          <w:sz w:val="20"/>
          <w:szCs w:val="20"/>
          <w:color w:val="auto"/>
        </w:rPr>
      </w:pPr>
      <w:r>
        <w:rPr>
          <w:rFonts w:ascii="Arial" w:cs="Arial" w:eastAsia="Arial" w:hAnsi="Arial"/>
          <w:sz w:val="16"/>
          <w:szCs w:val="16"/>
          <w:b w:val="1"/>
          <w:bCs w:val="1"/>
          <w:color w:val="auto"/>
        </w:rPr>
        <w:t>Common Stock, $0.10 par value per share</w:t>
      </w:r>
    </w:p>
    <w:p>
      <w:pPr>
        <w:spacing w:after="0" w:line="50" w:lineRule="exact"/>
        <w:rPr>
          <w:sz w:val="24"/>
          <w:szCs w:val="24"/>
          <w:color w:val="auto"/>
        </w:rPr>
      </w:pPr>
    </w:p>
    <w:p>
      <w:pPr>
        <w:jc w:val="center"/>
        <w:ind w:right="520"/>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ULBI</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(Trading Symbol)</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NASDAQ</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(Name of each exchange on which registered)</w:t>
      </w:r>
    </w:p>
    <w:p>
      <w:pPr>
        <w:spacing w:after="0" w:line="222" w:lineRule="exact"/>
        <w:rPr>
          <w:sz w:val="24"/>
          <w:szCs w:val="24"/>
          <w:color w:val="auto"/>
        </w:rPr>
      </w:pPr>
    </w:p>
    <w:p>
      <w:pPr>
        <w:sectPr>
          <w:pgSz w:w="11900" w:h="16838" w:orient="portrait"/>
          <w:cols w:equalWidth="0" w:num="3">
            <w:col w:w="4340" w:space="720"/>
            <w:col w:w="2080" w:space="720"/>
            <w:col w:w="3560"/>
          </w:cols>
          <w:pgMar w:left="240" w:top="904" w:right="239" w:bottom="414" w:gutter="0" w:footer="0" w:header="0"/>
          <w:type w:val="continuous"/>
        </w:sectPr>
      </w:pPr>
    </w:p>
    <w:p>
      <w:pPr>
        <w:spacing w:after="0" w:line="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904" w:right="239" w:bottom="414" w:gutter="0" w:footer="0" w:header="0"/>
          <w:type w:val="continuous"/>
        </w:sectPr>
      </w:pPr>
    </w:p>
    <w:p>
      <w:pPr>
        <w:spacing w:after="0" w:line="14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jc w:val="center"/>
        <w:ind w:right="42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highlight w:val="black"/>
        </w:rPr>
        <w:t>☒</w:t>
      </w:r>
    </w:p>
    <w:p>
      <w:pPr>
        <w:spacing w:after="0" w:line="200" w:lineRule="exact"/>
        <w:rPr>
          <w:sz w:val="24"/>
          <w:szCs w:val="24"/>
          <w:color w:val="auto"/>
        </w:rPr>
      </w:pPr>
    </w:p>
    <w:p>
      <w:pPr>
        <w:sectPr>
          <w:pgSz w:w="11900" w:h="16838" w:orient="portrait"/>
          <w:cols w:equalWidth="0" w:num="2">
            <w:col w:w="5020" w:space="720"/>
            <w:col w:w="5680"/>
          </w:cols>
          <w:pgMar w:left="240" w:top="904" w:right="239" w:bottom="414"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highlight w:val="black"/>
        </w:rPr>
        <w:t>☒</w:t>
      </w:r>
    </w:p>
    <w:p>
      <w:pPr>
        <w:spacing w:after="0" w:line="200" w:lineRule="exact"/>
        <w:rPr>
          <w:sz w:val="24"/>
          <w:szCs w:val="24"/>
          <w:color w:val="auto"/>
        </w:rPr>
      </w:pPr>
    </w:p>
    <w:p>
      <w:pPr>
        <w:sectPr>
          <w:pgSz w:w="11900" w:h="16838" w:orient="portrait"/>
          <w:cols w:equalWidth="0" w:num="2">
            <w:col w:w="5020" w:space="720"/>
            <w:col w:w="5680"/>
          </w:cols>
          <w:pgMar w:left="240" w:top="904" w:right="239" w:bottom="414" w:gutter="0" w:footer="0" w:header="0"/>
          <w:type w:val="continuous"/>
        </w:sectPr>
      </w:pPr>
    </w:p>
    <w:p>
      <w:pPr>
        <w:spacing w:after="0" w:line="48" w:lineRule="exact"/>
        <w:rPr>
          <w:sz w:val="24"/>
          <w:szCs w:val="24"/>
          <w:color w:val="auto"/>
        </w:rPr>
      </w:pPr>
    </w:p>
    <w:p>
      <w:pPr>
        <w:ind w:left="57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904" w:right="239" w:bottom="414" w:gutter="0" w:footer="0" w:header="0"/>
          <w:type w:val="continuous"/>
        </w:sectPr>
      </w:pPr>
    </w:p>
    <w:p>
      <w:pPr>
        <w:spacing w:after="0" w:line="281"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 Yes</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r>
        <w:rPr>
          <w:rFonts w:ascii="MS PGothic" w:cs="MS PGothic" w:eastAsia="MS PGothic" w:hAnsi="MS PGothic"/>
          <w:sz w:val="18"/>
          <w:szCs w:val="18"/>
          <w:color w:val="auto"/>
          <w:highlight w:val="black"/>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APPLICABLE ONLY TO ISSUERS INVOLVED IN BANKRUPTCY PROCEEDINGS DURING THE PRECEDING FIVE YEARS: 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Not applicable</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As of July 30, 2019, the registrant had 15,762,574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904" w:right="239" w:bottom="414"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90805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20" w:type="dxa"/>
            <w:vAlign w:val="bottom"/>
          </w:tcPr>
          <w:p>
            <w:pPr>
              <w:jc w:val="center"/>
              <w:spacing w:after="0"/>
              <w:rPr>
                <w:sz w:val="20"/>
                <w:szCs w:val="20"/>
                <w:color w:val="auto"/>
              </w:rPr>
            </w:pPr>
            <w:r>
              <w:rPr>
                <w:rFonts w:ascii="Arial" w:cs="Arial" w:eastAsia="Arial" w:hAnsi="Arial"/>
                <w:sz w:val="18"/>
                <w:szCs w:val="18"/>
                <w:b w:val="1"/>
                <w:bCs w:val="1"/>
                <w:color w:val="auto"/>
              </w:rPr>
              <w:t>ULTRALIFE CORPORATION AND SUBSIDIARIES</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20" w:type="dxa"/>
            <w:vAlign w:val="bottom"/>
          </w:tcPr>
          <w:p>
            <w:pPr>
              <w:jc w:val="center"/>
              <w:spacing w:after="0"/>
              <w:rPr>
                <w:sz w:val="20"/>
                <w:szCs w:val="20"/>
                <w:color w:val="auto"/>
              </w:rPr>
            </w:pPr>
            <w:r>
              <w:rPr>
                <w:rFonts w:ascii="Arial" w:cs="Arial" w:eastAsia="Arial" w:hAnsi="Arial"/>
                <w:sz w:val="18"/>
                <w:szCs w:val="18"/>
                <w:b w:val="1"/>
                <w:bCs w:val="1"/>
                <w:color w:val="auto"/>
              </w:rPr>
              <w:t>INDEX</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780" w:type="dxa"/>
            <w:vAlign w:val="bottom"/>
            <w:gridSpan w:val="3"/>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8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FINANCIAL INFORMATION</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Financial Statements (unaudited):</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Balance Sheets as of June 30, 2019 and December 31, 2018</w:t>
            </w:r>
          </w:p>
        </w:tc>
        <w:tc>
          <w:tcPr>
            <w:tcW w:w="5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79"/>
              </w:rPr>
              <w:t>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8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Consolidated Statements of Income and Comprehensive Income for the Three and Six-Month Periods Ended June 30, 2019 and July</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1, 2018</w:t>
            </w:r>
          </w:p>
        </w:tc>
        <w:tc>
          <w:tcPr>
            <w:tcW w:w="5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79"/>
              </w:rPr>
              <w:t>4</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Statements of Cash Flows for the Six-Month Periods Ended June 30, 2019 and July 1, 2018</w:t>
            </w:r>
          </w:p>
        </w:tc>
        <w:tc>
          <w:tcPr>
            <w:tcW w:w="5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79"/>
              </w:rPr>
              <w:t>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8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2"/>
              </w:rPr>
              <w:t>Consolidated Statements of Changes in Shareholders’ Equity for the Three and Six-Month Periods Ended June 30, 2019 and July 1,</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2018</w:t>
            </w:r>
          </w:p>
        </w:tc>
        <w:tc>
          <w:tcPr>
            <w:tcW w:w="5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79"/>
              </w:rPr>
              <w:t>6</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Notes to Consolidated Financial Statements</w:t>
            </w:r>
          </w:p>
        </w:tc>
        <w:tc>
          <w:tcPr>
            <w:tcW w:w="5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79"/>
              </w:rPr>
              <w:t>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Controls and Procedures</w:t>
            </w:r>
          </w:p>
        </w:tc>
        <w:tc>
          <w:tcPr>
            <w:tcW w:w="5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8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OTHER INFORMATION</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Unregistered Sales of Equity Securities and Use of Proceeds</w:t>
            </w:r>
          </w:p>
        </w:tc>
        <w:tc>
          <w:tcPr>
            <w:tcW w:w="5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Exhibits</w:t>
            </w:r>
          </w:p>
        </w:tc>
        <w:tc>
          <w:tcPr>
            <w:tcW w:w="5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30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Signatures</w:t>
            </w:r>
          </w:p>
        </w:tc>
        <w:tc>
          <w:tcPr>
            <w:tcW w:w="5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31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98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3" w:right="239"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i w:val="1"/>
                <w:iCs w:val="1"/>
                <w:color w:val="auto"/>
                <w:w w:val="90"/>
              </w:rPr>
              <w:t>Adjusted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530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Trade accounts receivable, net of allowance for doubtful accounts of $328 and $296, respectively</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25,119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68,624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Property, equipment and improvements, net</w:t>
            </w: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22,078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141,738</w:t>
            </w:r>
          </w:p>
        </w:tc>
        <w:tc>
          <w:tcPr>
            <w:tcW w:w="1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120,848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70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14,179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 and related benefits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14,491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Preferred stock – par value $.10 per share; authorized 1,000,000 shares; none issued</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 par value $.10 per share; authorized 40,000,000 shares; issued – 20,163,756</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w w:val="99"/>
              </w:rPr>
              <w:t>shares at June 30, 2019 and 20,053,335 shares at December 31, 2018; outstanding – 15,762,574</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shares at June 30, 2019 and 15,920,585 shares at December 31, 2018</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Capital in excess of par value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183,457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(55,354)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(2,803)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Treasury stock - at cost; 4,401,182 shares at June 30, 2019 and 4,132,750 shares at December 31, 2018</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Ultralife Corporation equity</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106,085</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104,548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106,051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104,463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141,738</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120,848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Effective January 1, 2019, the Company adopted Accounting Standards Codification Topic 842 (ASC 842), </w:t>
      </w:r>
      <w:r>
        <w:rPr>
          <w:rFonts w:ascii="Arial" w:cs="Arial" w:eastAsia="Arial" w:hAnsi="Arial"/>
          <w:sz w:val="18"/>
          <w:szCs w:val="18"/>
          <w:i w:val="1"/>
          <w:iCs w:val="1"/>
          <w:color w:val="auto"/>
        </w:rPr>
        <w:t>Leases</w:t>
      </w:r>
      <w:r>
        <w:rPr>
          <w:rFonts w:ascii="Arial" w:cs="Arial" w:eastAsia="Arial" w:hAnsi="Arial"/>
          <w:sz w:val="18"/>
          <w:szCs w:val="18"/>
          <w:color w:val="auto"/>
        </w:rPr>
        <w:t>. Prior period balances have been adjusted for the effects of the new standard. See Note 1 for further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3"/>
              </w:rPr>
              <w:t>Three-Month Period Ended</w:t>
            </w:r>
          </w:p>
        </w:tc>
        <w:tc>
          <w:tcPr>
            <w:tcW w:w="180" w:type="dxa"/>
            <w:vAlign w:val="bottom"/>
          </w:tcPr>
          <w:p>
            <w:pPr>
              <w:spacing w:after="0"/>
              <w:rPr>
                <w:sz w:val="20"/>
                <w:szCs w:val="20"/>
                <w:color w:val="auto"/>
              </w:rPr>
            </w:pPr>
          </w:p>
        </w:tc>
        <w:tc>
          <w:tcPr>
            <w:tcW w:w="24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6"/>
              </w:rPr>
              <w:t>Six-Month Period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June 30,</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rPr>
              <w:t>July 1,</w:t>
            </w: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8"/>
              </w:rPr>
              <w:t>June 30,</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rPr>
              <w:t>July 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29,397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48,279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16,314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34,330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1,218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10,359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9,844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3,042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1,632</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financing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Miscellaneous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other expenses (income)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 provision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1,640</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Net income attributable to Ultralife Corporation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1,627</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Ultralife Corporation</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Net income per share attributable to Ultralife common shareholders – basic</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Net income per share attributable to Ultralife common shareholders –</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2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shd w:val="clear" w:color="auto" w:fill="CCEEFF"/>
          </w:tcPr>
          <w:p>
            <w:pPr>
              <w:ind w:left="160"/>
              <w:spacing w:after="0" w:line="194" w:lineRule="exact"/>
              <w:rPr>
                <w:sz w:val="20"/>
                <w:szCs w:val="20"/>
                <w:color w:val="auto"/>
              </w:rPr>
            </w:pPr>
            <w:r>
              <w:rPr>
                <w:rFonts w:ascii="Arial" w:cs="Arial" w:eastAsia="Arial" w:hAnsi="Arial"/>
                <w:sz w:val="18"/>
                <w:szCs w:val="18"/>
                <w:b w:val="1"/>
                <w:bCs w:val="1"/>
                <w:color w:val="auto"/>
              </w:rPr>
              <w:t>diluted</w:t>
            </w:r>
          </w:p>
        </w:tc>
        <w:tc>
          <w:tcPr>
            <w:tcW w:w="280" w:type="dxa"/>
            <w:vAlign w:val="bottom"/>
            <w:gridSpan w:val="2"/>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basic</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15,922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Potential common shares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diluted</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Six-Month Period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8"/>
              </w:rPr>
              <w:t>June 30,</w:t>
            </w: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90"/>
              <w:spacing w:after="0" w:line="191" w:lineRule="exact"/>
              <w:rPr>
                <w:sz w:val="20"/>
                <w:szCs w:val="20"/>
                <w:color w:val="auto"/>
              </w:rPr>
            </w:pPr>
            <w:r>
              <w:rPr>
                <w:rFonts w:ascii="Arial" w:cs="Arial" w:eastAsia="Arial" w:hAnsi="Arial"/>
                <w:sz w:val="18"/>
                <w:szCs w:val="18"/>
                <w:b w:val="1"/>
                <w:bCs w:val="1"/>
                <w:color w:val="auto"/>
              </w:rPr>
              <w:t>July 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2,732</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962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Amortization of financing fees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636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(5,466)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(6,779)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80"/>
              <w:spacing w:after="0"/>
              <w:rPr>
                <w:sz w:val="20"/>
                <w:szCs w:val="20"/>
                <w:color w:val="auto"/>
              </w:rPr>
            </w:pPr>
            <w:r>
              <w:rPr>
                <w:rFonts w:ascii="Arial" w:cs="Arial" w:eastAsia="Arial" w:hAnsi="Arial"/>
                <w:sz w:val="18"/>
                <w:szCs w:val="18"/>
                <w:color w:val="auto"/>
              </w:rPr>
              <w:t>Prepaid expenses and other assets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362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and other liabilities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Net cash (used in) provided by operating activities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(4,246)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SWE, net of cash acquired</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(25,248)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Purchases of property, equipment and improvements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(3,793)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Proceeds from revolving credit facility</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8,182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term loan facility</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Payment of term loan facility</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Payment of debt issuance costs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Tax withholdings on stock-based awards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government grant</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14,326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(DECREASE) INCREASE IN CASH</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(19,118)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Cash, Beginning of period</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25,934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6,816</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140" w:type="dxa"/>
            <w:vAlign w:val="bottom"/>
            <w:gridSpan w:val="5"/>
            <w:vMerge w:val="restart"/>
          </w:tcPr>
          <w:p>
            <w:pPr>
              <w:ind w:left="48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Capital</w:t>
            </w:r>
          </w:p>
        </w:tc>
        <w:tc>
          <w:tcPr>
            <w:tcW w:w="8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14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in Excess</w:t>
            </w:r>
          </w:p>
        </w:tc>
        <w:tc>
          <w:tcPr>
            <w:tcW w:w="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9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Number of</w:t>
            </w: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20"/>
              <w:spacing w:after="0" w:line="182" w:lineRule="exact"/>
              <w:rPr>
                <w:sz w:val="20"/>
                <w:szCs w:val="20"/>
                <w:color w:val="auto"/>
              </w:rPr>
            </w:pPr>
            <w:r>
              <w:rPr>
                <w:rFonts w:ascii="Arial" w:cs="Arial" w:eastAsia="Arial" w:hAnsi="Arial"/>
                <w:sz w:val="16"/>
                <w:szCs w:val="16"/>
                <w:b w:val="1"/>
                <w:bCs w:val="1"/>
                <w:color w:val="auto"/>
                <w:w w:val="96"/>
              </w:rPr>
              <w:t>of Par</w:t>
            </w:r>
          </w:p>
        </w:tc>
        <w:tc>
          <w:tcPr>
            <w:tcW w:w="122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9"/>
              </w:rPr>
              <w:t>Comprehensive</w:t>
            </w:r>
          </w:p>
        </w:tc>
        <w:tc>
          <w:tcPr>
            <w:tcW w:w="1200" w:type="dxa"/>
            <w:vAlign w:val="bottom"/>
            <w:gridSpan w:val="4"/>
          </w:tcPr>
          <w:p>
            <w:pPr>
              <w:ind w:left="80"/>
              <w:spacing w:after="0" w:line="182"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5"/>
                <w:szCs w:val="15"/>
                <w:color w:val="auto"/>
              </w:rPr>
            </w:pPr>
          </w:p>
        </w:tc>
        <w:tc>
          <w:tcPr>
            <w:tcW w:w="1000" w:type="dxa"/>
            <w:vAlign w:val="bottom"/>
            <w:gridSpan w:val="2"/>
          </w:tcPr>
          <w:p>
            <w:pPr>
              <w:jc w:val="right"/>
              <w:ind w:right="360"/>
              <w:spacing w:after="0" w:line="182" w:lineRule="exact"/>
              <w:rPr>
                <w:sz w:val="20"/>
                <w:szCs w:val="20"/>
                <w:color w:val="auto"/>
              </w:rPr>
            </w:pPr>
            <w:r>
              <w:rPr>
                <w:rFonts w:ascii="Arial" w:cs="Arial" w:eastAsia="Arial" w:hAnsi="Arial"/>
                <w:sz w:val="16"/>
                <w:szCs w:val="16"/>
                <w:b w:val="1"/>
                <w:bCs w:val="1"/>
                <w:color w:val="auto"/>
                <w:w w:val="91"/>
              </w:rPr>
              <w:t>Treasury</w:t>
            </w:r>
          </w:p>
        </w:tc>
        <w:tc>
          <w:tcPr>
            <w:tcW w:w="1040" w:type="dxa"/>
            <w:vAlign w:val="bottom"/>
            <w:gridSpan w:val="3"/>
          </w:tcPr>
          <w:p>
            <w:pPr>
              <w:jc w:val="center"/>
              <w:ind w:right="120"/>
              <w:spacing w:after="0" w:line="182" w:lineRule="exact"/>
              <w:rPr>
                <w:sz w:val="20"/>
                <w:szCs w:val="20"/>
                <w:color w:val="auto"/>
              </w:rPr>
            </w:pPr>
            <w:r>
              <w:rPr>
                <w:rFonts w:ascii="Arial" w:cs="Arial" w:eastAsia="Arial" w:hAnsi="Arial"/>
                <w:sz w:val="16"/>
                <w:szCs w:val="16"/>
                <w:b w:val="1"/>
                <w:bCs w:val="1"/>
                <w:color w:val="auto"/>
                <w:w w:val="93"/>
              </w:rPr>
              <w:t>Controlling</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Value</w:t>
            </w: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Income (Loss)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Interest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3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 December 31, 2017</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19,670,928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180,211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(1,611)</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(82,894)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(18,469)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79,049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Cumulative effect adjustment (1)</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3,777</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Stock option exercises</w:t>
            </w:r>
          </w:p>
        </w:tc>
        <w:tc>
          <w:tcPr>
            <w:tcW w:w="900" w:type="dxa"/>
            <w:vAlign w:val="bottom"/>
          </w:tcPr>
          <w:p>
            <w:pPr>
              <w:jc w:val="right"/>
              <w:spacing w:after="0"/>
              <w:rPr>
                <w:sz w:val="20"/>
                <w:szCs w:val="20"/>
                <w:color w:val="auto"/>
              </w:rPr>
            </w:pPr>
            <w:r>
              <w:rPr>
                <w:rFonts w:ascii="Arial" w:cs="Arial" w:eastAsia="Arial" w:hAnsi="Arial"/>
                <w:sz w:val="16"/>
                <w:szCs w:val="16"/>
                <w:color w:val="auto"/>
              </w:rPr>
              <w:t>290,476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1,296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1,326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w w:val="97"/>
              </w:rPr>
              <w:t>Stock-based compensation -stock</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options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Stock-based compensation -</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60" w:type="dxa"/>
            <w:vAlign w:val="bottom"/>
          </w:tcPr>
          <w:p>
            <w:pPr>
              <w:ind w:left="160"/>
              <w:spacing w:after="0"/>
              <w:rPr>
                <w:sz w:val="20"/>
                <w:szCs w:val="20"/>
                <w:color w:val="auto"/>
              </w:rPr>
            </w:pPr>
            <w:r>
              <w:rPr>
                <w:rFonts w:ascii="Arial" w:cs="Arial" w:eastAsia="Arial" w:hAnsi="Arial"/>
                <w:sz w:val="16"/>
                <w:szCs w:val="16"/>
                <w:color w:val="auto"/>
              </w:rPr>
              <w:t>restricted stock</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adjustments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Cash settlement of outstanding</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99"/>
        </w:trPr>
        <w:tc>
          <w:tcPr>
            <w:tcW w:w="2380" w:type="dxa"/>
            <w:vAlign w:val="bottom"/>
            <w:gridSpan w:val="2"/>
          </w:tcPr>
          <w:p>
            <w:pPr>
              <w:spacing w:after="0"/>
              <w:rPr>
                <w:sz w:val="20"/>
                <w:szCs w:val="20"/>
                <w:color w:val="auto"/>
              </w:rPr>
            </w:pPr>
            <w:r>
              <w:rPr>
                <w:rFonts w:ascii="Arial" w:cs="Arial" w:eastAsia="Arial" w:hAnsi="Arial"/>
                <w:sz w:val="16"/>
                <w:szCs w:val="16"/>
                <w:color w:val="auto"/>
              </w:rPr>
              <w:t>options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xml:space="preserve">Balance – July 1, 2018 </w:t>
            </w:r>
            <w:r>
              <w:rPr>
                <w:rFonts w:ascii="Arial" w:cs="Arial" w:eastAsia="Arial" w:hAnsi="Arial"/>
                <w:sz w:val="16"/>
                <w:szCs w:val="16"/>
                <w:color w:val="auto"/>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19,961,404</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181,818</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(2,036)</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(79,188)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(18,469)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83,997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6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60" w:type="dxa"/>
            <w:vAlign w:val="bottom"/>
          </w:tcPr>
          <w:p>
            <w:pPr>
              <w:spacing w:after="0"/>
              <w:rPr>
                <w:sz w:val="20"/>
                <w:szCs w:val="20"/>
                <w:color w:val="auto"/>
              </w:rPr>
            </w:pPr>
            <w:r>
              <w:rPr>
                <w:rFonts w:ascii="Arial" w:cs="Arial" w:eastAsia="Arial" w:hAnsi="Arial"/>
                <w:sz w:val="16"/>
                <w:szCs w:val="16"/>
                <w:b w:val="1"/>
                <w:bCs w:val="1"/>
                <w:color w:val="auto"/>
                <w:w w:val="94"/>
              </w:rPr>
              <w:t xml:space="preserve">Balance – December 31, 2018 </w:t>
            </w:r>
            <w:r>
              <w:rPr>
                <w:rFonts w:ascii="Arial" w:cs="Arial" w:eastAsia="Arial" w:hAnsi="Arial"/>
                <w:sz w:val="16"/>
                <w:szCs w:val="16"/>
                <w:color w:val="auto"/>
                <w:w w:val="94"/>
              </w:rPr>
              <w:t>(1)</w:t>
            </w:r>
          </w:p>
        </w:tc>
        <w:tc>
          <w:tcPr>
            <w:tcW w:w="900" w:type="dxa"/>
            <w:vAlign w:val="bottom"/>
          </w:tcPr>
          <w:p>
            <w:pPr>
              <w:jc w:val="right"/>
              <w:spacing w:after="0"/>
              <w:rPr>
                <w:sz w:val="20"/>
                <w:szCs w:val="20"/>
                <w:color w:val="auto"/>
              </w:rPr>
            </w:pPr>
            <w:r>
              <w:rPr>
                <w:rFonts w:ascii="Arial" w:cs="Arial" w:eastAsia="Arial" w:hAnsi="Arial"/>
                <w:sz w:val="16"/>
                <w:szCs w:val="16"/>
                <w:color w:val="auto"/>
              </w:rPr>
              <w:t>20,053,335</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2,005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182,630</w:t>
            </w:r>
          </w:p>
        </w:tc>
        <w:tc>
          <w:tcPr>
            <w:tcW w:w="20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(2,786)</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(58,035)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(19,266)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(85)</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104,463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2,681</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Share repurchases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(1,957)</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(1,957)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Stock option exercises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104,587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6"/>
                <w:szCs w:val="16"/>
                <w:color w:val="auto"/>
                <w:w w:val="97"/>
              </w:rPr>
              <w:t>Stock-based compensation -stock</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60" w:type="dxa"/>
            <w:vAlign w:val="bottom"/>
          </w:tcPr>
          <w:p>
            <w:pPr>
              <w:ind w:left="160"/>
              <w:spacing w:after="0"/>
              <w:rPr>
                <w:sz w:val="20"/>
                <w:szCs w:val="20"/>
                <w:color w:val="auto"/>
              </w:rPr>
            </w:pPr>
            <w:r>
              <w:rPr>
                <w:rFonts w:ascii="Arial" w:cs="Arial" w:eastAsia="Arial" w:hAnsi="Arial"/>
                <w:sz w:val="16"/>
                <w:szCs w:val="16"/>
                <w:color w:val="auto"/>
              </w:rPr>
              <w:t>options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restricted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Tax withholdings on restricted</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60" w:type="dxa"/>
            <w:vAlign w:val="bottom"/>
          </w:tcPr>
          <w:p>
            <w:pPr>
              <w:ind w:left="160"/>
              <w:spacing w:after="0"/>
              <w:rPr>
                <w:sz w:val="20"/>
                <w:szCs w:val="20"/>
                <w:color w:val="auto"/>
              </w:rPr>
            </w:pPr>
            <w:r>
              <w:rPr>
                <w:rFonts w:ascii="Arial" w:cs="Arial" w:eastAsia="Arial" w:hAnsi="Arial"/>
                <w:sz w:val="16"/>
                <w:szCs w:val="16"/>
                <w:color w:val="auto"/>
              </w:rPr>
              <w:t>stock</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adjustments</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gridSpan w:val="2"/>
          </w:tcPr>
          <w:p>
            <w:pPr>
              <w:spacing w:after="0"/>
              <w:rPr>
                <w:sz w:val="20"/>
                <w:szCs w:val="20"/>
                <w:color w:val="auto"/>
              </w:rPr>
            </w:pPr>
            <w:r>
              <w:rPr>
                <w:rFonts w:ascii="Arial" w:cs="Arial" w:eastAsia="Arial" w:hAnsi="Arial"/>
                <w:sz w:val="16"/>
                <w:szCs w:val="16"/>
                <w:b w:val="1"/>
                <w:bCs w:val="1"/>
                <w:color w:val="auto"/>
              </w:rPr>
              <w:t>Balance – June 30, 2019</w:t>
            </w:r>
          </w:p>
        </w:tc>
        <w:tc>
          <w:tcPr>
            <w:tcW w:w="900" w:type="dxa"/>
            <w:vAlign w:val="bottom"/>
          </w:tcPr>
          <w:p>
            <w:pPr>
              <w:jc w:val="right"/>
              <w:spacing w:after="0"/>
              <w:rPr>
                <w:sz w:val="20"/>
                <w:szCs w:val="20"/>
                <w:color w:val="auto"/>
              </w:rPr>
            </w:pPr>
            <w:r>
              <w:rPr>
                <w:rFonts w:ascii="Arial" w:cs="Arial" w:eastAsia="Arial" w:hAnsi="Arial"/>
                <w:sz w:val="16"/>
                <w:szCs w:val="16"/>
                <w:color w:val="auto"/>
              </w:rPr>
              <w:t>20,163,756</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2,016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183,457</w:t>
            </w:r>
          </w:p>
        </w:tc>
        <w:tc>
          <w:tcPr>
            <w:tcW w:w="20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(2,803)</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(55,354)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(21,231)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(34)</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106,051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xml:space="preserve">Balance – April 1, 2018 </w:t>
            </w:r>
            <w:r>
              <w:rPr>
                <w:rFonts w:ascii="Arial" w:cs="Arial" w:eastAsia="Arial" w:hAnsi="Arial"/>
                <w:sz w:val="16"/>
                <w:szCs w:val="16"/>
                <w:color w:val="auto"/>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19,891,937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181,312</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(859)</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(80,814)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(18,469)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Net income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1,626</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1,639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Stock option exercises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69,467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6"/>
                <w:szCs w:val="16"/>
                <w:color w:val="auto"/>
                <w:w w:val="97"/>
              </w:rPr>
              <w:t>Stock-based compensation -stock</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60" w:type="dxa"/>
            <w:vAlign w:val="bottom"/>
          </w:tcPr>
          <w:p>
            <w:pPr>
              <w:ind w:left="160"/>
              <w:spacing w:after="0"/>
              <w:rPr>
                <w:sz w:val="20"/>
                <w:szCs w:val="20"/>
                <w:color w:val="auto"/>
              </w:rPr>
            </w:pPr>
            <w:r>
              <w:rPr>
                <w:rFonts w:ascii="Arial" w:cs="Arial" w:eastAsia="Arial" w:hAnsi="Arial"/>
                <w:sz w:val="16"/>
                <w:szCs w:val="16"/>
                <w:color w:val="auto"/>
              </w:rPr>
              <w:t>options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restricted stock</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Foreign currency translation</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(1,177)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(1,177)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360" w:type="dxa"/>
            <w:vAlign w:val="bottom"/>
          </w:tcPr>
          <w:p>
            <w:pPr>
              <w:ind w:left="160"/>
              <w:spacing w:after="0"/>
              <w:rPr>
                <w:sz w:val="20"/>
                <w:szCs w:val="20"/>
                <w:color w:val="auto"/>
              </w:rPr>
            </w:pPr>
            <w:r>
              <w:rPr>
                <w:rFonts w:ascii="Arial" w:cs="Arial" w:eastAsia="Arial" w:hAnsi="Arial"/>
                <w:sz w:val="16"/>
                <w:szCs w:val="16"/>
                <w:color w:val="auto"/>
              </w:rPr>
              <w:t>adjustments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xml:space="preserve">Balance – July 1, 2018 </w:t>
            </w:r>
            <w:r>
              <w:rPr>
                <w:rFonts w:ascii="Arial" w:cs="Arial" w:eastAsia="Arial" w:hAnsi="Arial"/>
                <w:sz w:val="16"/>
                <w:szCs w:val="16"/>
                <w:color w:val="auto"/>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19,961,404</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181,818</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(2,036)</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(79,188)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(18,469)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83,997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36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 March 31, 2019</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20,134,596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183,163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(2,351)</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(57,610)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(21,231)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103,923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Net income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2,256</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2,283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Stock option exercises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29,160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119</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6"/>
                <w:szCs w:val="16"/>
                <w:color w:val="auto"/>
                <w:w w:val="97"/>
              </w:rPr>
              <w:t>Stock-based compensation -stock</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60" w:type="dxa"/>
            <w:vAlign w:val="bottom"/>
          </w:tcPr>
          <w:p>
            <w:pPr>
              <w:ind w:left="160"/>
              <w:spacing w:after="0"/>
              <w:rPr>
                <w:sz w:val="20"/>
                <w:szCs w:val="20"/>
                <w:color w:val="auto"/>
              </w:rPr>
            </w:pPr>
            <w:r>
              <w:rPr>
                <w:rFonts w:ascii="Arial" w:cs="Arial" w:eastAsia="Arial" w:hAnsi="Arial"/>
                <w:sz w:val="16"/>
                <w:szCs w:val="16"/>
                <w:color w:val="auto"/>
              </w:rPr>
              <w:t>options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restricted stock</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Foreign currency translation</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(452)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360" w:type="dxa"/>
            <w:vAlign w:val="bottom"/>
          </w:tcPr>
          <w:p>
            <w:pPr>
              <w:ind w:left="160"/>
              <w:spacing w:after="0"/>
              <w:rPr>
                <w:sz w:val="20"/>
                <w:szCs w:val="20"/>
                <w:color w:val="auto"/>
              </w:rPr>
            </w:pPr>
            <w:r>
              <w:rPr>
                <w:rFonts w:ascii="Arial" w:cs="Arial" w:eastAsia="Arial" w:hAnsi="Arial"/>
                <w:sz w:val="16"/>
                <w:szCs w:val="16"/>
                <w:color w:val="auto"/>
              </w:rPr>
              <w:t>adjustments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 June 30, 2019</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20,163,756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183,457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(2,803)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(55,354)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(21,231)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106,051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 January 1, 2019, the Company adopted Accounting Standards Codification Topic 842 (ASC 842), Leases. Prior period balances have been adjusted for the effects of the new standard. See Note 1 for further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 –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1.</w:t>
        <w:tab/>
        <w:t>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of Ultralife Corporation (the “Company”) and its subsidiaries have been prepared in accordance with generally accepted accounting principles in the United States of America (“GAAP”) for interim financial information and with the instructions to Rule 8-03 of Regulation S-X. Accordingly, they do not include all the information and footnotes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2018.</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December 31, 2018 consolidated balance sheet data referenced herein was derived from audited financial statements but does not include all disclosures required by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Certain items previously reported in specific financial statement captions have been reclassified to conform to the current presentation.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monthly closing schedule is a 4/4/5 weekly-based cycle for each fiscal quarter, as opposed to a calendar month-based cycle for each fiscal quarter. While the actual dates for the quarter-ends will change slightly each year, we believe that there are not any material differences when making quarterly comparisons.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Effective January 1, 2019, the Company adopted Accounting Standards Update 2016-02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Adoption of the new standard did not materially impact the prior year consolidated statements of operations and cash flows. The prior year consolidated balance sheet has been revised for the effects of the new standard. The effects to our consolidated balance sheet as of December 31, 2018 are presented below.</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adopted the new standard applying the modified retrospective approach. The Company measured and recognized leases upon adoption which had commenced as of the beginning or during the prior year. The package of practical expedients permitted under the transition guidance of the new standard was elected which allowed us to carry forward the historical lease classification and determination of whether an arrangement is or contains a lease on existing leases. The use-of-hindsight transition practical expedient was applied to determine the lease term for existing leases, which resulted in the lengthening of the lease term at commencement for one of our operating facilities.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contract inception, the Company determines whether the arrangement is or contains a lease and determines the lease classification. The lease term is determined based on the non-cancellable term of the lease adjusted to the extent optional renewal terms and termination rights are reasonably certain. Lease expense is recognized evenly over the lease term. Variable lease payments are recognized as period costs. The present value of remaining lease payments is recognized as a liability on the balance sheet with a corresponding right-of-use asset adjusted for prepaid or accrued lease payments. The Company uses its incremental borrowing rate for the discount rate, unless the interest rate implicit in the lease contract is readily determinable. The Company has adopted the practical expedients to not separate non-lease components from lease components and to not present short-term leases on the balance sheet.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impact on the consolidated balance sheet as of December 31, 2018 is shown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Impact to Previously Reported Results</w:t>
            </w:r>
          </w:p>
        </w:tc>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980" w:type="dxa"/>
            <w:vAlign w:val="bottom"/>
            <w:gridSpan w:val="2"/>
          </w:tcPr>
          <w:p>
            <w:pPr>
              <w:spacing w:after="0"/>
              <w:rPr>
                <w:sz w:val="20"/>
                <w:szCs w:val="20"/>
                <w:color w:val="auto"/>
              </w:rPr>
            </w:pPr>
            <w:r>
              <w:rPr>
                <w:rFonts w:ascii="Arial" w:cs="Arial" w:eastAsia="Arial" w:hAnsi="Arial"/>
                <w:sz w:val="18"/>
                <w:szCs w:val="18"/>
                <w:color w:val="auto"/>
              </w:rPr>
              <w:t>Consolidated Balance Sheet as of December 31, 2018:</w:t>
            </w: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jc w:val="center"/>
              <w:ind w:right="270"/>
              <w:spacing w:after="0"/>
              <w:rPr>
                <w:sz w:val="20"/>
                <w:szCs w:val="20"/>
                <w:color w:val="auto"/>
              </w:rPr>
            </w:pPr>
            <w:r>
              <w:rPr>
                <w:rFonts w:ascii="Arial" w:cs="Arial" w:eastAsia="Arial" w:hAnsi="Arial"/>
                <w:sz w:val="18"/>
                <w:szCs w:val="18"/>
                <w:b w:val="1"/>
                <w:bCs w:val="1"/>
                <w:color w:val="auto"/>
                <w:w w:val="86"/>
              </w:rPr>
              <w:t>As</w:t>
            </w:r>
          </w:p>
        </w:tc>
        <w:tc>
          <w:tcPr>
            <w:tcW w:w="280" w:type="dxa"/>
            <w:vAlign w:val="bottom"/>
          </w:tcPr>
          <w:p>
            <w:pPr>
              <w:spacing w:after="0"/>
              <w:rPr>
                <w:sz w:val="24"/>
                <w:szCs w:val="24"/>
                <w:color w:val="auto"/>
              </w:rPr>
            </w:pPr>
          </w:p>
        </w:tc>
        <w:tc>
          <w:tcPr>
            <w:tcW w:w="144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Lease</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4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Previously</w:t>
            </w:r>
          </w:p>
        </w:tc>
        <w:tc>
          <w:tcPr>
            <w:tcW w:w="280" w:type="dxa"/>
            <w:vAlign w:val="bottom"/>
          </w:tcPr>
          <w:p>
            <w:pPr>
              <w:spacing w:after="0"/>
              <w:rPr>
                <w:sz w:val="18"/>
                <w:szCs w:val="18"/>
                <w:color w:val="auto"/>
              </w:rPr>
            </w:pPr>
          </w:p>
        </w:tc>
        <w:tc>
          <w:tcPr>
            <w:tcW w:w="144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Standard</w:t>
            </w:r>
          </w:p>
        </w:tc>
        <w:tc>
          <w:tcPr>
            <w:tcW w:w="340" w:type="dxa"/>
            <w:vAlign w:val="bottom"/>
          </w:tcPr>
          <w:p>
            <w:pPr>
              <w:spacing w:after="0"/>
              <w:rPr>
                <w:sz w:val="18"/>
                <w:szCs w:val="18"/>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As</w:t>
            </w:r>
          </w:p>
        </w:tc>
      </w:tr>
      <w:tr>
        <w:trPr>
          <w:trHeight w:val="234"/>
        </w:trPr>
        <w:tc>
          <w:tcPr>
            <w:tcW w:w="300" w:type="dxa"/>
            <w:vAlign w:val="bottom"/>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1"/>
              </w:rPr>
              <w:t>Reported</w:t>
            </w: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0"/>
              </w:rPr>
              <w:t>Adjustment</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Adjusted</w:t>
            </w:r>
          </w:p>
        </w:tc>
        <w:tc>
          <w:tcPr>
            <w:tcW w:w="10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w:t>
            </w:r>
          </w:p>
        </w:tc>
      </w:tr>
      <w:tr>
        <w:trPr>
          <w:trHeight w:val="216"/>
        </w:trPr>
        <w:tc>
          <w:tcPr>
            <w:tcW w:w="3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28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2,429</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2,368</w:t>
            </w:r>
          </w:p>
        </w:tc>
      </w:tr>
      <w:tr>
        <w:trPr>
          <w:trHeight w:val="216"/>
        </w:trPr>
        <w:tc>
          <w:tcPr>
            <w:tcW w:w="30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3,534</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439</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3,973</w:t>
            </w:r>
          </w:p>
        </w:tc>
      </w:tr>
      <w:tr>
        <w:trPr>
          <w:trHeight w:val="216"/>
        </w:trPr>
        <w:tc>
          <w:tcPr>
            <w:tcW w:w="3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28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376</w:t>
            </w: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r>
      <w:tr>
        <w:trPr>
          <w:trHeight w:val="216"/>
        </w:trPr>
        <w:tc>
          <w:tcPr>
            <w:tcW w:w="30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(57,964)</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(58,035)</w:t>
            </w:r>
          </w:p>
        </w:tc>
      </w:tr>
      <w:tr>
        <w:trPr>
          <w:trHeight w:val="20"/>
        </w:trPr>
        <w:tc>
          <w:tcPr>
            <w:tcW w:w="300" w:type="dxa"/>
            <w:vAlign w:val="bottom"/>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9 for further disclosure regarding lease accounting.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 Not Yet Adopted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developments to recently issued accounting standards, including the expected dates of adoption and anticipated effects on the Company’s consolidated financial statements, from those disclosed in the Company’s 2018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2.</w:t>
        <w:tab/>
        <w:t>ACQUISITION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1, 2019, the Company completed the acquisition of 100% of the issued and outstanding shares of Southwest Electronic Energy Corporation, a Texas corporation (“SWE”), for an aggregate purchase price of $26,190 inclusive of $942 cash acquired and post-closing adjustments.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SWE is a leading independent designer and manufacturer of high-performance smart battery systems and battery packs to customer specifications using lithium cells. SWE serves a variety of industrial markets, including oil &amp; gas, remote monitoring, process control and marine, which demand uncompromised safety, service, reliability and quality. The Company acquired SWE as a bolt-on acquisition to further support our strategy of commercial revenue diversification by providing entry to the oil and gas exploration and production, and subsea electrification markets, which are currently unserved by Ultralife. Another key benefit includes obtaining a highly valuable technical team of battery pack and charger system engineers and technicians to add to our new product development-based revenue growth initiatives in our commercial end-markets particularly asset tracking, smart metering and other industrial applications.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acquisition of SWE was completed pursuant to a Stock Purchase Agreement dated May 1, 2019 (the “Stock Purchase Agreement”) by and among Ultralife, SWE, Southwest Electronic Energy Medical Research Institute, a Texas non-profit (the “Seller”), and Claude Leonard Benckenstein, an individual (the “Shareholder”). The Stock Purchase Agreement contains customary terms and conditions including representations, warranties and indemnification provisions. A portion of the consideration paid to the Seller is being held in escrow for indemnification purposes.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aggregate purchase price for the acquisition was funded by the Company through a combination of cash on hand and borrowings under the Credit Facilities (see Note 3).</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purchase price allocation was determined in accordance with the accounting treatment of a business combination pursuant to FASB ASC Topic 805, Business Combinations (ASC 805). Accordingly, the fair value of the consideration was determined, and the assets acquired and liabilities assumed have been recorded at their fair values at the date of the acquisition. The excess of the purchase price over the estimated fair values has been recorded as goodwill.</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both"/>
        <w:spacing w:after="0" w:line="271" w:lineRule="auto"/>
        <w:rPr>
          <w:sz w:val="20"/>
          <w:szCs w:val="20"/>
          <w:color w:val="auto"/>
        </w:rPr>
      </w:pPr>
      <w:r>
        <w:rPr>
          <w:rFonts w:ascii="Arial" w:cs="Arial" w:eastAsia="Arial" w:hAnsi="Arial"/>
          <w:sz w:val="17"/>
          <w:szCs w:val="17"/>
          <w:color w:val="auto"/>
        </w:rPr>
        <w:t>The allocation of purchase price to the assets acquired and liabilities assumed at the date of the acquisition is presented in the table below. Management is responsible for determining the fair value of the tangible and intangible assets acquired and liabilities assumed as of the date of acquisition. Management considered several factors, including reference to an analysis performed under ASC 805 solely for the purpose of allocating the purchase price to the assets acquired and liabilities assumed. The Company’s estimates are based upon assumptions believed to be reasonable, but which are inherently uncertain and unpredictable. These valuations require the use of management’s assumptions, which would not reflect unanticipated events and circumstances that occur. The resulting purchase price allocation is considered preliminary and could differ materially from the final allocation based on further analysis and future events. The final purchase price allocation may include changes in the valuation of assets acquired and liabilities assumed, including intangible assets, inventories, fixed assets, deferred taxes and residual goodwill.</w:t>
      </w:r>
    </w:p>
    <w:p>
      <w:pPr>
        <w:spacing w:after="0" w:line="200" w:lineRule="exact"/>
        <w:rPr>
          <w:sz w:val="20"/>
          <w:szCs w:val="20"/>
          <w:color w:val="auto"/>
        </w:rPr>
      </w:pPr>
    </w:p>
    <w:p>
      <w:pPr>
        <w:spacing w:after="0" w:line="20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942</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Accounts receivable</w:t>
            </w:r>
          </w:p>
        </w:tc>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3,621</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4,685</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431</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improvements</w:t>
            </w:r>
          </w:p>
        </w:tc>
        <w:tc>
          <w:tcPr>
            <w:tcW w:w="2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9,177</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Goodwill</w:t>
            </w:r>
          </w:p>
        </w:tc>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6,474</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2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3,649</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Accounts payable</w:t>
            </w:r>
          </w:p>
        </w:tc>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(1,060)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(718)</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Deferred tax liability, net</w:t>
            </w:r>
          </w:p>
        </w:tc>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(1,011)</w:t>
            </w:r>
          </w:p>
        </w:tc>
      </w:tr>
      <w:tr>
        <w:trPr>
          <w:trHeight w:val="20"/>
        </w:trPr>
        <w:tc>
          <w:tcPr>
            <w:tcW w:w="5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acquired</w:t>
            </w:r>
          </w:p>
        </w:tc>
        <w:tc>
          <w:tcPr>
            <w:tcW w:w="2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26,190</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goodwill included in the Company’s purchase price allocation presented above represents the value of SWE’s assembled and trained workforce, the incremental value that SWE engineering and technology will bring to the Company and the revenue growth which is expected to occur over time which is attributable to increased market penetration from future new products and customers. The goodwill acquired in connection with the acquisition is not deductible for income tax purposes.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operating results and cash flows of SWE are reflected in the Company’s consolidated financial statements from the date of acquisition. SWE is included in the Battery &amp; Energy Products segment.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six-month period ended June 30, 2019, SWE contributed revenue of $4,750 and net income of $101, inclusive of a $205 increase in cost of products sold for the fair value step-up of acquired inventory sold during the period, non-recurring expenses of $165 directly related to the acquisition, interest expense of $110 directly related to the financing of the SWE acquisition, amortization expense of $41 on acquired identifiable intangible assets and a $23 reduction of depreciation expense as a result of fair value adjustments and useful life changes.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six-month periods ended June 30, 2019, the Company incurred non-recurring transaction costs of $322 directly attributable to the acquisition. Debt issuance costs of $157, including placement, renewal and legal fees, are amortized to interest expense over a weighted average life of 4.6 years based on the terms of the related Credit Facilities. Other non-recurring transaction costs of $165, including one-time accounting, legal and due diligence services, were expensed during the period.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supplemental pro forma information presents the combined results of operations, inclusive of the purchase accounting adjustments and one-time acquisition-related expenses described above, as if the acquisition of SWE had been completed on January 1, 2018, the beginning of the comparable prior period.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supplemental pro forma results do not reflect the agreed upon departure of the Shareholder from SWE and dissolution of the SWE Board of Directors upon consummation of the acquisition or the realization of any expected synergies or other cost reductions following the completion of the business combination. The supplemental pro forma results are presented for informational purposes only and should not be considered indicative of the financial position or results of operations had the acquisition been completed as of the dates indicated and does not purport to indicate the future combined financial position or results of operation.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jc w:val="both"/>
        <w:ind w:right="20"/>
        <w:spacing w:after="0" w:line="277" w:lineRule="auto"/>
        <w:rPr>
          <w:sz w:val="20"/>
          <w:szCs w:val="20"/>
          <w:color w:val="auto"/>
        </w:rPr>
      </w:pPr>
      <w:r>
        <w:rPr>
          <w:rFonts w:ascii="Arial" w:cs="Arial" w:eastAsia="Arial" w:hAnsi="Arial"/>
          <w:sz w:val="18"/>
          <w:szCs w:val="18"/>
          <w:color w:val="auto"/>
        </w:rPr>
        <w:t>Set forth below are the unaudited supplemental pro forma results of the Company and SWE for the six-month periods ended June 30, 2019 and July 1, 2018 as if the acquisition had occurred as of January 1,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6"/>
          </w:tcPr>
          <w:p>
            <w:pPr>
              <w:ind w:left="740"/>
              <w:spacing w:after="0"/>
              <w:rPr>
                <w:sz w:val="20"/>
                <w:szCs w:val="20"/>
                <w:color w:val="auto"/>
              </w:rPr>
            </w:pPr>
            <w:r>
              <w:rPr>
                <w:rFonts w:ascii="Arial" w:cs="Arial" w:eastAsia="Arial" w:hAnsi="Arial"/>
                <w:sz w:val="18"/>
                <w:szCs w:val="18"/>
                <w:color w:val="auto"/>
              </w:rPr>
              <w:t>Six Months Ended</w:t>
            </w:r>
          </w:p>
        </w:tc>
      </w:tr>
      <w:tr>
        <w:trPr>
          <w:trHeight w:val="230"/>
        </w:trPr>
        <w:tc>
          <w:tcPr>
            <w:tcW w:w="7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July 1, 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2"/>
              </w:rPr>
              <w:t>June 30, 2019</w:t>
            </w:r>
          </w:p>
        </w:tc>
        <w:tc>
          <w:tcPr>
            <w:tcW w:w="100" w:type="dxa"/>
            <w:vAlign w:val="bottom"/>
          </w:tcPr>
          <w:p>
            <w:pPr>
              <w:spacing w:after="0"/>
              <w:rPr>
                <w:sz w:val="20"/>
                <w:szCs w:val="20"/>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58,957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57,074</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3,046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4,171</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 Corporation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2,955</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Net income per share attributable to Ultralife Corporation:</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r>
      <w:tr>
        <w:trPr>
          <w:trHeight w:val="230"/>
        </w:trPr>
        <w:tc>
          <w:tcPr>
            <w:tcW w:w="7480" w:type="dxa"/>
            <w:vAlign w:val="bottom"/>
          </w:tcPr>
          <w:p>
            <w:pPr>
              <w:ind w:left="66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0.17</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3.</w:t>
        <w:tab/>
        <w:t>CREDIT FACILITY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 2019, Ultralife, SWE, and CLB, INC., a Texas corporation and wholly owned subsidiary of SWE (“CLB”), as borrowers, entered into the First Amendment Agreement (the “First Amendment Agreement”) with KeyBank National Association (“KeyBank” or the “Bank”), as lender and administrative agent, to amend the Credit and Security Agreement by and among Ultralife and KeyBank dated May 31, 2017 (the “Credit Agreement”, and together with the First Amendment Agreement, the “Amended Credit Agreement”).</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Amended Credit Agreement, among other things, provides for a five-year, $8,000 senior secured term loan (the “Term Loan Facility”) and extends the term of the $30,000 senior secured revolving credit facility (the “Revolving Credit Facility”, and together with the Term Loan Facility, the “Credit Facilities”) through May 31, 2022. Up to six months prior to May 31, 2022, the Revolving Credit Facility may be increased to $50,000 with the Bank’s concurrence.</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Upon closing of the SWE acquisition on May 1, 2019, the Company drew down the full amount of the Term Loan Facility and $6,782 under the Revolving Credit Facility. As of June 30, 2019, the Company had $7,788 outstanding principal on the Term Loan Facility, of which $1,291 is included in current portion of long-term debt on the balance sheet, and $8,182 outstanding principal on the Revolving Credit Facility. As of June 30, 2019, total unamortized debt issuance costs of $188 associated with the Amended Credit Agreement are classified as a reduction of long-term debt on the balance sheet.</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required to repay the borrowings under the Term Loan Facility in sixty (60) equal consecutive monthly payments commencing on May 31, 2019, in arrears, together with applicable interest. All unpaid principal and accrued and unpaid interest with respect to the Term Loan Facility is due and payable in full on April 30, 2024. All unpaid principal and accrued and unpaid interest with respect to the Revolving Credit Facility is due and payable in full on May 31, 2022. The Company may voluntarily prepay principal amounts outstanding at any time subject to certain restrictions.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customary affirmative and negative covenants, the Company must maintain a consolidated fixed charge coverage ratio of equal to or greater than 1.15 to 1.0, and a consolidated senior leverage ratio of equal to or less than 2.5 to 1.0, each as defined in the Amended Credit Agreement. The Company was in full compliance with its covenants as of June 30, 2019.</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Borrowings under the Credit Facilities are secured by substantially all the assets of the Company. Availability under the Revolving Credit Facility is subject to certain borrowing base limits based on receivables and inventories.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will accrue on outstanding indebtedness under the Credit Facilities at the Base Rate or the Overnight LIBOR Rate, as selected by the Company, plus the applicable margin. The Base Rate is the higher of (a) the Prime Rate, (b) the Federal Funds Effective Rate plus 50 basis points, and (c) the Overnight LIBOR Rate plus one hundred basis points. The applicable margin ranges from zero to negative 50 basis points for the Base Rate and from 185 to 215 basis points for the Overnight LIBOR Rate and are determined based on the Company’s senior leverage ratio.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pay a fee of 0.1% to 0.2% based on the average daily unused availability under the Revolving Credit Facility.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Payments must be made by the Company to the extent borrowings exceed the maximum amount then permitted to be drawn on the Credit Facilities and from the proceeds of certain transactions. Upon the occurrence of an event of default, the outstanding obligations may be accelerated and the Bank will have other customary remedies including resort to the security interest the Company provided to the Bank.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4.</w:t>
        <w:tab/>
        <w:t>SHARE REPURCHASE PROGRAM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31, 2018, the Company’s Board of Directors approved a share repurchase program (the “Share Repurchase Program”) which became effective on November 1, 2018, under which the Company is authorized to purchase up to 2.5 million shares of its outstanding common stock over a period not to exceed twelve months.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Share Repurchase Program, shares may be purchased in open market transactions, including through block purchases, through privately negotiated transactions, or pursuant to any trading plan that may be adopted in accordance with Rule 10b5-1 of the Securities Exchange Act of 1934. The timing, manner, price and amount of any repurchase will be determined at the Company’s discretion and the Share Repurchase Program may be suspended, terminated or modified by the Company’s Board of Directors at any time for any reason and does not obligate the Company to purchase any specific number of shares. Under the Program, all purchases will be made in accordance with Securities Exchange Act Rule 10b-18, which sets certain restrictions on the method, timing, price and volume of open market stock repurchases.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six-month period ended June 30, 2019, we repurchased a total of 267,300 shares of our common stock for an aggregate consideration (including fees and commissions) of $1,957. There were no shares repurchased during the three-month period ended June 30, 2019.</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the inception of the Share Repurchase Program on November 1, 2018, we repurchased a total of 372,974 shares of our common stock for an aggregate consideration (including fees and commissions) of $2,699.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5.</w:t>
        <w:tab/>
        <w:t>EARNINGS PER SHARE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Basic earnings per share (“EPS”) is computed by dividing earnings attributable to the Company’s common shareholders by the weighted-average shares outstanding during the period. Diluted EPS includes the dilutive effect of securities, if any, and is calculated using the treasury stock method. For the three-month period ended June 30, 2019, 1,016,668 stock options and 31,666 restricted stock awards were included in the calculation of Diluted EPS as such securities are dilutive. Inclusion of these securities resulted in 450,793 additional shares in the calculation of fully diluted earnings per share. For the comparable three-month period ended July 1, 2018, 1,268,286 stock options and 17,500 restricted stock awards were included in the calculation of Diluted EPS resulting in 598,061 additional shares in the calculation of fully diluted earnings per share. For the six-month periods ended June 30, 2019 and July 1, 2018, 1,016,668 and 1,254,286 stock options and 31,666 and 17,500 restricted stock awards, respectively, were included in the calculation of Diluted EPS as such securities are dilutive. Inclusion of these securities resulted in 438,969 and 540,836 additional shares, respectively, in the calculation of fully diluted earnings per share.</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446,250 and 401,750 outstanding stock options for the three-month periods ended June 30, 2019 and July 1, 2018, respectively, which were not included in EPS as the effect would be anti-dilutive. There were 446,250 and 415,750 outstanding stock options for the six-month periods ended June 30, 2019 and July 1, 2018, respectively, which were not included in EPS as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6.  SUPPLEMENTAL BALANCE SHEET INFORMATION</w:t>
            </w:r>
          </w:p>
        </w:tc>
        <w:tc>
          <w:tcPr>
            <w:tcW w:w="2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32"/>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Cash</w:t>
            </w:r>
          </w:p>
        </w:tc>
        <w:tc>
          <w:tcPr>
            <w:tcW w:w="2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5100" w:type="dxa"/>
            <w:vAlign w:val="bottom"/>
            <w:gridSpan w:val="2"/>
          </w:tcPr>
          <w:p>
            <w:pPr>
              <w:spacing w:after="0"/>
              <w:rPr>
                <w:sz w:val="20"/>
                <w:szCs w:val="20"/>
                <w:color w:val="auto"/>
              </w:rPr>
            </w:pPr>
            <w:r>
              <w:rPr>
                <w:rFonts w:ascii="Arial" w:cs="Arial" w:eastAsia="Arial" w:hAnsi="Arial"/>
                <w:sz w:val="18"/>
                <w:szCs w:val="18"/>
                <w:color w:val="auto"/>
              </w:rPr>
              <w:t>The composition of the Company’s cash was as follows:</w:t>
            </w:r>
          </w:p>
        </w:tc>
        <w:tc>
          <w:tcPr>
            <w:tcW w:w="2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4"/>
                <w:szCs w:val="24"/>
                <w:color w:val="auto"/>
              </w:rPr>
            </w:pPr>
          </w:p>
        </w:tc>
      </w:tr>
      <w:tr>
        <w:trPr>
          <w:trHeight w:val="234"/>
        </w:trPr>
        <w:tc>
          <w:tcPr>
            <w:tcW w:w="3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76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6,528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25,583</w:t>
            </w:r>
          </w:p>
        </w:tc>
        <w:tc>
          <w:tcPr>
            <w:tcW w:w="3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Restricted cash</w:t>
            </w:r>
          </w:p>
        </w:tc>
        <w:tc>
          <w:tcPr>
            <w:tcW w:w="2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30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300" w:type="dxa"/>
            <w:vAlign w:val="bottom"/>
          </w:tcPr>
          <w:p>
            <w:pPr>
              <w:spacing w:after="0"/>
              <w:rPr>
                <w:sz w:val="21"/>
                <w:szCs w:val="21"/>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376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6,816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25,934</w:t>
            </w:r>
          </w:p>
        </w:tc>
        <w:tc>
          <w:tcPr>
            <w:tcW w:w="300" w:type="dxa"/>
            <w:vAlign w:val="bottom"/>
          </w:tcPr>
          <w:p>
            <w:pPr>
              <w:spacing w:after="0"/>
              <w:rPr>
                <w:sz w:val="21"/>
                <w:szCs w:val="21"/>
                <w:color w:val="auto"/>
              </w:rPr>
            </w:pPr>
          </w:p>
        </w:tc>
      </w:tr>
      <w:tr>
        <w:trPr>
          <w:trHeight w:val="413"/>
        </w:trPr>
        <w:tc>
          <w:tcPr>
            <w:tcW w:w="300" w:type="dxa"/>
            <w:vAlign w:val="bottom"/>
          </w:tcPr>
          <w:p>
            <w:pPr>
              <w:spacing w:after="0"/>
              <w:rPr>
                <w:sz w:val="24"/>
                <w:szCs w:val="24"/>
                <w:color w:val="auto"/>
              </w:rPr>
            </w:pPr>
          </w:p>
        </w:tc>
        <w:tc>
          <w:tcPr>
            <w:tcW w:w="4800" w:type="dxa"/>
            <w:vAlign w:val="bottom"/>
            <w:tcBorders>
              <w:top w:val="single" w:sz="8" w:color="CCEEFF"/>
            </w:tcBorders>
          </w:tcPr>
          <w:p>
            <w:pPr>
              <w:spacing w:after="0"/>
              <w:rPr>
                <w:sz w:val="24"/>
                <w:szCs w:val="24"/>
                <w:color w:val="auto"/>
              </w:rPr>
            </w:pPr>
          </w:p>
        </w:tc>
        <w:tc>
          <w:tcPr>
            <w:tcW w:w="2680" w:type="dxa"/>
            <w:vAlign w:val="bottom"/>
            <w:tcBorders>
              <w:top w:val="single" w:sz="8" w:color="CCEEFF"/>
            </w:tcBorders>
          </w:tcPr>
          <w:p>
            <w:pPr>
              <w:jc w:val="right"/>
              <w:ind w:right="1890"/>
              <w:spacing w:after="0"/>
              <w:rPr>
                <w:sz w:val="20"/>
                <w:szCs w:val="20"/>
                <w:color w:val="auto"/>
              </w:rPr>
            </w:pPr>
            <w:r>
              <w:rPr>
                <w:rFonts w:ascii="Arial" w:cs="Arial" w:eastAsia="Arial" w:hAnsi="Arial"/>
                <w:sz w:val="18"/>
                <w:szCs w:val="18"/>
                <w:color w:val="auto"/>
              </w:rPr>
              <w:t>11</w:t>
            </w:r>
          </w:p>
        </w:tc>
        <w:tc>
          <w:tcPr>
            <w:tcW w:w="10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Pr>
          <w:p>
            <w:pPr>
              <w:spacing w:after="0"/>
              <w:rPr>
                <w:sz w:val="24"/>
                <w:szCs w:val="24"/>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73" w:lineRule="auto"/>
        <w:rPr>
          <w:sz w:val="20"/>
          <w:szCs w:val="20"/>
          <w:color w:val="auto"/>
        </w:rPr>
      </w:pPr>
      <w:r>
        <w:rPr>
          <w:rFonts w:ascii="Arial" w:cs="Arial" w:eastAsia="Arial" w:hAnsi="Arial"/>
          <w:sz w:val="17"/>
          <w:szCs w:val="17"/>
          <w:color w:val="auto"/>
        </w:rPr>
        <w:t>As of June 30, 2019 and December 31, 2018, restricted cash included $205 and $266, respectively, relating to a government grant awarded in the People’s Republic of China to fund specified technological research and development initiatives. The grant proceeds are realized to income as a direct offset to expense as the related expenditures are incurred. For the six-month period ended June 30, 2019, grant proceeds of $61 were realized to income. As of June 30, 2019 and December 31, 2018, restricted cash included euro-denominated deposits of $83 and $85, respectively, withheld by the Dutch tax authorities and third-party VAT representatives in connection with a previously utilized logistics arrangement in the Netherlands. Restricted cash is included as a component of the cash balance for purposes of the consolidated statements of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are stated at the lower of cost or market, net of obsolescence reserves, with cost determined under the first-in, first-out (FIFO) method. The composition of inventories, net was: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8"/>
                <w:szCs w:val="18"/>
                <w:color w:val="auto"/>
              </w:rPr>
            </w:pPr>
          </w:p>
        </w:tc>
        <w:tc>
          <w:tcPr>
            <w:tcW w:w="136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ind w:right="19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3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18,379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13,274</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2,679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13,257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3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5320" w:type="dxa"/>
            <w:vAlign w:val="bottom"/>
          </w:tcPr>
          <w:p>
            <w:pPr>
              <w:ind w:left="3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34,315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22,843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Equipment and Improvements, Net</w:t>
            </w: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0" w:type="dxa"/>
            <w:vAlign w:val="bottom"/>
            <w:gridSpan w:val="5"/>
          </w:tcPr>
          <w:p>
            <w:pPr>
              <w:spacing w:after="0"/>
              <w:rPr>
                <w:sz w:val="20"/>
                <w:szCs w:val="20"/>
                <w:color w:val="auto"/>
              </w:rPr>
            </w:pPr>
            <w:r>
              <w:rPr>
                <w:rFonts w:ascii="Arial" w:cs="Arial" w:eastAsia="Arial" w:hAnsi="Arial"/>
                <w:sz w:val="18"/>
                <w:szCs w:val="18"/>
                <w:color w:val="auto"/>
              </w:rPr>
              <w:t>Major classes of property, equipment and improvements consisted of the following:</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5"/>
            <w:vMerge w:val="restart"/>
          </w:tcPr>
          <w:p>
            <w:pPr>
              <w:jc w:val="center"/>
              <w:ind w:right="50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24"/>
                <w:szCs w:val="24"/>
                <w:color w:val="auto"/>
              </w:rPr>
            </w:pPr>
          </w:p>
        </w:tc>
        <w:tc>
          <w:tcPr>
            <w:tcW w:w="1360" w:type="dxa"/>
            <w:vAlign w:val="bottom"/>
            <w:gridSpan w:val="4"/>
            <w:vMerge w:val="restart"/>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ind w:right="19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3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15,285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8,267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53,774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51,261</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2,177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5,590</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5,036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4,302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83,665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71,601</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(61,587)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(60,857)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0" w:type="dxa"/>
            <w:vAlign w:val="bottom"/>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improvements, net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22,078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10,744</w:t>
            </w:r>
          </w:p>
        </w:tc>
        <w:tc>
          <w:tcPr>
            <w:tcW w:w="10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80" w:type="dxa"/>
            <w:vAlign w:val="bottom"/>
            <w:gridSpan w:val="3"/>
          </w:tcPr>
          <w:p>
            <w:pPr>
              <w:spacing w:after="0"/>
              <w:rPr>
                <w:sz w:val="20"/>
                <w:szCs w:val="20"/>
                <w:color w:val="auto"/>
              </w:rPr>
            </w:pPr>
            <w:r>
              <w:rPr>
                <w:rFonts w:ascii="Arial" w:cs="Arial" w:eastAsia="Arial" w:hAnsi="Arial"/>
                <w:sz w:val="18"/>
                <w:szCs w:val="18"/>
                <w:color w:val="auto"/>
                <w:w w:val="90"/>
              </w:rPr>
              <w:t>Depreciation expense for property, equipment and improvements was as follows: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w w:val="93"/>
              </w:rPr>
              <w:t>Three-month period ended</w:t>
            </w: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8"/>
                <w:szCs w:val="18"/>
                <w:b w:val="1"/>
                <w:bCs w:val="1"/>
                <w:color w:val="auto"/>
              </w:rPr>
              <w:t>Six-month period ended</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6"/>
                <w:szCs w:val="16"/>
                <w:color w:val="auto"/>
              </w:rPr>
            </w:pPr>
          </w:p>
        </w:tc>
        <w:tc>
          <w:tcPr>
            <w:tcW w:w="960" w:type="dxa"/>
            <w:vAlign w:val="bottom"/>
            <w:gridSpan w:val="2"/>
          </w:tcPr>
          <w:p>
            <w:pPr>
              <w:jc w:val="right"/>
              <w:ind w:right="60"/>
              <w:spacing w:after="0" w:line="191" w:lineRule="exact"/>
              <w:rPr>
                <w:sz w:val="20"/>
                <w:szCs w:val="20"/>
                <w:color w:val="auto"/>
              </w:rPr>
            </w:pPr>
            <w:r>
              <w:rPr>
                <w:rFonts w:ascii="Arial" w:cs="Arial" w:eastAsia="Arial" w:hAnsi="Arial"/>
                <w:sz w:val="18"/>
                <w:szCs w:val="18"/>
                <w:b w:val="1"/>
                <w:bCs w:val="1"/>
                <w:color w:val="auto"/>
              </w:rPr>
              <w:t>July 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right"/>
              <w:ind w:right="10"/>
              <w:spacing w:after="0" w:line="191" w:lineRule="exact"/>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July 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w:t>
            </w:r>
          </w:p>
        </w:tc>
        <w:tc>
          <w:tcPr>
            <w:tcW w:w="7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496</w:t>
            </w:r>
          </w:p>
        </w:tc>
        <w:tc>
          <w:tcPr>
            <w:tcW w:w="78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962</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980</w:t>
            </w: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12</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53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activity by segment for the six-month periods ended June 30, 2019 and July 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Battery &amp;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Communi-</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cations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Products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20,458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2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Balance – July 1, 2018</w:t>
            </w: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2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2018</w:t>
            </w: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Acquisition of SWE</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6,474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Balance – June 30, 2019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15,081</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11,493</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26,574</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Intangible Assets, Net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0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color w:val="auto"/>
              </w:rPr>
              <w:t>The composition of other intangible assets was: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9"/>
              </w:rPr>
              <w:t>at June 30, 2019</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4,509</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4,789</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19,748</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9,816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9,932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0"/>
              </w:rPr>
              <w:t>at December 31, 2018</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4,392</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4,725</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16,109</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9,605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6,504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the carrying value of other intangible assets from December 31, 2018 to June 30, 2019 reflects the preliminary valuation of identifiable intangible assets acquired in the Company’s acquisition of SWE. The table below summarizes the estimated fair value, useful life and annual amortization for the identifiable intangible assets resulting from the preliminary valuation analysis. Amortization for the SWE intangible assets is recognized as selling, general and administrative expense.</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Annual</w:t>
            </w:r>
          </w:p>
        </w:tc>
      </w:tr>
      <w:tr>
        <w:trPr>
          <w:trHeight w:val="216"/>
        </w:trPr>
        <w:tc>
          <w:tcPr>
            <w:tcW w:w="5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left="170"/>
              <w:spacing w:after="0"/>
              <w:rPr>
                <w:sz w:val="20"/>
                <w:szCs w:val="20"/>
                <w:color w:val="auto"/>
              </w:rPr>
            </w:pPr>
            <w:r>
              <w:rPr>
                <w:rFonts w:ascii="Arial" w:cs="Arial" w:eastAsia="Arial" w:hAnsi="Arial"/>
                <w:sz w:val="18"/>
                <w:szCs w:val="18"/>
                <w:b w:val="1"/>
                <w:bCs w:val="1"/>
                <w:color w:val="auto"/>
                <w:w w:val="90"/>
              </w:rPr>
              <w:t>Estimated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5140" w:type="dxa"/>
            <w:vAlign w:val="bottom"/>
          </w:tcPr>
          <w:p>
            <w:pPr>
              <w:spacing w:after="0"/>
              <w:rPr>
                <w:sz w:val="18"/>
                <w:szCs w:val="18"/>
                <w:color w:val="auto"/>
              </w:rPr>
            </w:pPr>
          </w:p>
        </w:tc>
        <w:tc>
          <w:tcPr>
            <w:tcW w:w="1760" w:type="dxa"/>
            <w:vAlign w:val="bottom"/>
            <w:gridSpan w:val="3"/>
          </w:tcPr>
          <w:p>
            <w:pPr>
              <w:ind w:left="200"/>
              <w:spacing w:after="0"/>
              <w:rPr>
                <w:sz w:val="20"/>
                <w:szCs w:val="20"/>
                <w:color w:val="auto"/>
              </w:rPr>
            </w:pPr>
            <w:r>
              <w:rPr>
                <w:rFonts w:ascii="Arial" w:cs="Arial" w:eastAsia="Arial" w:hAnsi="Arial"/>
                <w:sz w:val="18"/>
                <w:szCs w:val="18"/>
                <w:b w:val="1"/>
                <w:bCs w:val="1"/>
                <w:color w:val="auto"/>
              </w:rPr>
              <w:t>Estimated Fair</w:t>
            </w:r>
          </w:p>
        </w:tc>
        <w:tc>
          <w:tcPr>
            <w:tcW w:w="1320" w:type="dxa"/>
            <w:vAlign w:val="bottom"/>
          </w:tcPr>
          <w:p>
            <w:pPr>
              <w:jc w:val="center"/>
              <w:ind w:left="170"/>
              <w:spacing w:after="0"/>
              <w:rPr>
                <w:sz w:val="20"/>
                <w:szCs w:val="20"/>
                <w:color w:val="auto"/>
              </w:rPr>
            </w:pPr>
            <w:r>
              <w:rPr>
                <w:rFonts w:ascii="Arial" w:cs="Arial" w:eastAsia="Arial" w:hAnsi="Arial"/>
                <w:sz w:val="18"/>
                <w:szCs w:val="18"/>
                <w:b w:val="1"/>
                <w:bCs w:val="1"/>
                <w:color w:val="auto"/>
                <w:w w:val="88"/>
              </w:rPr>
              <w:t>Useful Lives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Amortization</w:t>
            </w:r>
          </w:p>
        </w:tc>
      </w:tr>
      <w:tr>
        <w:trPr>
          <w:trHeight w:val="234"/>
        </w:trPr>
        <w:tc>
          <w:tcPr>
            <w:tcW w:w="51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Value</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88"/>
              </w:rPr>
              <w:t>in Years</w:t>
            </w:r>
          </w:p>
        </w:tc>
        <w:tc>
          <w:tcPr>
            <w:tcW w:w="2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Expense</w:t>
            </w:r>
          </w:p>
        </w:tc>
        <w:tc>
          <w:tcPr>
            <w:tcW w:w="100" w:type="dxa"/>
            <w:vAlign w:val="bottom"/>
          </w:tcPr>
          <w:p>
            <w:pPr>
              <w:spacing w:after="0"/>
              <w:rPr>
                <w:sz w:val="20"/>
                <w:szCs w:val="20"/>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2,522</w:t>
            </w:r>
          </w:p>
        </w:tc>
        <w:tc>
          <w:tcPr>
            <w:tcW w:w="1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Trade name</w:t>
            </w:r>
          </w:p>
        </w:tc>
        <w:tc>
          <w:tcPr>
            <w:tcW w:w="10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1,127</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0"/>
        </w:trPr>
        <w:tc>
          <w:tcPr>
            <w:tcW w:w="5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r>
      <w:tr>
        <w:trPr>
          <w:trHeight w:val="20"/>
        </w:trPr>
        <w:tc>
          <w:tcPr>
            <w:tcW w:w="5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remaining change in the carrying value of other intangible assets from December 31, 2018 to June 30, 2019 is the result of the effect of foreign currency translations.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Amortization expense for other intangible assets was as follows: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Three-month period ended</w:t>
            </w:r>
          </w:p>
        </w:tc>
        <w:tc>
          <w:tcPr>
            <w:tcW w:w="180" w:type="dxa"/>
            <w:vAlign w:val="bottom"/>
          </w:tcPr>
          <w:p>
            <w:pPr>
              <w:spacing w:after="0"/>
              <w:rPr>
                <w:sz w:val="24"/>
                <w:szCs w:val="24"/>
                <w:color w:val="auto"/>
              </w:rPr>
            </w:pPr>
          </w:p>
        </w:tc>
        <w:tc>
          <w:tcPr>
            <w:tcW w:w="242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6"/>
              </w:rPr>
              <w:t>Six-month period ended</w:t>
            </w:r>
          </w:p>
        </w:tc>
      </w:tr>
      <w:tr>
        <w:trPr>
          <w:trHeight w:val="191"/>
        </w:trPr>
        <w:tc>
          <w:tcPr>
            <w:tcW w:w="60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w w:val="99"/>
              </w:rPr>
              <w:t>June 30,</w:t>
            </w:r>
          </w:p>
        </w:tc>
        <w:tc>
          <w:tcPr>
            <w:tcW w:w="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rPr>
              <w:t>July 1,</w:t>
            </w: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8"/>
              </w:rPr>
              <w:t>June 30,</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rPr>
              <w:t>July 1,</w:t>
            </w:r>
          </w:p>
        </w:tc>
        <w:tc>
          <w:tcPr>
            <w:tcW w:w="100" w:type="dxa"/>
            <w:vAlign w:val="bottom"/>
          </w:tcPr>
          <w:p>
            <w:pPr>
              <w:spacing w:after="0"/>
              <w:rPr>
                <w:sz w:val="16"/>
                <w:szCs w:val="16"/>
                <w:color w:val="auto"/>
              </w:rPr>
            </w:pPr>
          </w:p>
        </w:tc>
      </w:tr>
      <w:tr>
        <w:trPr>
          <w:trHeight w:val="234"/>
        </w:trPr>
        <w:tc>
          <w:tcPr>
            <w:tcW w:w="6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Amortization included in: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r>
      <w:tr>
        <w:trPr>
          <w:trHeight w:val="20"/>
        </w:trPr>
        <w:tc>
          <w:tcPr>
            <w:tcW w:w="60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ind w:left="340"/>
              <w:spacing w:after="0"/>
              <w:rPr>
                <w:sz w:val="20"/>
                <w:szCs w:val="20"/>
                <w:color w:val="auto"/>
              </w:rPr>
            </w:pPr>
            <w:r>
              <w:rPr>
                <w:rFonts w:ascii="Arial" w:cs="Arial" w:eastAsia="Arial" w:hAnsi="Arial"/>
                <w:sz w:val="18"/>
                <w:szCs w:val="18"/>
                <w:color w:val="auto"/>
              </w:rPr>
              <w:t>Total amortization expense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132</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r>
      <w:tr>
        <w:trPr>
          <w:trHeight w:val="20"/>
        </w:trPr>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b w:val="1"/>
                <w:bCs w:val="1"/>
                <w:i w:val="1"/>
                <w:iCs w:val="1"/>
                <w:color w:val="auto"/>
              </w:rPr>
              <w:t>7.  STOCK-BASED COMPENSATION</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40" w:type="dxa"/>
            <w:vAlign w:val="bottom"/>
          </w:tcPr>
          <w:p>
            <w:pPr>
              <w:spacing w:after="0"/>
              <w:rPr>
                <w:sz w:val="20"/>
                <w:szCs w:val="20"/>
                <w:color w:val="auto"/>
              </w:rPr>
            </w:pPr>
            <w:r>
              <w:rPr>
                <w:rFonts w:ascii="Arial" w:cs="Arial" w:eastAsia="Arial" w:hAnsi="Arial"/>
                <w:sz w:val="18"/>
                <w:szCs w:val="18"/>
                <w:color w:val="auto"/>
                <w:w w:val="92"/>
              </w:rPr>
              <w:t>We recorded non-cash stock compensation expense in each period as follows: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Three-month period ended</w:t>
            </w:r>
          </w:p>
        </w:tc>
        <w:tc>
          <w:tcPr>
            <w:tcW w:w="180" w:type="dxa"/>
            <w:vAlign w:val="bottom"/>
          </w:tcPr>
          <w:p>
            <w:pPr>
              <w:spacing w:after="0"/>
              <w:rPr>
                <w:sz w:val="24"/>
                <w:szCs w:val="24"/>
                <w:color w:val="auto"/>
              </w:rPr>
            </w:pPr>
          </w:p>
        </w:tc>
        <w:tc>
          <w:tcPr>
            <w:tcW w:w="242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6"/>
              </w:rPr>
              <w:t>Six-month period ended</w:t>
            </w:r>
          </w:p>
        </w:tc>
      </w:tr>
      <w:tr>
        <w:trPr>
          <w:trHeight w:val="191"/>
        </w:trPr>
        <w:tc>
          <w:tcPr>
            <w:tcW w:w="5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100"/>
              <w:spacing w:after="0" w:line="191" w:lineRule="exact"/>
              <w:rPr>
                <w:sz w:val="20"/>
                <w:szCs w:val="20"/>
                <w:color w:val="auto"/>
              </w:rPr>
            </w:pPr>
            <w:r>
              <w:rPr>
                <w:rFonts w:ascii="Arial" w:cs="Arial" w:eastAsia="Arial" w:hAnsi="Arial"/>
                <w:sz w:val="18"/>
                <w:szCs w:val="18"/>
                <w:b w:val="1"/>
                <w:bCs w:val="1"/>
                <w:color w:val="auto"/>
              </w:rPr>
              <w:t>June 30,</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rPr>
              <w:t>July 1,</w:t>
            </w: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8"/>
              </w:rPr>
              <w:t>June 30,</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rPr>
              <w:t>July 1,</w:t>
            </w:r>
          </w:p>
        </w:tc>
        <w:tc>
          <w:tcPr>
            <w:tcW w:w="100" w:type="dxa"/>
            <w:vAlign w:val="bottom"/>
          </w:tcPr>
          <w:p>
            <w:pPr>
              <w:spacing w:after="0"/>
              <w:rPr>
                <w:sz w:val="16"/>
                <w:szCs w:val="16"/>
                <w:color w:val="auto"/>
              </w:rPr>
            </w:pPr>
          </w:p>
        </w:tc>
      </w:tr>
      <w:tr>
        <w:trPr>
          <w:trHeight w:val="234"/>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Restricted stock grants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0"/>
        </w:trPr>
        <w:tc>
          <w:tcPr>
            <w:tcW w:w="5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stock options outstanding from various stock-based employee compensation plans for which we record compensation cost relating to share-based payment transactions in our financial statements. As of June 30, 2019, there was $284 of total unrecognized compensation cost related to outstanding stock options, which is expected to be recognized over a weighted average period of 1.1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the six-month period ended June 30, 2019:</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3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Exercise</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3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Term (years)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1,576,087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(104,587)</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Forfeited or expired</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(6,916)</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4.59</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2019</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1,464,584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2,917</w:t>
            </w:r>
          </w:p>
        </w:tc>
      </w:tr>
      <w:tr>
        <w:trPr>
          <w:trHeight w:val="20"/>
        </w:trPr>
        <w:tc>
          <w:tcPr>
            <w:tcW w:w="53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320" w:type="dxa"/>
            <w:vAlign w:val="bottom"/>
          </w:tcPr>
          <w:p>
            <w:pPr>
              <w:spacing w:after="0" w:line="196" w:lineRule="exact"/>
              <w:rPr>
                <w:sz w:val="20"/>
                <w:szCs w:val="20"/>
                <w:color w:val="auto"/>
              </w:rPr>
            </w:pPr>
            <w:r>
              <w:rPr>
                <w:rFonts w:ascii="Arial" w:cs="Arial" w:eastAsia="Arial" w:hAnsi="Arial"/>
                <w:sz w:val="18"/>
                <w:szCs w:val="18"/>
                <w:color w:val="auto"/>
              </w:rPr>
              <w:t>Vested and expected to vest at June 30, 2019</w:t>
            </w:r>
          </w:p>
        </w:tc>
        <w:tc>
          <w:tcPr>
            <w:tcW w:w="14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1,409,866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6.69</w:t>
            </w:r>
          </w:p>
        </w:tc>
        <w:tc>
          <w:tcPr>
            <w:tcW w:w="14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2.94</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2,860</w:t>
            </w:r>
          </w:p>
        </w:tc>
      </w:tr>
      <w:tr>
        <w:trPr>
          <w:trHeight w:val="20"/>
        </w:trPr>
        <w:tc>
          <w:tcPr>
            <w:tcW w:w="53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at June 30, 2019</w:t>
            </w:r>
          </w:p>
        </w:tc>
        <w:tc>
          <w:tcPr>
            <w:tcW w:w="14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1,189,793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6.13</w:t>
            </w:r>
          </w:p>
        </w:tc>
        <w:tc>
          <w:tcPr>
            <w:tcW w:w="14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2.65</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2,704</w:t>
            </w:r>
          </w:p>
        </w:tc>
      </w:tr>
      <w:tr>
        <w:trPr>
          <w:trHeight w:val="20"/>
        </w:trPr>
        <w:tc>
          <w:tcPr>
            <w:tcW w:w="53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received from stock option exercises under our stock-based compensation plans for the three-month periods ended June 30, 2019 and July 1, 2018 was $122 and $354, respectively. Cash received from stock option exercises under our stock-based compensation plans for the six-month periods ended June 30, 2019 and July 1, 2018 was $478 and $1,293, respectively.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2019, 20,000 shares of restricted stock were awarded to certain of our employees at a weighted-average grant date fair value of $11.12 per share. In January 2018, 17,500 shares of restricted stock were awarded to certain of our employees at a weighted-average grant date fair value of $7.16 per share. All outstanding restricted shares vest in equal annual installments over three years. Unrecognized compensation cost related to these restricted shares was $230 at June 30,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spacing w:after="0"/>
        <w:tabs>
          <w:tab w:leader="none" w:pos="300" w:val="left"/>
        </w:tabs>
        <w:rPr>
          <w:sz w:val="20"/>
          <w:szCs w:val="20"/>
          <w:color w:val="auto"/>
        </w:rPr>
      </w:pPr>
      <w:r>
        <w:rPr>
          <w:rFonts w:ascii="Arial" w:cs="Arial" w:eastAsia="Arial" w:hAnsi="Arial"/>
          <w:sz w:val="18"/>
          <w:szCs w:val="18"/>
          <w:b w:val="1"/>
          <w:bCs w:val="1"/>
          <w:i w:val="1"/>
          <w:iCs w:val="1"/>
          <w:color w:val="auto"/>
        </w:rPr>
        <w:t>8.</w:t>
        <w:tab/>
        <w:t>INCOME TAXES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effective tax rate for the six-month periods ended June 30, 2019 and July 1, 2018 was 20.8% and 3.4%, respectively. The increase in our effective tax rate for the current period compared to the prior period was primarily due to the reversal of the valuation allowance on our U.S. deferred tax assets as of December 31, 2018.</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effective tax rate for the six months ended June 30, 2019 was lower than the U.S. federal statutory rate primarily due to tax benefits relating to the exercise of stock options during the period.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we have domestic net operating loss (“NOL”) carryforwards of $63,388, which expire 2019 thru 2035, and domestic tax credits of $1,817, which expire 2028 thru 2037, available to reduce future taxable income. Management has concluded it is more likely than not that these domestic NOL and credit carryforwards will be fully utilized.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2019, for certain past operations in the U.K., we continue to report a valuation allowance for NOL carryforwards of approximately $10,000, nearly all of which can be carried forward indefinitely. Utilization of the net operating losses may be limited due to the change in the past U.K. operation and cannot currently be used to reduce taxable income at our other U.K. subsidiary, Accutronics Ltd.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2019, we have not recognized a valuation allowance against our other foreign deferred tax assets, as realization is considered to be more likely than not.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the Company maintains its assertion that all foreign earnings will be indefinitely reinvested in those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unrecognized tax benefits related to uncertain tax positions at June 30, 2019 and December 31, 2018.</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our operations, we file income tax returns in various jurisdictions including U.S. federal, U.S. state and foreign jurisdictions. We are routinely subject to examination by taxing authorities in these various jurisdictions. Our U.S. tax matters for the years 2000 through 2018 remain subject to examination by the Internal Revenue Service (“IRS”) due to our net operating loss carryforwards. Our U.S. tax matters for the years 2000 through 2018 remain subject to examination by various state and local tax jurisdictions due to our net operating loss carryforwards. Our tax matters for the years 2010 through 2018 remain subject to examination by the respective foreign tax jurisdiction authorities.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9.</w:t>
        <w:tab/>
        <w:t>OPERATING LEASES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has operating leases predominantly for operating facilities. As of June 30, 2019, the remaining lease terms on our operating leases range from less than one year to approximately 3 years. Renewal options to extend our leases have been exercised. Termination options are not reasonably certain of exercise by the Company. There is no transfer of title or option to purchase the leased assets upon expiration. There are no residual value guarantees or material restrictive covenants.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current and prior-year comparative periods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280" w:type="dxa"/>
            <w:vAlign w:val="bottom"/>
            <w:gridSpan w:val="4"/>
          </w:tcPr>
          <w:p>
            <w:pPr>
              <w:jc w:val="right"/>
              <w:ind w:right="97"/>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5"/>
          </w:tcPr>
          <w:p>
            <w:pPr>
              <w:ind w:left="420"/>
              <w:spacing w:after="0"/>
              <w:rPr>
                <w:sz w:val="20"/>
                <w:szCs w:val="20"/>
                <w:color w:val="auto"/>
              </w:rPr>
            </w:pPr>
            <w:r>
              <w:rPr>
                <w:rFonts w:ascii="Arial" w:cs="Arial" w:eastAsia="Arial" w:hAnsi="Arial"/>
                <w:sz w:val="18"/>
                <w:szCs w:val="18"/>
                <w:b w:val="1"/>
                <w:bCs w:val="1"/>
                <w:color w:val="auto"/>
              </w:rPr>
              <w:t>Six Months Ended</w:t>
            </w:r>
          </w:p>
        </w:tc>
        <w:tc>
          <w:tcPr>
            <w:tcW w:w="300" w:type="dxa"/>
            <w:vAlign w:val="bottom"/>
          </w:tcPr>
          <w:p>
            <w:pPr>
              <w:spacing w:after="0"/>
              <w:rPr>
                <w:sz w:val="20"/>
                <w:szCs w:val="20"/>
                <w:color w:val="auto"/>
              </w:rPr>
            </w:pPr>
          </w:p>
        </w:tc>
      </w:tr>
      <w:tr>
        <w:trPr>
          <w:trHeight w:val="191"/>
        </w:trPr>
        <w:tc>
          <w:tcPr>
            <w:tcW w:w="30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920" w:type="dxa"/>
            <w:vAlign w:val="bottom"/>
            <w:tcBorders>
              <w:top w:val="single" w:sz="8" w:color="auto"/>
            </w:tcBorders>
          </w:tcPr>
          <w:p>
            <w:pPr>
              <w:jc w:val="center"/>
              <w:ind w:left="150"/>
              <w:spacing w:after="0" w:line="191" w:lineRule="exact"/>
              <w:rPr>
                <w:sz w:val="20"/>
                <w:szCs w:val="20"/>
                <w:color w:val="auto"/>
              </w:rPr>
            </w:pPr>
            <w:r>
              <w:rPr>
                <w:rFonts w:ascii="Arial" w:cs="Arial" w:eastAsia="Arial" w:hAnsi="Arial"/>
                <w:sz w:val="18"/>
                <w:szCs w:val="18"/>
                <w:b w:val="1"/>
                <w:bCs w:val="1"/>
                <w:color w:val="auto"/>
                <w:w w:val="88"/>
              </w:rPr>
              <w:t>June 30,</w:t>
            </w:r>
          </w:p>
        </w:tc>
        <w:tc>
          <w:tcPr>
            <w:tcW w:w="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July 1,</w:t>
            </w:r>
          </w:p>
        </w:tc>
        <w:tc>
          <w:tcPr>
            <w:tcW w:w="3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100"/>
              <w:spacing w:after="0" w:line="191" w:lineRule="exact"/>
              <w:rPr>
                <w:sz w:val="20"/>
                <w:szCs w:val="20"/>
                <w:color w:val="auto"/>
              </w:rPr>
            </w:pPr>
            <w:r>
              <w:rPr>
                <w:rFonts w:ascii="Arial" w:cs="Arial" w:eastAsia="Arial" w:hAnsi="Arial"/>
                <w:sz w:val="18"/>
                <w:szCs w:val="18"/>
                <w:b w:val="1"/>
                <w:bCs w:val="1"/>
                <w:color w:val="auto"/>
              </w:rPr>
              <w:t>June 30,</w:t>
            </w: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rPr>
              <w:t>July 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34"/>
        </w:trPr>
        <w:tc>
          <w:tcPr>
            <w:tcW w:w="300" w:type="dxa"/>
            <w:vAlign w:val="bottom"/>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145</w:t>
            </w:r>
          </w:p>
        </w:tc>
        <w:tc>
          <w:tcPr>
            <w:tcW w:w="880" w:type="dxa"/>
            <w:vAlign w:val="bottom"/>
            <w:shd w:val="clear" w:color="auto" w:fill="CCEEFF"/>
          </w:tcPr>
          <w:p>
            <w:pPr>
              <w:jc w:val="right"/>
              <w:ind w:right="717"/>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3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Variable lease cost</w:t>
            </w: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21</w:t>
            </w: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50"/>
        </w:trPr>
        <w:tc>
          <w:tcPr>
            <w:tcW w:w="300" w:type="dxa"/>
            <w:vAlign w:val="bottom"/>
          </w:tcPr>
          <w:p>
            <w:pPr>
              <w:spacing w:after="0"/>
              <w:rPr>
                <w:sz w:val="21"/>
                <w:szCs w:val="21"/>
                <w:color w:val="auto"/>
              </w:rPr>
            </w:pPr>
          </w:p>
        </w:tc>
        <w:tc>
          <w:tcPr>
            <w:tcW w:w="5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lease cost</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166</w:t>
            </w:r>
          </w:p>
        </w:tc>
        <w:tc>
          <w:tcPr>
            <w:tcW w:w="880" w:type="dxa"/>
            <w:vAlign w:val="bottom"/>
            <w:shd w:val="clear" w:color="auto" w:fill="CCEEFF"/>
          </w:tcPr>
          <w:p>
            <w:pPr>
              <w:jc w:val="right"/>
              <w:ind w:right="717"/>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300" w:type="dxa"/>
            <w:vAlign w:val="bottom"/>
          </w:tcPr>
          <w:p>
            <w:pPr>
              <w:spacing w:after="0"/>
              <w:rPr>
                <w:sz w:val="21"/>
                <w:szCs w:val="21"/>
                <w:color w:val="auto"/>
              </w:rPr>
            </w:pPr>
          </w:p>
        </w:tc>
      </w:tr>
      <w:tr>
        <w:trPr>
          <w:trHeight w:val="413"/>
        </w:trPr>
        <w:tc>
          <w:tcPr>
            <w:tcW w:w="300" w:type="dxa"/>
            <w:vAlign w:val="bottom"/>
          </w:tcPr>
          <w:p>
            <w:pPr>
              <w:spacing w:after="0"/>
              <w:rPr>
                <w:sz w:val="24"/>
                <w:szCs w:val="24"/>
                <w:color w:val="auto"/>
              </w:rPr>
            </w:pPr>
          </w:p>
        </w:tc>
        <w:tc>
          <w:tcPr>
            <w:tcW w:w="532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15</w:t>
            </w: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Pr>
          <w:p>
            <w:pPr>
              <w:spacing w:after="0"/>
              <w:rPr>
                <w:sz w:val="24"/>
                <w:szCs w:val="24"/>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53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827"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80" w:type="dxa"/>
            <w:vAlign w:val="bottom"/>
            <w:gridSpan w:val="5"/>
          </w:tcPr>
          <w:p>
            <w:pPr>
              <w:ind w:left="64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30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8"/>
              </w:rPr>
              <w:t>June 30,</w:t>
            </w:r>
          </w:p>
        </w:tc>
        <w:tc>
          <w:tcPr>
            <w:tcW w:w="3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410"/>
              <w:spacing w:after="0" w:line="191" w:lineRule="exact"/>
              <w:rPr>
                <w:sz w:val="20"/>
                <w:szCs w:val="20"/>
                <w:color w:val="auto"/>
              </w:rPr>
            </w:pPr>
            <w:r>
              <w:rPr>
                <w:rFonts w:ascii="Arial" w:cs="Arial" w:eastAsia="Arial" w:hAnsi="Arial"/>
                <w:sz w:val="18"/>
                <w:szCs w:val="18"/>
                <w:b w:val="1"/>
                <w:bCs w:val="1"/>
                <w:color w:val="auto"/>
              </w:rPr>
              <w:t>July 1,</w:t>
            </w:r>
          </w:p>
        </w:tc>
        <w:tc>
          <w:tcPr>
            <w:tcW w:w="100" w:type="dxa"/>
            <w:vAlign w:val="bottom"/>
          </w:tcPr>
          <w:p>
            <w:pPr>
              <w:spacing w:after="0"/>
              <w:rPr>
                <w:sz w:val="16"/>
                <w:szCs w:val="16"/>
                <w:color w:val="auto"/>
              </w:rPr>
            </w:pPr>
          </w:p>
        </w:tc>
      </w:tr>
      <w:tr>
        <w:trPr>
          <w:trHeight w:val="234"/>
        </w:trPr>
        <w:tc>
          <w:tcPr>
            <w:tcW w:w="30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4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Operating cash flows from operating leases</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283</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7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liabilities:</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960" w:type="dxa"/>
            <w:vAlign w:val="bottom"/>
            <w:gridSpan w:val="2"/>
          </w:tcPr>
          <w:p>
            <w:pPr>
              <w:ind w:left="200"/>
              <w:spacing w:after="0"/>
              <w:rPr>
                <w:sz w:val="20"/>
                <w:szCs w:val="20"/>
                <w:color w:val="auto"/>
              </w:rPr>
            </w:pPr>
            <w:r>
              <w:rPr>
                <w:rFonts w:ascii="Arial" w:cs="Arial" w:eastAsia="Arial" w:hAnsi="Arial"/>
                <w:sz w:val="18"/>
                <w:szCs w:val="18"/>
                <w:b w:val="1"/>
                <w:bCs w:val="1"/>
                <w:color w:val="auto"/>
              </w:rPr>
              <w:t>Balance Sheet Classification</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tcPr>
          <w:p>
            <w:pPr>
              <w:ind w:left="40"/>
              <w:spacing w:after="0"/>
              <w:rPr>
                <w:sz w:val="20"/>
                <w:szCs w:val="20"/>
                <w:color w:val="auto"/>
              </w:rPr>
            </w:pPr>
            <w:r>
              <w:rPr>
                <w:rFonts w:ascii="Arial" w:cs="Arial" w:eastAsia="Arial" w:hAnsi="Arial"/>
                <w:sz w:val="18"/>
                <w:szCs w:val="18"/>
                <w:color w:val="auto"/>
              </w:rPr>
              <w:t>Operating lease right-of-use asset</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Other noncurrent assets</w:t>
            </w:r>
          </w:p>
        </w:tc>
        <w:tc>
          <w:tcPr>
            <w:tcW w:w="126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720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18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operating lease liability</w:t>
            </w: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26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tcPr>
          <w:p>
            <w:pPr>
              <w:ind w:left="40"/>
              <w:spacing w:after="0"/>
              <w:rPr>
                <w:sz w:val="20"/>
                <w:szCs w:val="20"/>
                <w:color w:val="auto"/>
              </w:rPr>
            </w:pPr>
            <w:r>
              <w:rPr>
                <w:rFonts w:ascii="Arial" w:cs="Arial" w:eastAsia="Arial" w:hAnsi="Arial"/>
                <w:sz w:val="18"/>
                <w:szCs w:val="18"/>
                <w:color w:val="auto"/>
                <w:w w:val="97"/>
              </w:rPr>
              <w:t>Operating lease liability, net of current portion</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344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4"/>
          </w:tcPr>
          <w:p>
            <w:pPr>
              <w:jc w:val="right"/>
              <w:ind w:right="18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lease liability</w:t>
            </w:r>
          </w:p>
        </w:tc>
        <w:tc>
          <w:tcPr>
            <w:tcW w:w="2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2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2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32"/>
        </w:trPr>
        <w:tc>
          <w:tcPr>
            <w:tcW w:w="7840" w:type="dxa"/>
            <w:vAlign w:val="bottom"/>
            <w:gridSpan w:val="5"/>
          </w:tcPr>
          <w:p>
            <w:pPr>
              <w:spacing w:after="0"/>
              <w:rPr>
                <w:sz w:val="20"/>
                <w:szCs w:val="20"/>
                <w:color w:val="auto"/>
              </w:rPr>
            </w:pPr>
            <w:r>
              <w:rPr>
                <w:rFonts w:ascii="Arial" w:cs="Arial" w:eastAsia="Arial" w:hAnsi="Arial"/>
                <w:sz w:val="18"/>
                <w:szCs w:val="18"/>
                <w:color w:val="auto"/>
              </w:rPr>
              <w:t>Future minimum lease payments as of June 30, 2019 are as follows: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Maturity of Operating Lease Liabilities</w:t>
            </w:r>
          </w:p>
        </w:tc>
        <w:tc>
          <w:tcPr>
            <w:tcW w:w="2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0" w:type="dxa"/>
            <w:vAlign w:val="bottom"/>
            <w:gridSpan w:val="2"/>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gridSpan w:val="2"/>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gridSpan w:val="2"/>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gridSpan w:val="2"/>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gridSpan w:val="2"/>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Present value of remaining lease payments</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37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July 2019, the Company entered into an agreement effective July 8, 2019 to extend the operating lease term of its Shenzhen facility. Future minimum lease payments of approximately $1,650 are required to be made over the five-year term of the lease. There is no contractual renewal option. There is no transfer of title or option to purchase the facility upon expiration. There are no residual value guarantees or material restrictive covenants.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10.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Purchase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we have made commitments to purchase approximately $1,418 of production machinery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Product Warranties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estimate future warranty costs to be incurred for product failure rates, material usage and service costs in the development of our warranty obligations. Estimated future costs are based on actual past experience and are generally estimated as a percentage of sales over the warranty period. Changes in our product warranty liability during the first six months of 2019 and 2018 were as follows:</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28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Six-Month Period Ended</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7480" w:type="dxa"/>
            <w:vAlign w:val="bottom"/>
          </w:tcPr>
          <w:p>
            <w:pPr>
              <w:spacing w:after="0"/>
              <w:rPr>
                <w:sz w:val="16"/>
                <w:szCs w:val="16"/>
                <w:color w:val="auto"/>
              </w:rPr>
            </w:pPr>
          </w:p>
        </w:tc>
        <w:tc>
          <w:tcPr>
            <w:tcW w:w="11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rPr>
              <w:t>July 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7480" w:type="dxa"/>
            <w:vAlign w:val="bottom"/>
          </w:tcPr>
          <w:p>
            <w:pPr>
              <w:spacing w:after="0"/>
              <w:rPr>
                <w:sz w:val="20"/>
                <w:szCs w:val="20"/>
                <w:color w:val="auto"/>
              </w:rPr>
            </w:pPr>
          </w:p>
        </w:tc>
        <w:tc>
          <w:tcPr>
            <w:tcW w:w="11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obligations – beginning</w:t>
            </w:r>
          </w:p>
        </w:tc>
        <w:tc>
          <w:tcPr>
            <w:tcW w:w="1160" w:type="dxa"/>
            <w:vAlign w:val="bottom"/>
            <w:shd w:val="clear" w:color="auto" w:fill="CCEEFF"/>
          </w:tcPr>
          <w:p>
            <w:pPr>
              <w:jc w:val="right"/>
              <w:ind w:right="99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Assumed warranty obligations – SWE</w:t>
            </w:r>
          </w:p>
        </w:tc>
        <w:tc>
          <w:tcPr>
            <w:tcW w:w="11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11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Accruals for warranties issued</w:t>
            </w:r>
          </w:p>
        </w:tc>
        <w:tc>
          <w:tcPr>
            <w:tcW w:w="1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Settlements made</w:t>
            </w:r>
          </w:p>
        </w:tc>
        <w:tc>
          <w:tcPr>
            <w:tcW w:w="11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14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0"/>
        </w:trPr>
        <w:tc>
          <w:tcPr>
            <w:tcW w:w="74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obligations – ending</w:t>
            </w:r>
          </w:p>
        </w:tc>
        <w:tc>
          <w:tcPr>
            <w:tcW w:w="1160" w:type="dxa"/>
            <w:vAlign w:val="bottom"/>
            <w:shd w:val="clear" w:color="auto" w:fill="CCEEFF"/>
          </w:tcPr>
          <w:p>
            <w:pPr>
              <w:jc w:val="right"/>
              <w:ind w:right="99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r>
      <w:tr>
        <w:trPr>
          <w:trHeight w:val="20"/>
        </w:trPr>
        <w:tc>
          <w:tcPr>
            <w:tcW w:w="74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 Contingencies and Legal Matters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legal proceedings and claims that arise from time to time in the normal course of business. We believe that the final disposition of any such matters will not have a material adverse effect on the Company’s financial position, results of operations or cash flows. However, recognizing that legal matters are subject to inherent uncertainties, and there exists the possibility that ultimate resolution of these matters could have a material adverse impact on the Company’s financial position and results of operations in the period in which any such effects are recorded. We are not aware of any such situations at this time.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BUSINESS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includes: lithium 9-volt, cylindrical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The components of segment performance were as follows: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32"/>
        </w:trPr>
        <w:tc>
          <w:tcPr>
            <w:tcW w:w="5320" w:type="dxa"/>
            <w:vAlign w:val="bottom"/>
          </w:tcPr>
          <w:p>
            <w:pPr>
              <w:spacing w:after="0"/>
              <w:rPr>
                <w:sz w:val="20"/>
                <w:szCs w:val="20"/>
                <w:color w:val="auto"/>
              </w:rPr>
            </w:pPr>
            <w:r>
              <w:rPr>
                <w:rFonts w:ascii="Arial" w:cs="Arial" w:eastAsia="Arial" w:hAnsi="Arial"/>
                <w:sz w:val="18"/>
                <w:szCs w:val="18"/>
                <w:b w:val="1"/>
                <w:bCs w:val="1"/>
                <w:color w:val="auto"/>
              </w:rPr>
              <w:t>Three-Month Period Ended June 30, 2019:</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14"/>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Communi-</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cations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Products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Corporate</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9,097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29,397</w:t>
            </w:r>
          </w:p>
        </w:tc>
        <w:tc>
          <w:tcPr>
            <w:tcW w:w="58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3,210</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(5,823)</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3,042</w:t>
            </w:r>
          </w:p>
        </w:tc>
        <w:tc>
          <w:tcPr>
            <w:tcW w:w="58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58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(676)</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(676)</w:t>
            </w:r>
          </w:p>
        </w:tc>
        <w:tc>
          <w:tcPr>
            <w:tcW w:w="58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18"/>
                <w:szCs w:val="18"/>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2,256</w:t>
            </w:r>
          </w:p>
        </w:tc>
        <w:tc>
          <w:tcPr>
            <w:tcW w:w="580" w:type="dxa"/>
            <w:vAlign w:val="bottom"/>
          </w:tcPr>
          <w:p>
            <w:pPr>
              <w:spacing w:after="0"/>
              <w:rPr>
                <w:sz w:val="20"/>
                <w:szCs w:val="20"/>
                <w:color w:val="auto"/>
              </w:rPr>
            </w:pPr>
          </w:p>
        </w:tc>
      </w:tr>
      <w:tr>
        <w:trPr>
          <w:trHeight w:val="418"/>
        </w:trPr>
        <w:tc>
          <w:tcPr>
            <w:tcW w:w="5320" w:type="dxa"/>
            <w:vAlign w:val="bottom"/>
          </w:tcPr>
          <w:p>
            <w:pPr>
              <w:spacing w:after="0"/>
              <w:rPr>
                <w:sz w:val="20"/>
                <w:szCs w:val="20"/>
                <w:color w:val="auto"/>
              </w:rPr>
            </w:pPr>
            <w:r>
              <w:rPr>
                <w:rFonts w:ascii="Arial" w:cs="Arial" w:eastAsia="Arial" w:hAnsi="Arial"/>
                <w:sz w:val="18"/>
                <w:szCs w:val="18"/>
                <w:b w:val="1"/>
                <w:bCs w:val="1"/>
                <w:color w:val="auto"/>
              </w:rPr>
              <w:t>Three-Month Period Ended July 1, 2018:</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14"/>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Communi-</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cations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Products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Corporate</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22,864</w:t>
            </w:r>
          </w:p>
        </w:tc>
        <w:tc>
          <w:tcPr>
            <w:tcW w:w="58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1,624</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(4,918)</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1,632</w:t>
            </w:r>
          </w:p>
        </w:tc>
        <w:tc>
          <w:tcPr>
            <w:tcW w:w="58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58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58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8"/>
                <w:szCs w:val="18"/>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1,627</w:t>
            </w:r>
          </w:p>
        </w:tc>
        <w:tc>
          <w:tcPr>
            <w:tcW w:w="580" w:type="dxa"/>
            <w:vAlign w:val="bottom"/>
          </w:tcPr>
          <w:p>
            <w:pPr>
              <w:spacing w:after="0"/>
              <w:rPr>
                <w:sz w:val="20"/>
                <w:szCs w:val="20"/>
                <w:color w:val="auto"/>
              </w:rPr>
            </w:pPr>
          </w:p>
        </w:tc>
      </w:tr>
      <w:tr>
        <w:trPr>
          <w:trHeight w:val="418"/>
        </w:trPr>
        <w:tc>
          <w:tcPr>
            <w:tcW w:w="5320" w:type="dxa"/>
            <w:vAlign w:val="bottom"/>
          </w:tcPr>
          <w:p>
            <w:pPr>
              <w:spacing w:after="0"/>
              <w:rPr>
                <w:sz w:val="20"/>
                <w:szCs w:val="20"/>
                <w:color w:val="auto"/>
              </w:rPr>
            </w:pPr>
            <w:r>
              <w:rPr>
                <w:rFonts w:ascii="Arial" w:cs="Arial" w:eastAsia="Arial" w:hAnsi="Arial"/>
                <w:sz w:val="18"/>
                <w:szCs w:val="18"/>
                <w:b w:val="1"/>
                <w:bCs w:val="1"/>
                <w:color w:val="auto"/>
              </w:rPr>
              <w:t>Six-Month Period Ended June 30, 2019:</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14"/>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Communi-</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cations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Products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Corporate</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36,298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11,981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48,279</w:t>
            </w:r>
          </w:p>
        </w:tc>
        <w:tc>
          <w:tcPr>
            <w:tcW w:w="58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3,884</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(10,359)</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3,590</w:t>
            </w:r>
          </w:p>
        </w:tc>
        <w:tc>
          <w:tcPr>
            <w:tcW w:w="58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58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(717)</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(717)</w:t>
            </w:r>
          </w:p>
        </w:tc>
        <w:tc>
          <w:tcPr>
            <w:tcW w:w="58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18"/>
                <w:szCs w:val="18"/>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2,681</w:t>
            </w:r>
          </w:p>
        </w:tc>
        <w:tc>
          <w:tcPr>
            <w:tcW w:w="580" w:type="dxa"/>
            <w:vAlign w:val="bottom"/>
          </w:tcPr>
          <w:p>
            <w:pPr>
              <w:spacing w:after="0"/>
              <w:rPr>
                <w:sz w:val="20"/>
                <w:szCs w:val="20"/>
                <w:color w:val="auto"/>
              </w:rPr>
            </w:pPr>
          </w:p>
        </w:tc>
      </w:tr>
      <w:tr>
        <w:trPr>
          <w:trHeight w:val="418"/>
        </w:trPr>
        <w:tc>
          <w:tcPr>
            <w:tcW w:w="5320" w:type="dxa"/>
            <w:vAlign w:val="bottom"/>
          </w:tcPr>
          <w:p>
            <w:pPr>
              <w:spacing w:after="0"/>
              <w:rPr>
                <w:sz w:val="20"/>
                <w:szCs w:val="20"/>
                <w:color w:val="auto"/>
              </w:rPr>
            </w:pPr>
            <w:r>
              <w:rPr>
                <w:rFonts w:ascii="Arial" w:cs="Arial" w:eastAsia="Arial" w:hAnsi="Arial"/>
                <w:sz w:val="18"/>
                <w:szCs w:val="18"/>
                <w:b w:val="1"/>
                <w:bCs w:val="1"/>
                <w:color w:val="auto"/>
              </w:rPr>
              <w:t>Six-Month Period Ended July 1, 2018:</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14"/>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Communi-</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cations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Products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Corporate</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35,055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10,878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45,933</w:t>
            </w:r>
          </w:p>
        </w:tc>
        <w:tc>
          <w:tcPr>
            <w:tcW w:w="58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9,962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3,870</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(9,844)</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3,988</w:t>
            </w:r>
          </w:p>
        </w:tc>
        <w:tc>
          <w:tcPr>
            <w:tcW w:w="58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58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58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18"/>
                <w:szCs w:val="18"/>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3,777</w:t>
            </w:r>
          </w:p>
        </w:tc>
        <w:tc>
          <w:tcPr>
            <w:tcW w:w="580" w:type="dxa"/>
            <w:vAlign w:val="bottom"/>
          </w:tcPr>
          <w:p>
            <w:pPr>
              <w:spacing w:after="0"/>
              <w:rPr>
                <w:sz w:val="20"/>
                <w:szCs w:val="20"/>
                <w:color w:val="auto"/>
              </w:rPr>
            </w:pPr>
          </w:p>
        </w:tc>
      </w:tr>
      <w:tr>
        <w:trPr>
          <w:trHeight w:val="418"/>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6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following tables disaggregate our business segment revenues by major source and geography.</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760" w:type="dxa"/>
            <w:vAlign w:val="bottom"/>
            <w:gridSpan w:val="5"/>
          </w:tcPr>
          <w:p>
            <w:pPr>
              <w:spacing w:after="0"/>
              <w:rPr>
                <w:sz w:val="20"/>
                <w:szCs w:val="20"/>
                <w:color w:val="auto"/>
              </w:rPr>
            </w:pPr>
            <w:r>
              <w:rPr>
                <w:rFonts w:ascii="Arial" w:cs="Arial" w:eastAsia="Arial" w:hAnsi="Arial"/>
                <w:sz w:val="18"/>
                <w:szCs w:val="18"/>
                <w:color w:val="auto"/>
                <w:w w:val="97"/>
              </w:rPr>
              <w:t>Commercial and Government/Defense Revenue Information:</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64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Government/</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Three-Month Period Ended June 30, 2019:</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5"/>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3"/>
              </w:rPr>
              <w:t>Commercial</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6"/>
              </w:rPr>
              <w:t>Defense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64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20,300</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15,049</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Communications Systems</w:t>
            </w: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41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8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29,397</w:t>
            </w:r>
          </w:p>
        </w:tc>
        <w:tc>
          <w:tcPr>
            <w:tcW w:w="1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15,049</w:t>
            </w:r>
          </w:p>
        </w:tc>
        <w:tc>
          <w:tcPr>
            <w:tcW w:w="280" w:type="dxa"/>
            <w:vAlign w:val="bottom"/>
            <w:tcBorders>
              <w:left w:val="single" w:sz="8" w:color="CCEEFF"/>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14,348</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51%</w:t>
            </w:r>
          </w:p>
        </w:tc>
        <w:tc>
          <w:tcPr>
            <w:tcW w:w="1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49%</w:t>
            </w:r>
          </w:p>
        </w:tc>
        <w:tc>
          <w:tcPr>
            <w:tcW w:w="0" w:type="dxa"/>
            <w:vAlign w:val="bottom"/>
          </w:tcPr>
          <w:p>
            <w:pPr>
              <w:spacing w:after="0"/>
              <w:rPr>
                <w:sz w:val="1"/>
                <w:szCs w:val="1"/>
                <w:color w:val="auto"/>
              </w:rPr>
            </w:pPr>
          </w:p>
        </w:tc>
      </w:tr>
      <w:tr>
        <w:trPr>
          <w:trHeight w:val="404"/>
        </w:trPr>
        <w:tc>
          <w:tcPr>
            <w:tcW w:w="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Government/</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Three-Month Period Ended July 1, 2018:</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5"/>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3"/>
              </w:rPr>
              <w:t>Commercial</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6"/>
              </w:rPr>
              <w:t>Defense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64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17,831</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10,254</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Communications Systems</w:t>
            </w: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41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8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22,864</w:t>
            </w:r>
          </w:p>
        </w:tc>
        <w:tc>
          <w:tcPr>
            <w:tcW w:w="1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10,254</w:t>
            </w:r>
          </w:p>
        </w:tc>
        <w:tc>
          <w:tcPr>
            <w:tcW w:w="280" w:type="dxa"/>
            <w:vAlign w:val="bottom"/>
            <w:tcBorders>
              <w:left w:val="single" w:sz="8" w:color="CCEEFF"/>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12,610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45%</w:t>
            </w:r>
          </w:p>
        </w:tc>
        <w:tc>
          <w:tcPr>
            <w:tcW w:w="1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55%</w:t>
            </w:r>
          </w:p>
        </w:tc>
        <w:tc>
          <w:tcPr>
            <w:tcW w:w="0" w:type="dxa"/>
            <w:vAlign w:val="bottom"/>
          </w:tcPr>
          <w:p>
            <w:pPr>
              <w:spacing w:after="0"/>
              <w:rPr>
                <w:sz w:val="1"/>
                <w:szCs w:val="1"/>
                <w:color w:val="auto"/>
              </w:rPr>
            </w:pPr>
          </w:p>
        </w:tc>
      </w:tr>
      <w:tr>
        <w:trPr>
          <w:trHeight w:val="431"/>
        </w:trPr>
        <w:tc>
          <w:tcPr>
            <w:tcW w:w="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Government/</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Six-Month Period Ended June 30, 2019:</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5"/>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3"/>
              </w:rPr>
              <w:t>Commercial</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6"/>
              </w:rPr>
              <w:t>Defense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64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36,298</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25,059</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Communications Systems</w:t>
            </w: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41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8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48,279</w:t>
            </w:r>
          </w:p>
        </w:tc>
        <w:tc>
          <w:tcPr>
            <w:tcW w:w="1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25,059</w:t>
            </w:r>
          </w:p>
        </w:tc>
        <w:tc>
          <w:tcPr>
            <w:tcW w:w="280" w:type="dxa"/>
            <w:vAlign w:val="bottom"/>
            <w:tcBorders>
              <w:left w:val="single" w:sz="8" w:color="CCEEFF"/>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23,220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52%</w:t>
            </w:r>
          </w:p>
        </w:tc>
        <w:tc>
          <w:tcPr>
            <w:tcW w:w="1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48%</w:t>
            </w:r>
          </w:p>
        </w:tc>
        <w:tc>
          <w:tcPr>
            <w:tcW w:w="0" w:type="dxa"/>
            <w:vAlign w:val="bottom"/>
          </w:tcPr>
          <w:p>
            <w:pPr>
              <w:spacing w:after="0"/>
              <w:rPr>
                <w:sz w:val="1"/>
                <w:szCs w:val="1"/>
                <w:color w:val="auto"/>
              </w:rPr>
            </w:pPr>
          </w:p>
        </w:tc>
      </w:tr>
      <w:tr>
        <w:trPr>
          <w:trHeight w:val="404"/>
        </w:trPr>
        <w:tc>
          <w:tcPr>
            <w:tcW w:w="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Government/</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Six-Month Period Ended July 1, 2018:</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5"/>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3"/>
              </w:rPr>
              <w:t>Commercial</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6"/>
              </w:rPr>
              <w:t>Defense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64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35,055</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19,880</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15,175</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Communications Systems</w:t>
            </w: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41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8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45,933</w:t>
            </w:r>
          </w:p>
        </w:tc>
        <w:tc>
          <w:tcPr>
            <w:tcW w:w="1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19,880</w:t>
            </w:r>
          </w:p>
        </w:tc>
        <w:tc>
          <w:tcPr>
            <w:tcW w:w="280" w:type="dxa"/>
            <w:vAlign w:val="bottom"/>
            <w:tcBorders>
              <w:left w:val="single" w:sz="8" w:color="CCEEFF"/>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26,053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43%</w:t>
            </w:r>
          </w:p>
        </w:tc>
        <w:tc>
          <w:tcPr>
            <w:tcW w:w="1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57%</w:t>
            </w:r>
          </w:p>
        </w:tc>
        <w:tc>
          <w:tcPr>
            <w:tcW w:w="0" w:type="dxa"/>
            <w:vAlign w:val="bottom"/>
          </w:tcPr>
          <w:p>
            <w:pPr>
              <w:spacing w:after="0"/>
              <w:rPr>
                <w:sz w:val="1"/>
                <w:szCs w:val="1"/>
                <w:color w:val="auto"/>
              </w:rPr>
            </w:pPr>
          </w:p>
        </w:tc>
      </w:tr>
      <w:tr>
        <w:trPr>
          <w:trHeight w:val="350"/>
        </w:trPr>
        <w:tc>
          <w:tcPr>
            <w:tcW w:w="2940" w:type="dxa"/>
            <w:vAlign w:val="bottom"/>
            <w:gridSpan w:val="2"/>
            <w:vMerge w:val="restart"/>
          </w:tcPr>
          <w:p>
            <w:pPr>
              <w:spacing w:after="0"/>
              <w:rPr>
                <w:sz w:val="20"/>
                <w:szCs w:val="20"/>
                <w:color w:val="auto"/>
              </w:rPr>
            </w:pPr>
            <w:r>
              <w:rPr>
                <w:rFonts w:ascii="Arial" w:cs="Arial" w:eastAsia="Arial" w:hAnsi="Arial"/>
                <w:sz w:val="18"/>
                <w:szCs w:val="18"/>
                <w:color w:val="auto"/>
                <w:w w:val="90"/>
              </w:rPr>
              <w:t>U.S. and Non-U.S. Revenue Information</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1</w:t>
            </w:r>
          </w:p>
        </w:tc>
        <w:tc>
          <w:tcPr>
            <w:tcW w:w="1740" w:type="dxa"/>
            <w:vAlign w:val="bottom"/>
            <w:gridSpan w:val="2"/>
            <w:vMerge w:val="restart"/>
          </w:tcPr>
          <w:p>
            <w:pPr>
              <w:jc w:val="right"/>
              <w:ind w:right="1700"/>
              <w:spacing w:after="0"/>
              <w:rPr>
                <w:sz w:val="20"/>
                <w:szCs w:val="20"/>
                <w:color w:val="auto"/>
              </w:rPr>
            </w:pPr>
            <w:r>
              <w:rPr>
                <w:rFonts w:ascii="Arial" w:cs="Arial" w:eastAsia="Arial" w:hAnsi="Arial"/>
                <w:sz w:val="10"/>
                <w:szCs w:val="10"/>
                <w:u w:val="single" w:color="auto"/>
                <w:color w:val="auto"/>
                <w:w w:val="70"/>
              </w:rPr>
              <w:t>:</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2940" w:type="dxa"/>
            <w:vAlign w:val="bottom"/>
            <w:tcBorders>
              <w:bottom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gridSpan w:val="2"/>
            <w:vMerge w:val="restart"/>
          </w:tcPr>
          <w:p>
            <w:pPr>
              <w:jc w:val="center"/>
              <w:ind w:right="3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0" w:type="dxa"/>
            <w:vAlign w:val="bottom"/>
            <w:gridSpan w:val="2"/>
            <w:vMerge w:val="restart"/>
          </w:tcPr>
          <w:p>
            <w:pPr>
              <w:jc w:val="center"/>
              <w:ind w:right="460"/>
              <w:spacing w:after="0"/>
              <w:rPr>
                <w:sz w:val="20"/>
                <w:szCs w:val="20"/>
                <w:color w:val="auto"/>
              </w:rPr>
            </w:pPr>
            <w:r>
              <w:rPr>
                <w:rFonts w:ascii="Arial" w:cs="Arial" w:eastAsia="Arial" w:hAnsi="Arial"/>
                <w:sz w:val="18"/>
                <w:szCs w:val="18"/>
                <w:color w:val="auto"/>
                <w:w w:val="96"/>
              </w:rPr>
              <w:t>United</w:t>
            </w:r>
          </w:p>
        </w:tc>
        <w:tc>
          <w:tcPr>
            <w:tcW w:w="180" w:type="dxa"/>
            <w:vAlign w:val="bottom"/>
          </w:tcPr>
          <w:p>
            <w:pPr>
              <w:spacing w:after="0"/>
              <w:rPr>
                <w:sz w:val="4"/>
                <w:szCs w:val="4"/>
                <w:color w:val="auto"/>
              </w:rPr>
            </w:pPr>
          </w:p>
        </w:tc>
        <w:tc>
          <w:tcPr>
            <w:tcW w:w="1500" w:type="dxa"/>
            <w:vAlign w:val="bottom"/>
            <w:gridSpan w:val="2"/>
            <w:vMerge w:val="restart"/>
          </w:tcPr>
          <w:p>
            <w:pPr>
              <w:jc w:val="center"/>
              <w:ind w:right="360"/>
              <w:spacing w:after="0"/>
              <w:rPr>
                <w:sz w:val="20"/>
                <w:szCs w:val="20"/>
                <w:color w:val="auto"/>
              </w:rPr>
            </w:pPr>
            <w:r>
              <w:rPr>
                <w:rFonts w:ascii="Arial" w:cs="Arial" w:eastAsia="Arial" w:hAnsi="Arial"/>
                <w:sz w:val="18"/>
                <w:szCs w:val="18"/>
                <w:color w:val="auto"/>
                <w:w w:val="94"/>
              </w:rPr>
              <w:t>Non-United</w:t>
            </w:r>
          </w:p>
        </w:tc>
        <w:tc>
          <w:tcPr>
            <w:tcW w:w="0" w:type="dxa"/>
            <w:vAlign w:val="bottom"/>
          </w:tcPr>
          <w:p>
            <w:pPr>
              <w:spacing w:after="0"/>
              <w:rPr>
                <w:sz w:val="1"/>
                <w:szCs w:val="1"/>
                <w:color w:val="auto"/>
              </w:rPr>
            </w:pPr>
          </w:p>
        </w:tc>
      </w:tr>
      <w:tr>
        <w:trPr>
          <w:trHeight w:val="438"/>
        </w:trPr>
        <w:tc>
          <w:tcPr>
            <w:tcW w:w="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Three-Month Period Ended June 30, 2019:</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5"/>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2"/>
              </w:rPr>
              <w:t>States</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6"/>
              </w:rPr>
              <w:t>States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64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20,300</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10,843</w:t>
            </w: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Communications Systems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9,097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8,897</w:t>
            </w:r>
          </w:p>
        </w:tc>
        <w:tc>
          <w:tcPr>
            <w:tcW w:w="1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 w:type="dxa"/>
            <w:vAlign w:val="bottom"/>
          </w:tcPr>
          <w:p>
            <w:pPr>
              <w:spacing w:after="0"/>
              <w:rPr>
                <w:sz w:val="19"/>
                <w:szCs w:val="19"/>
                <w:color w:val="auto"/>
              </w:rPr>
            </w:pPr>
          </w:p>
        </w:tc>
        <w:tc>
          <w:tcPr>
            <w:tcW w:w="41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8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29,397</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19,740</w:t>
            </w: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67%</w:t>
            </w:r>
          </w:p>
        </w:tc>
        <w:tc>
          <w:tcPr>
            <w:tcW w:w="1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33%</w:t>
            </w:r>
          </w:p>
        </w:tc>
        <w:tc>
          <w:tcPr>
            <w:tcW w:w="0" w:type="dxa"/>
            <w:vAlign w:val="bottom"/>
          </w:tcPr>
          <w:p>
            <w:pPr>
              <w:spacing w:after="0"/>
              <w:rPr>
                <w:sz w:val="1"/>
                <w:szCs w:val="1"/>
                <w:color w:val="auto"/>
              </w:rPr>
            </w:pPr>
          </w:p>
        </w:tc>
      </w:tr>
      <w:tr>
        <w:trPr>
          <w:trHeight w:val="404"/>
        </w:trPr>
        <w:tc>
          <w:tcPr>
            <w:tcW w:w="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color w:val="auto"/>
                <w:w w:val="96"/>
              </w:rPr>
              <w:t>United</w:t>
            </w:r>
          </w:p>
        </w:tc>
        <w:tc>
          <w:tcPr>
            <w:tcW w:w="180" w:type="dxa"/>
            <w:vAlign w:val="bottom"/>
          </w:tcPr>
          <w:p>
            <w:pPr>
              <w:spacing w:after="0"/>
              <w:rPr>
                <w:sz w:val="24"/>
                <w:szCs w:val="2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Non-United</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Three-Month Period Ended July 1, 2018:</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5"/>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2"/>
              </w:rPr>
              <w:t>States</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6"/>
              </w:rPr>
              <w:t>States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64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17,831</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10,647</w:t>
            </w: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Communications Systems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5,033</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 w:type="dxa"/>
            <w:vAlign w:val="bottom"/>
          </w:tcPr>
          <w:p>
            <w:pPr>
              <w:spacing w:after="0"/>
              <w:rPr>
                <w:sz w:val="19"/>
                <w:szCs w:val="19"/>
                <w:color w:val="auto"/>
              </w:rPr>
            </w:pPr>
          </w:p>
        </w:tc>
        <w:tc>
          <w:tcPr>
            <w:tcW w:w="41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8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22,864</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15,680</w:t>
            </w: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69%</w:t>
            </w:r>
          </w:p>
        </w:tc>
        <w:tc>
          <w:tcPr>
            <w:tcW w:w="1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31%</w:t>
            </w:r>
          </w:p>
        </w:tc>
        <w:tc>
          <w:tcPr>
            <w:tcW w:w="0" w:type="dxa"/>
            <w:vAlign w:val="bottom"/>
          </w:tcPr>
          <w:p>
            <w:pPr>
              <w:spacing w:after="0"/>
              <w:rPr>
                <w:sz w:val="1"/>
                <w:szCs w:val="1"/>
                <w:color w:val="auto"/>
              </w:rPr>
            </w:pPr>
          </w:p>
        </w:tc>
      </w:tr>
      <w:tr>
        <w:trPr>
          <w:trHeight w:val="404"/>
        </w:trPr>
        <w:tc>
          <w:tcPr>
            <w:tcW w:w="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United</w:t>
            </w:r>
          </w:p>
        </w:tc>
        <w:tc>
          <w:tcPr>
            <w:tcW w:w="180" w:type="dxa"/>
            <w:vAlign w:val="bottom"/>
          </w:tcPr>
          <w:p>
            <w:pPr>
              <w:spacing w:after="0"/>
              <w:rPr>
                <w:sz w:val="24"/>
                <w:szCs w:val="2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Non-United</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Six-Month Period Ended June 30, 2019:</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5"/>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6"/>
              </w:rPr>
              <w:t>States</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2"/>
              </w:rPr>
              <w:t>States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64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36,298</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18,410</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17,888</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Communications Systems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11,981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11,351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 w:type="dxa"/>
            <w:vAlign w:val="bottom"/>
          </w:tcPr>
          <w:p>
            <w:pPr>
              <w:spacing w:after="0"/>
              <w:rPr>
                <w:sz w:val="19"/>
                <w:szCs w:val="19"/>
                <w:color w:val="auto"/>
              </w:rPr>
            </w:pPr>
          </w:p>
        </w:tc>
        <w:tc>
          <w:tcPr>
            <w:tcW w:w="41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8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48,279</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29,761</w:t>
            </w:r>
          </w:p>
        </w:tc>
        <w:tc>
          <w:tcPr>
            <w:tcW w:w="280" w:type="dxa"/>
            <w:vAlign w:val="bottom"/>
            <w:tcBorders>
              <w:left w:val="single" w:sz="8" w:color="CCEEFF"/>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18,518</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62%</w:t>
            </w:r>
          </w:p>
        </w:tc>
        <w:tc>
          <w:tcPr>
            <w:tcW w:w="1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38%</w:t>
            </w:r>
          </w:p>
        </w:tc>
        <w:tc>
          <w:tcPr>
            <w:tcW w:w="0" w:type="dxa"/>
            <w:vAlign w:val="bottom"/>
          </w:tcPr>
          <w:p>
            <w:pPr>
              <w:spacing w:after="0"/>
              <w:rPr>
                <w:sz w:val="1"/>
                <w:szCs w:val="1"/>
                <w:color w:val="auto"/>
              </w:rPr>
            </w:pPr>
          </w:p>
        </w:tc>
      </w:tr>
      <w:tr>
        <w:trPr>
          <w:trHeight w:val="404"/>
        </w:trPr>
        <w:tc>
          <w:tcPr>
            <w:tcW w:w="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United</w:t>
            </w:r>
          </w:p>
        </w:tc>
        <w:tc>
          <w:tcPr>
            <w:tcW w:w="180" w:type="dxa"/>
            <w:vAlign w:val="bottom"/>
          </w:tcPr>
          <w:p>
            <w:pPr>
              <w:spacing w:after="0"/>
              <w:rPr>
                <w:sz w:val="24"/>
                <w:szCs w:val="2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Non-United</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Six-Month Period Ended July 1, 2018:</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5"/>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6"/>
              </w:rPr>
              <w:t>States</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2"/>
              </w:rPr>
              <w:t>States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64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35,055</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20,062</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14,993</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Communications Systems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10,878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10,606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 w:type="dxa"/>
            <w:vAlign w:val="bottom"/>
          </w:tcPr>
          <w:p>
            <w:pPr>
              <w:spacing w:after="0"/>
              <w:rPr>
                <w:sz w:val="19"/>
                <w:szCs w:val="19"/>
                <w:color w:val="auto"/>
              </w:rPr>
            </w:pPr>
          </w:p>
        </w:tc>
        <w:tc>
          <w:tcPr>
            <w:tcW w:w="41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8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45,933</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30,668</w:t>
            </w:r>
          </w:p>
        </w:tc>
        <w:tc>
          <w:tcPr>
            <w:tcW w:w="280" w:type="dxa"/>
            <w:vAlign w:val="bottom"/>
            <w:tcBorders>
              <w:left w:val="single" w:sz="8" w:color="CCEEFF"/>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15,265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67%</w:t>
            </w:r>
          </w:p>
        </w:tc>
        <w:tc>
          <w:tcPr>
            <w:tcW w:w="1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33%</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620" w:right="1940" w:hanging="5612"/>
        <w:spacing w:after="0" w:line="381" w:lineRule="auto"/>
        <w:tabs>
          <w:tab w:leader="none" w:pos="117"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Sales classified to U.S. include shipments to U.S.-based prime contractors which in some cases may serve non-U.S. projects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00"/>
          </w:cols>
          <w:pgMar w:left="240" w:top="584" w:right="659" w:bottom="786"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certain key customers; possible future declines in demand for the products that use our batteries or communications systems; the unique risks associated with our China operations; potential costs because of the warranties we supply with our products and services; potential disruptions in our supply of raw materials and components; our efforts to develop new commercial applications for our products; reduced U.S. and foreign military spending including the uncertainty associated with government budget approvals; possible breaches in security and other disruptions; variability in our quarterly and annual results and the price of our common stock; safety risks, including the risk of fire; our inability to comply with changes to the regulations for the shipment of our products; our resources being overwhelmed by our growth prospects; our ability to retain top management and key personnel; possible impairments of our goodwill and other intangible assets; our customers’ demand falling short of volume expectations in our supply agreements; negative publicity concerning Lithium-ion batteries; our exposure to foreign currency fluctuations; the risk that we are unable to protect our proprietary and intellectual property; rules and procedures regarding contracting with the U.S. and foreign governments; our ability to utilize our net operating loss carryforwards; exposure to possible violations of the U.S. Foreign Corrupt Practices Act, the U.K. Bribery Act or other anti-corruption laws; our ability to comply with government regulations regarding the use of “conflict minerals;” possible audits of our contracts by the U.S. and foreign governments and their respective defense agencies; known and unknown environmental matters; technological innovations in the non-rechargeable and rechargeable battery industries;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“expect,” “estimate,” “seek,” “project,” “intend,” “plan,” “may,” “will,” “should,” or words of similar import are intended to identify forward-looking statements. For further discussion of certain of the matters described above and other risks and uncertainties, see Item 1A, “Risk Factors” in our Annual Report on Form 10-K for the year ended December 31, 2018.</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quarterly report, those results or developments may not be indicative of results or developments in subsequent periods. Given these risks and uncertainties, you are cautioned not to place undue reliance on these forward-looking statements. Comparisons of results for current and any prior periods are not intended to express any future trends or indications of future performance, unless expressed as such, and should only be viewed as historical data.</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Undue reliance should not be placed on our forward-looking statements. Except as required by law, we disclaim any obligation to update any risk factors or to publicly announce the results of any revisions to any of the forward-looking statements contained in this Quarterly Report on Form 10-Q or our Annual Report on Form 10-K for the year ended December 31, 2018 to reflect new information or risks, future events or other developments.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accompanying Consolidated Financial Statements and Notes thereto appearing elsewhere in this Form 10-Q and the Risk Factors and our Consolidated Financial Statements and Notes thereto contained in our Form 10-K for the year ended December 31, 2018.</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information in this Management’s Discussion and Analysis of Financial Condition and Results of Operations is presented in thousands of dollars, except for share and per share amounts.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We continually evaluate ways to grow, including the design, development and sale of new products, expansion of our sales force to penetrate new markets and geographies, as well as seeking opportunities to expand through acquisitions.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sell our products worldwide through a variety of trade channels, including original equipment manufacturers (“OEMs”), industrial and defense supply distributors, and directly to U.S. and international defense departments. We enjoy strong name recognition in our markets under our Ultralife® Batteries, Lithium Power®, McDowell Research®, AMTI™, ABLE™, ACCUTRONICS™, ACCUPRO™, and ENTELLION™ brands. We have sales, operations and product development facilities in North America, Europe and Asia.</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w:t>
      </w:r>
    </w:p>
    <w:p>
      <w:pPr>
        <w:spacing w:after="0" w:line="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11 in the Notes to Consolidated Financial Statements.</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website address is www.ultralifecorporation.com. We make available free of charge via a hyperlink on our website (see Investor Relations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revenues of $29,397 for the three-month period ended June 30, 2019, increased by $6,533 or 28.6%, from $22,864 during the three-month period ended July 1, 2018, due to higher revenues from our Battery &amp; Energy Products business reflecting the May 1, 2019 acquisition of SWE and from our Communications Systems business driven by shipments of mounted power amplifiers to support the U.S. Army’s Network Modernization initiatives under the delivery orders received in October 2018.</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Gross profit for the three-month period ended June 30, 2019 was $8,865 or 30.2% of revenues, compared to $6,550 or 28.6% of revenues, for the same quarter a year ago. The 160-basis point increase in gross margin for both businesses resulted from a favorable product mix. The gross margin for the second quarter of 2019 was reduced by 70 basis points resulting from the write-up of certain SWE inventory to fair market value as required by Generally Accepted Accounting Principles (“GAAP”) purchase accounting and the subsequent sell-through of that inventory during the second quarter.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expenses increased to $5,823 during the three-month period ended June 30, 2019, compared to $4,918 during the three-month period ended July 1, 2018. The increase of $905 or 18.4% was fully attributable to SWE which contributed operating expenses of $1,156 in the second quarter, including $165 of one-time direct acquisition costs incurred by the Company. Excluding SWE, operating expenses decreased $251 or 5.1% due primarily to lower corporate expenses. Both periods reflect continued tight control over discretionary spending. Operating expenses as a percentage of sales declined 170 basis points from 21.5% for the second quarter of 2018 to 19.8% for the current quarter.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Operating income for the three-month period ended June 30, 2019 was $3,042 or 10.3% of revenues, compared to $1,632 or 7.1% for the year-earlier period. The increase in operating income resulted from revenue growth and operating expense leverage. Operating income for the three-month period ending June 30, 2019 includes purchase accounting adjustments and non-recurring costs related to the acquisition of SWE totaling $388, or equivalent to $0.02 per share. Net of these costs, SWE contributed $241 of operating income for the current period.</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income attributable to Ultralife was $2,256, or $0.14 per share – basic and diluted, for the three-month period ended June 30, 2019, compared to $1,627, or $0.10 per share – basic and diluted, for the three-month period ended July 1, 2018. As a result of our reversal of the allowance on deferred tax assets at year-end 2018, we utilized a statutory tax rate of 23.3% to record our tax provision for the second quarter of 2019 compared to an effective rate of 4.5% for the year-earlier quarter. Since we do not expect to pay cash taxes in the U.S. for the foreseeable future due to the usage of our deferred tax assets, we have estimated an effective tax rate of 1.2 % resulting in Adjusted EPS of $0.18 for the 2019 second quarter. Including the one-time adjustments and expenses and the use of the U.S. statutory tax rate, SWE was accretive by approximately $0.01 of EPS for the quarter.</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defined as net income (loss) attributable to Ultralife before net interest expense, provision (benefit) for income taxes, depreciation and amortization, and stock-based compensation expense, plus/minus expenses/income that we do not consider reflective of our ongoing operations, amounted to $4,084 in the second quarter of 2019 compared to $2,537 for the second quarter of 2018. See the section “Adjusted EBITDA” beginning on page 25 for a reconciliation of Adjusted EBITDA to net income attributable to Ultralife.</w:t>
      </w:r>
    </w:p>
    <w:p>
      <w:pPr>
        <w:spacing w:after="0" w:line="18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enter the second half of 2019 prepared to fulfill remaining amplifier orders and to capture opportunities available to us from several new products serving commercial end markets. As a result, we remain well positioned to deliver profitable growth in 2019 now boosted by our acquisition of SWE.</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Periods Ended June 30, 2019 and July 1, 2018</w:t>
      </w:r>
    </w:p>
    <w:p>
      <w:pPr>
        <w:spacing w:after="0" w:line="22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17"/>
          <w:szCs w:val="17"/>
          <w:color w:val="auto"/>
        </w:rPr>
        <w:t>Consolidated revenues for the three-month period ended June 30, 2019 were $29,397, an increase of $6,533, or 28.6%, from the $22,864 reported</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three-month period ended July 1, 2018. Overall, commercial sales increased 46.8% and government/defense sales increased 13.6% over the 2018 period. Revenues for the 2019 period include revenues of SWE which was acquired by the Company on May 1, 2019.</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Battery &amp; Energy Products revenues increased $2,469, or 13.9%, from $17,831 for the three-month period ended July 1, 2018 to $20,300 for the three-month period ended June 30, 2019. The increase was attributable to the $4,750 revenue of SWE partially offset by a $2,281 reduction in sales reflecting the absence of revenue from a large 5390 battery order completed in 2018 and lower 9-Volt sales in the second quarter of 2019.</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Communications Systems revenues increased $4,064, or 80.7%, from $5,033 during the three-month period ended July 1, 2018 to $9,097 for the three-month period ended June 30, 2019. This increase is primarily attributable to shipments of mounted power amplifiers to support the U.S. Army’s Network Modernization and other initiatives under the delivery orders announced in October 2018 and shipments of Universal Vehicle Adaptors under an indefinite-delivery/indefinite-quantity contract with the Naval Air Warfare Center Aircraft Division announced in June 2019. These shipments exceeded 2018 second quarter sales to fulfill a Vehicle Amplifier Adapters award received in December 2017 for the U.S. Army’s Security Force Assistance Brigades award from a large global defense prime contractor, and shipments of our Vehicle Installed Power Enhanced Riflemen Appliqué (“VIPER”).</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Cost of Products Sold / Gross Profit. </w:t>
      </w:r>
      <w:r>
        <w:rPr>
          <w:rFonts w:ascii="Arial" w:cs="Arial" w:eastAsia="Arial" w:hAnsi="Arial"/>
          <w:sz w:val="18"/>
          <w:szCs w:val="18"/>
          <w:color w:val="auto"/>
        </w:rPr>
        <w:t>Cost of products sold totaled $20,532 for the quarter ended June 30, 2019, an increase of $4,218, or 25.9%,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$16,314 reported for the same three-month period a year ago. Consolidated cost of products sold as a percentage of total revenue decreased from 71.4% for the three-month period ended July 1, 2018 to 69.8% for the three-month period ended June 30, 2019. Correspondingly, consolidated gross margin was 30.2% for the three-month period ended June 30, 2019, compared with 28.6% for the three-month period ended July 1, 2018, primarily reflecting a more favorable product sales mix. The gross margin for the 2019 period includes an adjustment to increase the opening inventory of SWE to fair market value in accordance with purchase accounting which resulting in a 70-basis point reduction in reported gross margin upon sell through of the product during the second quarter of 2019.</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color w:val="auto"/>
        </w:rPr>
        <w:t>For our Battery &amp; Energy Products segment, gross profit for the second quarter of 2019 was $5,655, an increase of $729 or 14.8% from gross profit of $4,926 for the second quarter of 2018. Battery &amp; Energy Products’ gross margin of 27.9% increased by 30 basis points over the 27.6% gross margin for the year-earlier period, reflecting favorable product mix, despite the purchase accounting adjustment to write-up SWE opening inventory to fair market value which resulted in a $205 charge to cost of products sold in the second quarter of 2019. Excluding this adjustment, the gross margin for Battery &amp; Energy Products would have been 28.9%.</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our Communications Systems segment, gross profit for the second quarter of 2019 was $3,210 or 35.3% of revenues, an increase of $1,586 or 97.7%, from gross profit of $1,624, or 32.3% of revenues, for the second quarter of 2018. The 300-basis point increase in gross margin during 2019 is driven by the favorable sales mix.</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Total operating expenses for the three-month period ended June 30, 2019 were $5,823, an increase of $905 or 18.4% over the $4,918</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during the three-month period ended July 1, 2018. The increase is fully attributable to the acquisition of SWE, which contributed operating expenses of $1,156 in the second quarter, including $165 of one-time direct acquisition costs and $41 of intangible asset amortization. Excluding operating expenses of SWE, operating expenses decreased $251 or 5.1% due to lower corporate expenses. Both periods reflected continued tight control over discretionary spending.</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Overall, operating expenses as a percentage of revenues were 19.8% for the quarter ended June 30, 2019 compared to 21.5% for the quarter ended July 1, 2018. Amortization expense associated with intangible assets related to our acquisitions was $132, including $41 for SWE, for the second quarter of 2019 ($99 in selling, general and administrative expenses and $33 in research and development costs), compared with $101 for the second quarter of 2018 ($64 in selling, general, and administrative expenses and $37 in research and development costs). Research and development costs were $1,587 for the three-month period ended June 30, 2019, an increase of $369 or 30.3%, from $1,218 for the three-months ended July 1, 2018. The increase is fully attributable to $383 of research and development costs incurred by SWE. Selling, general, and administrative expenses increased $536 or 14.5%, to $4,236 for the second quarter of 2019 from $3,700 for the second quarter of 2018. The increase is fully attributable to the acquisition of SWE which contributed operating expenses of $773, including one-time acquisition costs of $165 and intangible asset amortization of $41 for the second quarter of 2019.</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Other Expense (Income). </w:t>
      </w:r>
      <w:r>
        <w:rPr>
          <w:rFonts w:ascii="Arial" w:cs="Arial" w:eastAsia="Arial" w:hAnsi="Arial"/>
          <w:sz w:val="18"/>
          <w:szCs w:val="18"/>
          <w:color w:val="auto"/>
        </w:rPr>
        <w:t>Other expense totaled $83 for the three-month period ended June 30, 2019 compared to other income of $86 for the three-month</w:t>
      </w:r>
      <w:r>
        <w:rPr>
          <w:rFonts w:ascii="Arial" w:cs="Arial" w:eastAsia="Arial" w:hAnsi="Arial"/>
          <w:sz w:val="18"/>
          <w:szCs w:val="18"/>
          <w:b w:val="1"/>
          <w:bCs w:val="1"/>
          <w:color w:val="auto"/>
        </w:rPr>
        <w:t xml:space="preserve"> </w:t>
      </w:r>
      <w:r>
        <w:rPr>
          <w:rFonts w:ascii="Arial" w:cs="Arial" w:eastAsia="Arial" w:hAnsi="Arial"/>
          <w:sz w:val="18"/>
          <w:szCs w:val="18"/>
          <w:color w:val="auto"/>
        </w:rPr>
        <w:t>period ended July 1, 2018. Interest and financing expense, net of interest income, increased $93, from $21 for the second quarter of 2018 to $114 for the comparable period in 2019. The increase is due to the financing for the SWE acquisition, which were $110 for the second quarter of 2019. Miscellaneous income amounted to $31 for the second quarter of 2019 compared with miscellaneous expense of $107 for the second quarter of 2018, primarily due to transactions impacted by foreign currency fluctuations in the U.S. dollar relative to the Pound Sterling, and the strengthening of the U.S dollar to the Pound Sterling by 4% from the end of the first quarter to the end of the second quarter of 2019 and 6% from the end of first quarter to the end of the second quarter in 2018.</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tax provision for the 2019 second quarter was $676 compared to $78 for the second quarter of 2018. As a result of reversing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allowance on deferred tax assets at year-end 2018, a statutory-based tax rate of 22.8% was used to record our tax provision for the second quarter of 2019 compared to an effective tax rate of 4.5% for the year-earlier quarter. We expect that our deferred taxes will offset U.S. taxes for the foreseeable future, and that a cash-based effective tax rate for the 2019 second quarter would be approximately 1.2%. See Note 8 in the Notes to Consolidated Financial Statements for additional information regarding our income taxes.</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Net Income Attributable to Ultralife. </w:t>
      </w:r>
      <w:r>
        <w:rPr>
          <w:rFonts w:ascii="Arial" w:cs="Arial" w:eastAsia="Arial" w:hAnsi="Arial"/>
          <w:sz w:val="17"/>
          <w:szCs w:val="17"/>
          <w:color w:val="auto"/>
        </w:rPr>
        <w:t>Net income attributable to Ultralife was $2,256, or $0.14 per share – basic and diluted, for the three-month period</w:t>
      </w:r>
      <w:r>
        <w:rPr>
          <w:rFonts w:ascii="Arial" w:cs="Arial" w:eastAsia="Arial" w:hAnsi="Arial"/>
          <w:sz w:val="17"/>
          <w:szCs w:val="17"/>
          <w:b w:val="1"/>
          <w:bCs w:val="1"/>
          <w:color w:val="auto"/>
        </w:rPr>
        <w:t xml:space="preserve"> </w:t>
      </w:r>
      <w:r>
        <w:rPr>
          <w:rFonts w:ascii="Arial" w:cs="Arial" w:eastAsia="Arial" w:hAnsi="Arial"/>
          <w:sz w:val="17"/>
          <w:szCs w:val="17"/>
          <w:color w:val="auto"/>
        </w:rPr>
        <w:t>ended June 30, 2019, compared to $1,627, or $0.10 per share – basic and diluted, for the three-month period ended July 1, 2018. Average weighted common shares outstanding used to compute diluted earnings per share decreased from 16,519,593 in the second quarter of 2018 to 16,192,692 in the second quarter of 2019. The decrease in 2019 is attributable to share repurchases under the Company’s Share Repurchase Program which commenced on November 1, 2018 partially offset by stock option exercises since the second quarter of 2018 and an increase in the weighted average stock price to compute diluted shares from $9.64 for the second quarter of 2018 to $9.15 for the second quarter of 2019.</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Six-Month Periods Ended June 30, 2019 and July 1, 2018</w:t>
      </w:r>
    </w:p>
    <w:p>
      <w:pPr>
        <w:spacing w:after="0" w:line="221"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17"/>
          <w:szCs w:val="17"/>
          <w:color w:val="auto"/>
        </w:rPr>
        <w:t>Consolidated revenues for the six-month period ended June 30, 2019 amounted to $48,279, an increase of $2,346 or 5.1%, from the $45,933</w:t>
      </w:r>
      <w:r>
        <w:rPr>
          <w:rFonts w:ascii="Arial" w:cs="Arial" w:eastAsia="Arial" w:hAnsi="Arial"/>
          <w:sz w:val="17"/>
          <w:szCs w:val="17"/>
          <w:b w:val="1"/>
          <w:bCs w:val="1"/>
          <w:color w:val="auto"/>
        </w:rPr>
        <w:t xml:space="preserve"> </w:t>
      </w:r>
      <w:r>
        <w:rPr>
          <w:rFonts w:ascii="Arial" w:cs="Arial" w:eastAsia="Arial" w:hAnsi="Arial"/>
          <w:sz w:val="17"/>
          <w:szCs w:val="17"/>
          <w:color w:val="auto"/>
        </w:rPr>
        <w:t>reported for the six-month period ended July 1, 2018. Overall, commercial sales increased 26.0% and government/defense sales decreased 10.9% from the six-month 2018 period. Revenues for the six-month 2019 period include SWE which was acquired by the Company on May 1, 2019.</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Battery &amp; Energy Products revenues increased $1,243, or 3.5%, from $35,055 for the six-month period ended Ju1y 1, 2018 to $36,298 for the six-month period ended June 30, 2019. The increase was attributable to the $4,750 revenue contribution from the operations of SWE and a 4.0% increase in battery sales to medical customers partially offset by a $3,507 or 10.0% reduction in sales primarily reflecting the absence of revenue from a large 5390 battery order completed in 2018 and lower 9-Volt sales in the first half of 2019.</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Communications Systems revenues increased $1,103, or 10.1%, from $10,878 during the six-month period ended July 1, 2018 to $11,981 for the six-month period ended June 30, 2019. This increase is primarily attributable to shipments of mounted power amplifiers to support the U.S. Army’s Network Modernization and other initiatives under the delivery orders announced in October 2018 and shipments of Universal Vehicle Adaptors under an indefinite-delivery/indefinite-quantity contract with the Naval Air Warfare Center Aircraft Division announced in June 2019.</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Cost of Products Sold / Gross Profit. </w:t>
      </w:r>
      <w:r>
        <w:rPr>
          <w:rFonts w:ascii="Arial" w:cs="Arial" w:eastAsia="Arial" w:hAnsi="Arial"/>
          <w:sz w:val="16"/>
          <w:szCs w:val="16"/>
          <w:color w:val="auto"/>
        </w:rPr>
        <w:t>Cost of products sold totaled $34,330 for the six-month period ended June 30, 2019, an increase of $2,229 or 6.9%,</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$32,101 reported for the same six-month period a year ago. Consolidated cost of products sold as a percentage of total revenue increased from 69.9% for the six-month period ended July 1, 2018 to 71.1% for the six-month period ended June 30, 2019. Correspondingly, consolidated gross margin was</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28.9% for the six-month period ended June 30, 2019, compared with 30.1% for the six-month period ended July 1, 2018, due primarily to product mix. The gross margin for the 2019 period includes an adjustment to increase the opening inventory of SWE to fair market value in accordance with purchase accounting which resulted in a 40-basis point reduction in reported gross margin for the first half of 2019 upon sell through of the product during the second quarter of 2019.</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our Battery &amp; Energy Products segment, the cost of products sold increased $1,140 or 4.5%, from $25,093 during the six-month period ended July 1, 2018 to $26,233 during the six-month period ended June 30, 2019. Battery &amp; Energy Products’ gross profit for the 2019 six-month period was $10,065 or 27.7% of revenues, an increase of $103 or 1.0% from gross profit of $9,962, or 28.4% of revenues, for the 2018 six-month period. Battery &amp; Energy Products’ gross margin decreased for the six-month period ended June 30, 2019 by 70 basis points, primarily due to the purchase accounting adjustment described above which accounted for 60 basis points of the reduction.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our Communications Systems segment, the cost of products sold increased by $1,089 or 15.5% from $7,008 during the six-month period ended July 1, 2018 to $8,097 during the six-month period ended June 30, 2019. Communications Systems’ gross profit for the first six months of 2019 was $3,884 or 32.4% of revenues, an increase of $14 or 0.4% from gross profit of $3,870 or 35.6% of revenues, for the six-month period ended July 1, 2018. The decrease in gross margin was primarily due to costs incurred to commence production of large program awards during the first quarter of 2019.</w:t>
      </w:r>
    </w:p>
    <w:p>
      <w:pPr>
        <w:spacing w:after="0" w:line="16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Total operating expenses for the six-month period ended June 30, 2019 totaled $10,359, an increase of $515 or 5.2% from the $9,844</w:t>
      </w:r>
      <w:r>
        <w:rPr>
          <w:rFonts w:ascii="Arial" w:cs="Arial" w:eastAsia="Arial" w:hAnsi="Arial"/>
          <w:sz w:val="16"/>
          <w:szCs w:val="16"/>
          <w:b w:val="1"/>
          <w:bCs w:val="1"/>
          <w:color w:val="auto"/>
        </w:rPr>
        <w:t xml:space="preserve"> </w:t>
      </w:r>
      <w:r>
        <w:rPr>
          <w:rFonts w:ascii="Arial" w:cs="Arial" w:eastAsia="Arial" w:hAnsi="Arial"/>
          <w:sz w:val="16"/>
          <w:szCs w:val="16"/>
          <w:color w:val="auto"/>
        </w:rPr>
        <w:t>recorded during the six-month period ended July 1, 2018. The increase is fully attributable to the acquisition of SWE on May 1, 2019, which contributed operating expenses of $1,156, including $165 of one-time direct acquisition costs and $41 of intangible asset amortization. Excluding SWE results, operating expenses decreased $641 or 6.5% due to lower corporate expenses. Both periods reflected continued tight control over discretionary spending.</w:t>
      </w:r>
    </w:p>
    <w:p>
      <w:pPr>
        <w:spacing w:after="0" w:line="15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Overall, operating expenses as a percentage of revenues were 21.5% for the six-month period ended June 30, 2019 compared to 21.4% for the comparable 2018 period. Amortization expense associated with intangible assets related to our acquisitions was $224, including $41 for SWE, for the first six months of 2019 ($158 in selling, general and administrative expenses and $66 in research and development costs), compared with $203 for the first six months of 2018 ($128 in selling, general, and administrative expenses and $75 in research and development costs). Research and development costs were $2,623 for the six-month period ended June 30, 2019, an increase of $305 or 13.2% over $2,318 for the six-months ended July 1, 2018. The increase is fully attributable to $383 of research and development costs incurred by SWE. Selling, general, and administrative expenses increased $210 or 2.8%, from $7,526 during the first six months of 2018 to $7,736 during the first six months of 2019. The increase is fully attributable to the inclusion of SWE results which contributed $773, including one-time acquisition costs of $165 and intangible asset amortization of $41, partially offset by lower corporate spending.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jc w:val="both"/>
        <w:spacing w:after="0" w:line="261" w:lineRule="auto"/>
        <w:rPr>
          <w:sz w:val="20"/>
          <w:szCs w:val="20"/>
          <w:color w:val="auto"/>
        </w:rPr>
      </w:pPr>
      <w:r>
        <w:rPr>
          <w:rFonts w:ascii="Arial" w:cs="Arial" w:eastAsia="Arial" w:hAnsi="Arial"/>
          <w:sz w:val="18"/>
          <w:szCs w:val="18"/>
          <w:b w:val="1"/>
          <w:bCs w:val="1"/>
          <w:color w:val="auto"/>
        </w:rPr>
        <w:t xml:space="preserve">Other Expense. </w:t>
      </w:r>
      <w:r>
        <w:rPr>
          <w:rFonts w:ascii="Arial" w:cs="Arial" w:eastAsia="Arial" w:hAnsi="Arial"/>
          <w:sz w:val="18"/>
          <w:szCs w:val="18"/>
          <w:color w:val="auto"/>
        </w:rPr>
        <w:t>Other expense totaled $141 for the six-month period ended June 30, 2019 compared to $48 for the six-month period ended July 1, 2018.</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and financing expense, net of interest income, increased $65 to $119 for the 2019 period from $54 for the comparable period in 2018, as a result of the financing for the SWE acquisition. Miscellaneous expense amounted to $22 for the first six months of 2019 compared with income of $6 for the first six months of 2018, primarily due to fluctuations in the U.S. dollar relative to the Pound Sterling.</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We recognized a tax provision of $717 for the first two quarters of 2019 compared with a tax provision of $133 for the first two quarters of</w:t>
      </w:r>
      <w:r>
        <w:rPr>
          <w:rFonts w:ascii="Arial" w:cs="Arial" w:eastAsia="Arial" w:hAnsi="Arial"/>
          <w:sz w:val="18"/>
          <w:szCs w:val="18"/>
          <w:b w:val="1"/>
          <w:bCs w:val="1"/>
          <w:color w:val="auto"/>
        </w:rPr>
        <w:t xml:space="preserve"> </w:t>
      </w:r>
      <w:r>
        <w:rPr>
          <w:rFonts w:ascii="Arial" w:cs="Arial" w:eastAsia="Arial" w:hAnsi="Arial"/>
          <w:sz w:val="18"/>
          <w:szCs w:val="18"/>
          <w:color w:val="auto"/>
        </w:rPr>
        <w:t>2018. As a result of reversing the allowance on deferred tax assets at year-end 2018, a statutory-based tax rate of 20.8% was used to record our tax provision for the first six months of 2019 compared to an effective tax rate of 3.4% for the year-earlier period. We expect that our deferred taxes will offset U.S. taxes for the foreseeable future, and that a cash-based effective tax rate for the 2019 first half would be approximately 2.3%. See Note 8 in the Notes to Consolidated Financial Statements for additional information regarding our income taxes.</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Net Income Attributable to Ultralife. </w:t>
      </w:r>
      <w:r>
        <w:rPr>
          <w:rFonts w:ascii="Arial" w:cs="Arial" w:eastAsia="Arial" w:hAnsi="Arial"/>
          <w:sz w:val="18"/>
          <w:szCs w:val="18"/>
          <w:color w:val="auto"/>
        </w:rPr>
        <w:t>Net income attributable to Ultralife and Net income attributable to Ultralife common shareholders per diluted share</w:t>
      </w:r>
      <w:r>
        <w:rPr>
          <w:rFonts w:ascii="Arial" w:cs="Arial" w:eastAsia="Arial" w:hAnsi="Arial"/>
          <w:sz w:val="18"/>
          <w:szCs w:val="18"/>
          <w:b w:val="1"/>
          <w:bCs w:val="1"/>
          <w:color w:val="auto"/>
        </w:rPr>
        <w:t xml:space="preserve"> </w:t>
      </w:r>
      <w:r>
        <w:rPr>
          <w:rFonts w:ascii="Arial" w:cs="Arial" w:eastAsia="Arial" w:hAnsi="Arial"/>
          <w:sz w:val="18"/>
          <w:szCs w:val="18"/>
          <w:color w:val="auto"/>
        </w:rPr>
        <w:t>was $2,681 and $0.17, respectively, for the six months ended June 30, 2019, compared to $3,777 and $0.23, respectively, for the six months ended July 1, 2018. Average common shares outstanding used to compute diluted earnings per share decreased from 16,353,705 in the 2018 period to 16,179,897 in the 2019 period, mainly due to share repurchases under the Company’s Share Repurchase Program which commenced on November 1, 2018, partially offset by stock option exercises under our Long-Term Incentive Plans.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evaluating our business, we consider and use Adjusted EBITDA, a non-GAAP financial measure, as a supplemental measure of our operating performance. We define Adjusted EBITDA as net income (loss) attributable to Ultralife before net interest expense, provision (benefit) for income taxes, depreciation and amortization, and stock-based compensation expense, plus/minus expenses/income that we do not consider reflective of our ongoing continuing operations. We also use Adjusted EBITDA as a supplemental measure to review and assess our operating performance and to enhance comparability between periods. We also believe the use of Adjusted EBITDA facilitates investors’ use of operating performance comparisons from period to period by backing out potential differences caused by variations in such items as capital structures (affecting relative interest expense and stock-based compensation expense), the book amortization of intangible assets (affecting relative amortization expense), the age and book value of facilities and equipment (affecting relative depreciation expense) and other significant non-operating expenses or income. We also present Adjusted EBITDA from operations because we believe it is frequently used by securities analysts, investors and other interested parties as a measure of financial performance. We reconcile Adjusted EBITDA to Net income (loss) attributable to Ultralife, the most comparable financial measure under U.S. generally accepted accounting principles (“U.S. GAAP”).</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use Adjusted EBITDA in our decision-making processes relating to the operation of our business together with U.S. GAAP financial measures such as income (loss) from operations. We believe that Adjusted EBITDA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stock-based compensation, which is a non-cash expense that varies widely among companies. We believe that by providing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 w:name="page27"/>
    <w:bookmarkEnd w:id="26"/>
    <w:p>
      <w:pPr>
        <w:jc w:val="both"/>
        <w:spacing w:after="0" w:line="279" w:lineRule="auto"/>
        <w:rPr>
          <w:sz w:val="20"/>
          <w:szCs w:val="20"/>
          <w:color w:val="auto"/>
        </w:rPr>
      </w:pPr>
      <w:r>
        <w:rPr>
          <w:rFonts w:ascii="Arial" w:cs="Arial" w:eastAsia="Arial" w:hAnsi="Arial"/>
          <w:sz w:val="17"/>
          <w:szCs w:val="17"/>
          <w:color w:val="auto"/>
        </w:rPr>
        <w:t>The term Adjusted EBITDA is not defined under U.S. GAAP, and is not a measure of operating income, operating performance or liquidity presented in accordance with U.S. GAAP. Our Adjusted EBITDA has limitations as an analytical tool, and when assessing our operating performance, Adjusted EBITDA should not be considered in isolation or as a substitute for net income (loss) attributable to Ultralife or other consolidated statement of operations data prepared in accordance with U.S. GAAP. Some of these limitations include, but are not limited to, the following:</w:t>
      </w:r>
    </w:p>
    <w:p>
      <w:pPr>
        <w:spacing w:after="0" w:line="171" w:lineRule="exact"/>
        <w:rPr>
          <w:sz w:val="20"/>
          <w:szCs w:val="20"/>
          <w:color w:val="auto"/>
        </w:rPr>
      </w:pPr>
    </w:p>
    <w:p>
      <w:pPr>
        <w:jc w:val="both"/>
        <w:ind w:left="1080" w:hanging="316"/>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6" w:lineRule="exact"/>
        <w:rPr>
          <w:rFonts w:ascii="Arial" w:cs="Arial" w:eastAsia="Arial" w:hAnsi="Arial"/>
          <w:sz w:val="18"/>
          <w:szCs w:val="18"/>
          <w:color w:val="auto"/>
        </w:rPr>
      </w:pPr>
    </w:p>
    <w:p>
      <w:pPr>
        <w:ind w:left="1080" w:hanging="316"/>
        <w:spacing w:after="0" w:line="308"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46" w:lineRule="exact"/>
        <w:rPr>
          <w:rFonts w:ascii="Arial" w:cs="Arial" w:eastAsia="Arial" w:hAnsi="Arial"/>
          <w:sz w:val="17"/>
          <w:szCs w:val="17"/>
          <w:color w:val="auto"/>
        </w:rPr>
      </w:pPr>
    </w:p>
    <w:p>
      <w:pPr>
        <w:jc w:val="both"/>
        <w:ind w:left="1080" w:hanging="316"/>
        <w:spacing w:after="0" w:line="264"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81" w:lineRule="exact"/>
        <w:rPr>
          <w:rFonts w:ascii="Arial" w:cs="Arial" w:eastAsia="Arial" w:hAnsi="Arial"/>
          <w:sz w:val="18"/>
          <w:szCs w:val="18"/>
          <w:color w:val="auto"/>
        </w:rPr>
      </w:pPr>
    </w:p>
    <w:p>
      <w:pPr>
        <w:ind w:left="1080" w:hanging="316"/>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compensate for these limitations by relying primarily on our U.S. GAAP results and using Adjusted EBITDA only supplementally. Neither current nor potential investors in our securities should rely on Adjusted EBITDA as a substitute for any GAAP measures and we encourage investors to review the following reconciliation of Adjusted EBITDA to net income attributable to Ultralife.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Adjusted EBITDA is calculated as follows for the periods presented:</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Three-Month Period Ended</w:t>
            </w:r>
          </w:p>
        </w:tc>
        <w:tc>
          <w:tcPr>
            <w:tcW w:w="180" w:type="dxa"/>
            <w:vAlign w:val="bottom"/>
          </w:tcPr>
          <w:p>
            <w:pPr>
              <w:spacing w:after="0"/>
              <w:rPr>
                <w:sz w:val="24"/>
                <w:szCs w:val="24"/>
                <w:color w:val="auto"/>
              </w:rPr>
            </w:pPr>
          </w:p>
        </w:tc>
        <w:tc>
          <w:tcPr>
            <w:tcW w:w="2420" w:type="dxa"/>
            <w:vAlign w:val="bottom"/>
            <w:gridSpan w:val="6"/>
          </w:tcPr>
          <w:p>
            <w:pPr>
              <w:ind w:left="100"/>
              <w:spacing w:after="0"/>
              <w:rPr>
                <w:sz w:val="20"/>
                <w:szCs w:val="20"/>
                <w:color w:val="auto"/>
              </w:rPr>
            </w:pPr>
            <w:r>
              <w:rPr>
                <w:rFonts w:ascii="Arial" w:cs="Arial" w:eastAsia="Arial" w:hAnsi="Arial"/>
                <w:sz w:val="18"/>
                <w:szCs w:val="18"/>
                <w:b w:val="1"/>
                <w:bCs w:val="1"/>
                <w:color w:val="auto"/>
              </w:rPr>
              <w:t>Six-Month Period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120"/>
              <w:spacing w:after="0" w:line="191" w:lineRule="exact"/>
              <w:rPr>
                <w:sz w:val="20"/>
                <w:szCs w:val="20"/>
                <w:color w:val="auto"/>
              </w:rPr>
            </w:pPr>
            <w:r>
              <w:rPr>
                <w:rFonts w:ascii="Arial" w:cs="Arial" w:eastAsia="Arial" w:hAnsi="Arial"/>
                <w:sz w:val="18"/>
                <w:szCs w:val="18"/>
                <w:b w:val="1"/>
                <w:bCs w:val="1"/>
                <w:color w:val="auto"/>
              </w:rPr>
              <w:t>June 30,</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rPr>
              <w:t>July 1,</w:t>
            </w: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8"/>
              </w:rPr>
              <w:t>June 30,</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rPr>
              <w:t>July 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Add: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financing expense, net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Income tax provision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expense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Amortization of intangible assets and financing fees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Non-cash purchase accounting adjustments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EPS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evaluating our business, we consider and use Adjusted EPS, a non-GAAP financial measure, as a supplemental measure of our business performance. We define Adjusted EPS as net income attributable to Ultralife Corporation excluding the provision for deferred taxes divided by our weighted average shares outstanding on both a basic and diluted basis. We believe that this information is useful in providing period-to-period comparisons of our results by reflecting the portion of our tax provision that will be offset by our U.S. net operating loss carryforwards and other tax credits for the foreseeable future. We reconcile Adjusted EPS to EPS, the most comparable financial measure under U.S. GAAP. Neither current nor potential investors in our securities should rely on Adjusted EPS as a substitute for any GAAP measures and we encourage investors to review the following reconciliation of Adjusted EPS to EPS and net income attributable to Ultralife.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Adjusted EPS is calculated as follows for the periods presented: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ADJUSTED EPS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Three-Month Period Ended</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left="110"/>
              <w:spacing w:after="0"/>
              <w:rPr>
                <w:sz w:val="20"/>
                <w:szCs w:val="20"/>
                <w:color w:val="auto"/>
              </w:rPr>
            </w:pPr>
            <w:r>
              <w:rPr>
                <w:rFonts w:ascii="Arial" w:cs="Arial" w:eastAsia="Arial" w:hAnsi="Arial"/>
                <w:sz w:val="18"/>
                <w:szCs w:val="18"/>
                <w:b w:val="1"/>
                <w:bCs w:val="1"/>
                <w:color w:val="auto"/>
                <w:w w:val="88"/>
              </w:rPr>
              <w:t>June 30, 2019</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July 1, 2018</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Per</w:t>
            </w:r>
          </w:p>
        </w:tc>
        <w:tc>
          <w:tcPr>
            <w:tcW w:w="220" w:type="dxa"/>
            <w:vAlign w:val="bottom"/>
          </w:tcPr>
          <w:p>
            <w:pPr>
              <w:spacing w:after="0"/>
              <w:rPr>
                <w:sz w:val="16"/>
                <w:szCs w:val="16"/>
                <w:color w:val="auto"/>
              </w:rPr>
            </w:pPr>
          </w:p>
        </w:tc>
        <w:tc>
          <w:tcPr>
            <w:tcW w:w="10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Per</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Per</w:t>
            </w:r>
          </w:p>
        </w:tc>
        <w:tc>
          <w:tcPr>
            <w:tcW w:w="220" w:type="dxa"/>
            <w:vAlign w:val="bottom"/>
          </w:tcPr>
          <w:p>
            <w:pPr>
              <w:spacing w:after="0"/>
              <w:rPr>
                <w:sz w:val="16"/>
                <w:szCs w:val="16"/>
                <w:color w:val="auto"/>
              </w:rPr>
            </w:pPr>
          </w:p>
        </w:tc>
        <w:tc>
          <w:tcPr>
            <w:tcW w:w="10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3"/>
              </w:rPr>
              <w:t>Basic</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4"/>
              </w:rPr>
              <w:t>Diluted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3"/>
              </w:rPr>
              <w:t>Basic</w:t>
            </w:r>
          </w:p>
        </w:tc>
        <w:tc>
          <w:tcPr>
            <w:tcW w:w="2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Diluted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Share</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 Corporation</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$2,256</w:t>
            </w:r>
          </w:p>
        </w:tc>
        <w:tc>
          <w:tcPr>
            <w:tcW w:w="128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1"/>
              </w:rPr>
              <w:t>$.14</w:t>
            </w:r>
          </w:p>
        </w:tc>
        <w:tc>
          <w:tcPr>
            <w:tcW w:w="12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5"/>
              </w:rPr>
              <w:t>$.14</w:t>
            </w:r>
          </w:p>
        </w:tc>
        <w:tc>
          <w:tcPr>
            <w:tcW w:w="12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$1,627</w:t>
            </w:r>
          </w:p>
        </w:tc>
        <w:tc>
          <w:tcPr>
            <w:tcW w:w="12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1"/>
              </w:rPr>
              <w:t>$.10</w:t>
            </w:r>
          </w:p>
        </w:tc>
        <w:tc>
          <w:tcPr>
            <w:tcW w:w="12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Deferred tax provision</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641</w:t>
            </w:r>
          </w:p>
        </w:tc>
        <w:tc>
          <w:tcPr>
            <w:tcW w:w="24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.04</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.04</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17</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Adjusted net income attributable to Ultralife</w:t>
            </w: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$2,897</w:t>
            </w:r>
          </w:p>
        </w:tc>
        <w:tc>
          <w:tcPr>
            <w:tcW w:w="1280" w:type="dxa"/>
            <w:vAlign w:val="bottom"/>
            <w:gridSpan w:val="2"/>
            <w:vMerge w:val="restart"/>
            <w:shd w:val="clear" w:color="auto" w:fill="CCEEFF"/>
          </w:tcPr>
          <w:p>
            <w:pPr>
              <w:jc w:val="center"/>
              <w:ind w:left="150"/>
              <w:spacing w:after="0"/>
              <w:rPr>
                <w:sz w:val="20"/>
                <w:szCs w:val="20"/>
                <w:color w:val="auto"/>
              </w:rPr>
            </w:pPr>
            <w:r>
              <w:rPr>
                <w:rFonts w:ascii="Arial" w:cs="Arial" w:eastAsia="Arial" w:hAnsi="Arial"/>
                <w:sz w:val="18"/>
                <w:szCs w:val="18"/>
                <w:color w:val="auto"/>
                <w:w w:val="91"/>
              </w:rPr>
              <w:t>$.18</w:t>
            </w:r>
          </w:p>
        </w:tc>
        <w:tc>
          <w:tcPr>
            <w:tcW w:w="1240" w:type="dxa"/>
            <w:vAlign w:val="bottom"/>
            <w:gridSpan w:val="2"/>
            <w:vMerge w:val="restart"/>
            <w:shd w:val="clear" w:color="auto" w:fill="CCEEFF"/>
          </w:tcPr>
          <w:p>
            <w:pPr>
              <w:jc w:val="center"/>
              <w:ind w:left="130"/>
              <w:spacing w:after="0"/>
              <w:rPr>
                <w:sz w:val="20"/>
                <w:szCs w:val="20"/>
                <w:color w:val="auto"/>
              </w:rPr>
            </w:pPr>
            <w:r>
              <w:rPr>
                <w:rFonts w:ascii="Arial" w:cs="Arial" w:eastAsia="Arial" w:hAnsi="Arial"/>
                <w:sz w:val="18"/>
                <w:szCs w:val="18"/>
                <w:color w:val="auto"/>
                <w:w w:val="85"/>
              </w:rPr>
              <w:t>$.18</w:t>
            </w:r>
          </w:p>
        </w:tc>
        <w:tc>
          <w:tcPr>
            <w:tcW w:w="1240" w:type="dxa"/>
            <w:vAlign w:val="bottom"/>
            <w:gridSpan w:val="2"/>
            <w:vMerge w:val="restart"/>
            <w:shd w:val="clear" w:color="auto" w:fill="CCEEFF"/>
          </w:tcPr>
          <w:p>
            <w:pPr>
              <w:jc w:val="center"/>
              <w:ind w:left="130"/>
              <w:spacing w:after="0"/>
              <w:rPr>
                <w:sz w:val="20"/>
                <w:szCs w:val="20"/>
                <w:color w:val="auto"/>
              </w:rPr>
            </w:pPr>
            <w:r>
              <w:rPr>
                <w:rFonts w:ascii="Arial" w:cs="Arial" w:eastAsia="Arial" w:hAnsi="Arial"/>
                <w:sz w:val="18"/>
                <w:szCs w:val="18"/>
                <w:color w:val="auto"/>
                <w:w w:val="90"/>
              </w:rPr>
              <w:t>$1,644</w:t>
            </w:r>
          </w:p>
        </w:tc>
        <w:tc>
          <w:tcPr>
            <w:tcW w:w="1240" w:type="dxa"/>
            <w:vAlign w:val="bottom"/>
            <w:gridSpan w:val="2"/>
            <w:vMerge w:val="restart"/>
            <w:shd w:val="clear" w:color="auto" w:fill="CCEEFF"/>
          </w:tcPr>
          <w:p>
            <w:pPr>
              <w:jc w:val="center"/>
              <w:ind w:left="150"/>
              <w:spacing w:after="0"/>
              <w:rPr>
                <w:sz w:val="20"/>
                <w:szCs w:val="20"/>
                <w:color w:val="auto"/>
              </w:rPr>
            </w:pPr>
            <w:r>
              <w:rPr>
                <w:rFonts w:ascii="Arial" w:cs="Arial" w:eastAsia="Arial" w:hAnsi="Arial"/>
                <w:sz w:val="18"/>
                <w:szCs w:val="18"/>
                <w:color w:val="auto"/>
                <w:w w:val="91"/>
              </w:rPr>
              <w:t>$.10</w:t>
            </w:r>
          </w:p>
        </w:tc>
        <w:tc>
          <w:tcPr>
            <w:tcW w:w="1260" w:type="dxa"/>
            <w:vAlign w:val="bottom"/>
            <w:gridSpan w:val="2"/>
            <w:vMerge w:val="restart"/>
            <w:shd w:val="clear" w:color="auto" w:fill="CCEEFF"/>
          </w:tcPr>
          <w:p>
            <w:pPr>
              <w:jc w:val="center"/>
              <w:ind w:left="130"/>
              <w:spacing w:after="0"/>
              <w:rPr>
                <w:sz w:val="20"/>
                <w:szCs w:val="20"/>
                <w:color w:val="auto"/>
              </w:rPr>
            </w:pPr>
            <w:r>
              <w:rPr>
                <w:rFonts w:ascii="Arial" w:cs="Arial" w:eastAsia="Arial" w:hAnsi="Arial"/>
                <w:sz w:val="18"/>
                <w:szCs w:val="18"/>
                <w:color w:val="auto"/>
                <w:w w:val="91"/>
              </w:rPr>
              <w:t>$.10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Corporation</w:t>
            </w:r>
          </w:p>
        </w:tc>
        <w:tc>
          <w:tcPr>
            <w:tcW w:w="104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0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7"/>
              </w:rPr>
              <w:t>15,742</w:t>
            </w:r>
          </w:p>
        </w:tc>
        <w:tc>
          <w:tcPr>
            <w:tcW w:w="12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16,193</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15,922</w:t>
            </w:r>
          </w:p>
        </w:tc>
        <w:tc>
          <w:tcPr>
            <w:tcW w:w="12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7"/>
              </w:rPr>
              <w:t>16,520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98"/>
              </w:rPr>
              <w:t>Six-Month Period Ended</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left="110"/>
              <w:spacing w:after="0"/>
              <w:rPr>
                <w:sz w:val="20"/>
                <w:szCs w:val="20"/>
                <w:color w:val="auto"/>
              </w:rPr>
            </w:pPr>
            <w:r>
              <w:rPr>
                <w:rFonts w:ascii="Arial" w:cs="Arial" w:eastAsia="Arial" w:hAnsi="Arial"/>
                <w:sz w:val="18"/>
                <w:szCs w:val="18"/>
                <w:b w:val="1"/>
                <w:bCs w:val="1"/>
                <w:color w:val="auto"/>
                <w:w w:val="88"/>
              </w:rPr>
              <w:t>June 30, 2019</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July 1, 2018</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Per</w:t>
            </w:r>
          </w:p>
        </w:tc>
        <w:tc>
          <w:tcPr>
            <w:tcW w:w="220" w:type="dxa"/>
            <w:vAlign w:val="bottom"/>
          </w:tcPr>
          <w:p>
            <w:pPr>
              <w:spacing w:after="0"/>
              <w:rPr>
                <w:sz w:val="16"/>
                <w:szCs w:val="16"/>
                <w:color w:val="auto"/>
              </w:rPr>
            </w:pPr>
          </w:p>
        </w:tc>
        <w:tc>
          <w:tcPr>
            <w:tcW w:w="10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Per</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Per</w:t>
            </w:r>
          </w:p>
        </w:tc>
        <w:tc>
          <w:tcPr>
            <w:tcW w:w="220" w:type="dxa"/>
            <w:vAlign w:val="bottom"/>
          </w:tcPr>
          <w:p>
            <w:pPr>
              <w:spacing w:after="0"/>
              <w:rPr>
                <w:sz w:val="16"/>
                <w:szCs w:val="16"/>
                <w:color w:val="auto"/>
              </w:rPr>
            </w:pPr>
          </w:p>
        </w:tc>
        <w:tc>
          <w:tcPr>
            <w:tcW w:w="10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3"/>
              </w:rPr>
              <w:t>Basic</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4"/>
              </w:rPr>
              <w:t>Diluted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3"/>
              </w:rPr>
              <w:t>Basic</w:t>
            </w:r>
          </w:p>
        </w:tc>
        <w:tc>
          <w:tcPr>
            <w:tcW w:w="2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Diluted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Share</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 Corporate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$2,681</w:t>
            </w:r>
          </w:p>
        </w:tc>
        <w:tc>
          <w:tcPr>
            <w:tcW w:w="128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1"/>
              </w:rPr>
              <w:t>$.17</w:t>
            </w:r>
          </w:p>
        </w:tc>
        <w:tc>
          <w:tcPr>
            <w:tcW w:w="12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5"/>
              </w:rPr>
              <w:t>$.17</w:t>
            </w:r>
          </w:p>
        </w:tc>
        <w:tc>
          <w:tcPr>
            <w:tcW w:w="12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$3,777</w:t>
            </w:r>
          </w:p>
        </w:tc>
        <w:tc>
          <w:tcPr>
            <w:tcW w:w="12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1"/>
              </w:rPr>
              <w:t>$.24</w:t>
            </w:r>
          </w:p>
        </w:tc>
        <w:tc>
          <w:tcPr>
            <w:tcW w:w="12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Deferred tax provision</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636</w:t>
            </w:r>
          </w:p>
        </w:tc>
        <w:tc>
          <w:tcPr>
            <w:tcW w:w="24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.04</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.04</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36</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Adjusted net income attributable to Ultralife</w:t>
            </w: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$3,317</w:t>
            </w:r>
          </w:p>
        </w:tc>
        <w:tc>
          <w:tcPr>
            <w:tcW w:w="240" w:type="dxa"/>
            <w:vAlign w:val="bottom"/>
            <w:vMerge w:val="restart"/>
            <w:shd w:val="clear" w:color="auto" w:fill="CCEEFF"/>
          </w:tcPr>
          <w:p>
            <w:pPr>
              <w:spacing w:after="0"/>
              <w:rPr>
                <w:sz w:val="16"/>
                <w:szCs w:val="16"/>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$.21</w:t>
            </w:r>
          </w:p>
        </w:tc>
        <w:tc>
          <w:tcPr>
            <w:tcW w:w="220" w:type="dxa"/>
            <w:vAlign w:val="bottom"/>
            <w:vMerge w:val="restart"/>
            <w:shd w:val="clear" w:color="auto" w:fill="CCEEFF"/>
          </w:tcPr>
          <w:p>
            <w:pPr>
              <w:spacing w:after="0"/>
              <w:rPr>
                <w:sz w:val="16"/>
                <w:szCs w:val="16"/>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5"/>
              </w:rPr>
              <w:t>$.21</w:t>
            </w:r>
          </w:p>
        </w:tc>
        <w:tc>
          <w:tcPr>
            <w:tcW w:w="220" w:type="dxa"/>
            <w:vAlign w:val="bottom"/>
            <w:vMerge w:val="restart"/>
            <w:shd w:val="clear" w:color="auto" w:fill="CCEEFF"/>
          </w:tcPr>
          <w:p>
            <w:pPr>
              <w:spacing w:after="0"/>
              <w:rPr>
                <w:sz w:val="16"/>
                <w:szCs w:val="16"/>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$3,813</w:t>
            </w:r>
          </w:p>
        </w:tc>
        <w:tc>
          <w:tcPr>
            <w:tcW w:w="220" w:type="dxa"/>
            <w:vAlign w:val="bottom"/>
            <w:vMerge w:val="restart"/>
            <w:shd w:val="clear" w:color="auto" w:fill="CCEEFF"/>
          </w:tcPr>
          <w:p>
            <w:pPr>
              <w:spacing w:after="0"/>
              <w:rPr>
                <w:sz w:val="16"/>
                <w:szCs w:val="16"/>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$.24</w:t>
            </w:r>
          </w:p>
        </w:tc>
        <w:tc>
          <w:tcPr>
            <w:tcW w:w="220" w:type="dxa"/>
            <w:vAlign w:val="bottom"/>
            <w:vMerge w:val="restart"/>
            <w:shd w:val="clear" w:color="auto" w:fill="CCEEFF"/>
          </w:tcPr>
          <w:p>
            <w:pPr>
              <w:spacing w:after="0"/>
              <w:rPr>
                <w:sz w:val="16"/>
                <w:szCs w:val="16"/>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$.23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Corporation</w:t>
            </w: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12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12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7"/>
              </w:rPr>
              <w:t>15,741</w:t>
            </w:r>
          </w:p>
        </w:tc>
        <w:tc>
          <w:tcPr>
            <w:tcW w:w="12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16,180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15,813</w:t>
            </w:r>
          </w:p>
        </w:tc>
        <w:tc>
          <w:tcPr>
            <w:tcW w:w="12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7"/>
              </w:rPr>
              <w:t>16,354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June 30, 2019, cash totaled $6,816, a decrease of $19,118 as compared to $25,934 of cash held at December 31, 2018, primarily driven by the acquisition of SWE on May 1, 2019, the procurement of inventory to fulfill the higher backlog level entering 2019, an increase in accounts receivable due to the timing of shipments, strategic capital investments for our Battery &amp; Energy Products business, and repurchases of our common stock under our Share Repurchase Program.</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six-month period ended June 30, 2019, net cash of $4,246 was used in operations, driven by a $6,779 increase in inventory and a $5,466 increase in accounts receivable primarily attributable to the large program awards announced in October 2018 for our Communications Systems business. Cash used in operations was largely offset by net income of $2,732, non-cash expenses (depreciation, amortization, stock-based compensation and deferred taxes) totaling $2,202, and an increase of $3,065 in accounts payable and other working capital items primarily attributable to the procurement of inventories.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ind w:right="400"/>
        <w:spacing w:after="0" w:line="264" w:lineRule="auto"/>
        <w:rPr>
          <w:sz w:val="20"/>
          <w:szCs w:val="20"/>
          <w:color w:val="auto"/>
        </w:rPr>
      </w:pPr>
      <w:r>
        <w:rPr>
          <w:rFonts w:ascii="Arial" w:cs="Arial" w:eastAsia="Arial" w:hAnsi="Arial"/>
          <w:sz w:val="18"/>
          <w:szCs w:val="18"/>
          <w:color w:val="auto"/>
        </w:rPr>
        <w:t>Cash used in investing activities for the six months ended June 30, 2019 was $29,041, consisting of the purchase price for SWE of $25,248, net of cash acquired, and capital expenditures of $3,793 primarily due to investment in automation equipment pertaining to our Battery &amp; Energy Products business, including 3-Volt cell production.</w:t>
      </w:r>
    </w:p>
    <w:p>
      <w:pPr>
        <w:spacing w:after="0" w:line="18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Net cash provided by financing activities for the six months ended June 30, 2019 was $14,326, consisting of $15,970 of net borrowings drawn against our Credit Facilities primarily to fund the acquisition of SWE and stock option exercise proceeds of $478, partially offset by repurchases of our common stock under our Share Repurchase Program totaling $1,957 and debt issuance costs of $157.</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2019, the Company has significant U.S. net operating loss carryforwards available to utilize as an offset to future taxable income. See Note 8 in the Notes to Consolidated Financial Statements for additional information.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2019, we had made commitments to purchase approximately $1,418 of production machinery and equipment, which we expect to fund through operating cash flows or debt borrowings.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Commitments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 2019, in connection with financing the SWE acquisition (see Note 3 to the Notes to Consolidated Financial Statements), the Company drew down $8,000 million on its Term Loan Facility and $6,782 million under its Revolving Credit Facility. As of June 30, 2019, we had $7,788 outstanding principal on the Term Loan Facility, of which $1,291 is due to be paid over the next twelve months, and $8,182 outstanding principal on the Revolving Credit Facility. As of June 30, 2019, the Company is in full compliance with its debt covenants under the Credit Facilities. Management believes that cash flow generated from future operations and remaining availability under our Revolving Credit Facility will be sufficient to meet our general funding requirements for the foreseeable future.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exercises judgment in making important decisions pertaining to choosing and applying accounting policies and methodologies in many areas. Not only are these decisions necessary to comply with U.S. GAAP,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2018 Annual Report on Form 10-K should be reviewed for a greater understanding of how our financial performance is recorded and reported.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During the first six months of 2019, there were no significant changes in the manner in which our significant accounting policies were applied or in which related assumptions and estimates were developed. Refer to Note 1 in the notes to consolidated financial statements for updated accounting policies to reflect the Company’s adoption of Topic 842 -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of January 1, 2019.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3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Refer to Note 4 of the Notes to Consolidated Financial Statements (Part I, Item 1 of this Form 10-Q) for further discussion regarding share repurchases.</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31, 2018, the Company’s Board of Directors approved a share repurchase program (the “Share Repurchase Program”) which became effective on November 1, 2018 and under which the Company was authorized to repurchase up to 2.5 million shares of its outstanding common stock over a period not to exceed twelve months.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Share repurchases under this program were made in accordance with SEC Rule 10b-18 using a variety of methods, which included open market purchases and block trades in compliance with applicable insider trading and other securities laws and regulations. With the exception of repurchases made during stock trading black-out periods under 10b5-1 Plans, the timing, manner, price and amount of any repurchases were determined at the Company’s discretion.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repurchases of common stock for the first six months of 2019 under this program: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 of</w:t>
            </w: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Shares That</w:t>
            </w:r>
          </w:p>
        </w:tc>
      </w:tr>
      <w:tr>
        <w:trPr>
          <w:trHeight w:val="216"/>
        </w:trPr>
        <w:tc>
          <w:tcPr>
            <w:tcW w:w="60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As Part of</w:t>
            </w: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60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w:t>
            </w:r>
          </w:p>
        </w:tc>
        <w:tc>
          <w:tcPr>
            <w:tcW w:w="2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Purchased</w:t>
            </w:r>
          </w:p>
        </w:tc>
      </w:tr>
      <w:tr>
        <w:trPr>
          <w:trHeight w:val="216"/>
        </w:trPr>
        <w:tc>
          <w:tcPr>
            <w:tcW w:w="60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Price Paid</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Under the</w:t>
            </w:r>
          </w:p>
        </w:tc>
      </w:tr>
      <w:tr>
        <w:trPr>
          <w:trHeight w:val="234"/>
        </w:trPr>
        <w:tc>
          <w:tcPr>
            <w:tcW w:w="608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Per Share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Program</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Program</w:t>
            </w:r>
          </w:p>
        </w:tc>
        <w:tc>
          <w:tcPr>
            <w:tcW w:w="100" w:type="dxa"/>
            <w:vAlign w:val="bottom"/>
          </w:tcPr>
          <w:p>
            <w:pPr>
              <w:spacing w:after="0"/>
              <w:rPr>
                <w:sz w:val="20"/>
                <w:szCs w:val="20"/>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January 2019</w:t>
            </w:r>
          </w:p>
        </w:tc>
        <w:tc>
          <w:tcPr>
            <w:tcW w:w="1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267,100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7.29</w:t>
            </w:r>
          </w:p>
        </w:tc>
        <w:tc>
          <w:tcPr>
            <w:tcW w:w="1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372,774</w:t>
            </w:r>
          </w:p>
        </w:tc>
        <w:tc>
          <w:tcPr>
            <w:tcW w:w="1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2,127,226</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February 2019</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86"/>
              </w:rPr>
              <w:t>200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7.49</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372,974</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2,127,026</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March 2019</w:t>
            </w:r>
          </w:p>
        </w:tc>
        <w:tc>
          <w:tcPr>
            <w:tcW w:w="1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372,974</w:t>
            </w:r>
          </w:p>
        </w:tc>
        <w:tc>
          <w:tcPr>
            <w:tcW w:w="1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2,127,026</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April 2019</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372,974</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2,127,026</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May 2019</w:t>
            </w:r>
          </w:p>
        </w:tc>
        <w:tc>
          <w:tcPr>
            <w:tcW w:w="1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372,974</w:t>
            </w:r>
          </w:p>
        </w:tc>
        <w:tc>
          <w:tcPr>
            <w:tcW w:w="1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2,127,026</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June 2019</w:t>
            </w:r>
          </w:p>
        </w:tc>
        <w:tc>
          <w:tcPr>
            <w:tcW w:w="11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372,974</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2,127,026</w:t>
            </w:r>
          </w:p>
        </w:tc>
        <w:tc>
          <w:tcPr>
            <w:tcW w:w="100" w:type="dxa"/>
            <w:vAlign w:val="bottom"/>
          </w:tcPr>
          <w:p>
            <w:pPr>
              <w:spacing w:after="0"/>
              <w:rPr>
                <w:sz w:val="18"/>
                <w:szCs w:val="18"/>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267,300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372,974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repurchases were made using cash resources. The above table excludes shares repurchased to settle employee tax withholding related to the vesting of stock awards.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8040" w:type="dxa"/>
            <w:vAlign w:val="bottom"/>
            <w:gridSpan w:val="15"/>
          </w:tcPr>
          <w:p>
            <w:pPr>
              <w:spacing w:after="0"/>
              <w:rPr>
                <w:sz w:val="20"/>
                <w:szCs w:val="20"/>
                <w:color w:val="auto"/>
              </w:rPr>
            </w:pPr>
            <w:r>
              <w:rPr>
                <w:rFonts w:ascii="Arial" w:cs="Arial" w:eastAsia="Arial" w:hAnsi="Arial"/>
                <w:sz w:val="18"/>
                <w:szCs w:val="18"/>
                <w:b w:val="1"/>
                <w:bCs w:val="1"/>
                <w:color w:val="auto"/>
              </w:rPr>
              <w:t>Item 6.   EXHIBITS</w:t>
            </w:r>
          </w:p>
        </w:tc>
        <w:tc>
          <w:tcPr>
            <w:tcW w:w="31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Exhibit</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Index</w:t>
            </w:r>
          </w:p>
        </w:tc>
        <w:tc>
          <w:tcPr>
            <w:tcW w:w="100" w:type="dxa"/>
            <w:vAlign w:val="bottom"/>
          </w:tcPr>
          <w:p>
            <w:pPr>
              <w:spacing w:after="0"/>
              <w:rPr>
                <w:sz w:val="20"/>
                <w:szCs w:val="20"/>
                <w:color w:val="auto"/>
              </w:rPr>
            </w:pPr>
          </w:p>
        </w:tc>
        <w:tc>
          <w:tcPr>
            <w:tcW w:w="6940" w:type="dxa"/>
            <w:vAlign w:val="bottom"/>
            <w:gridSpan w:val="12"/>
          </w:tcPr>
          <w:p>
            <w:pPr>
              <w:spacing w:after="0"/>
              <w:rPr>
                <w:sz w:val="20"/>
                <w:szCs w:val="20"/>
                <w:color w:val="auto"/>
              </w:rPr>
            </w:pPr>
            <w:r>
              <w:rPr>
                <w:rFonts w:ascii="Arial" w:cs="Arial" w:eastAsia="Arial" w:hAnsi="Arial"/>
                <w:sz w:val="18"/>
                <w:szCs w:val="18"/>
                <w:color w:val="auto"/>
              </w:rPr>
              <w:t>Exhibit Description</w:t>
            </w:r>
          </w:p>
        </w:tc>
        <w:tc>
          <w:tcPr>
            <w:tcW w:w="3120" w:type="dxa"/>
            <w:vAlign w:val="bottom"/>
          </w:tcPr>
          <w:p>
            <w:pPr>
              <w:spacing w:after="0"/>
              <w:rPr>
                <w:sz w:val="20"/>
                <w:szCs w:val="20"/>
                <w:color w:val="auto"/>
              </w:rPr>
            </w:pPr>
            <w:r>
              <w:rPr>
                <w:rFonts w:ascii="Arial" w:cs="Arial" w:eastAsia="Arial" w:hAnsi="Arial"/>
                <w:sz w:val="18"/>
                <w:szCs w:val="18"/>
                <w:color w:val="auto"/>
              </w:rPr>
              <w:t>Incorporated by Reference from</w:t>
            </w:r>
          </w:p>
        </w:tc>
        <w:tc>
          <w:tcPr>
            <w:tcW w:w="260" w:type="dxa"/>
            <w:vAlign w:val="bottom"/>
          </w:tcPr>
          <w:p>
            <w:pPr>
              <w:spacing w:after="0"/>
              <w:rPr>
                <w:sz w:val="20"/>
                <w:szCs w:val="20"/>
                <w:color w:val="auto"/>
              </w:rPr>
            </w:pPr>
          </w:p>
        </w:tc>
      </w:tr>
      <w:tr>
        <w:trPr>
          <w:trHeight w:val="169"/>
        </w:trPr>
        <w:tc>
          <w:tcPr>
            <w:tcW w:w="340" w:type="dxa"/>
            <w:vAlign w:val="bottom"/>
          </w:tcPr>
          <w:p>
            <w:pPr>
              <w:spacing w:after="0"/>
              <w:rPr>
                <w:sz w:val="14"/>
                <w:szCs w:val="14"/>
                <w:color w:val="auto"/>
              </w:rPr>
            </w:pPr>
          </w:p>
        </w:tc>
        <w:tc>
          <w:tcPr>
            <w:tcW w:w="66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4"/>
                <w:szCs w:val="14"/>
                <w:color w:val="auto"/>
              </w:rPr>
            </w:pPr>
          </w:p>
        </w:tc>
        <w:tc>
          <w:tcPr>
            <w:tcW w:w="6820" w:type="dxa"/>
            <w:vAlign w:val="bottom"/>
            <w:tcBorders>
              <w:top w:val="single" w:sz="8" w:color="auto"/>
              <w:bottom w:val="single" w:sz="8" w:color="0000EE"/>
            </w:tcBorders>
            <w:gridSpan w:val="10"/>
          </w:tcPr>
          <w:p>
            <w:pPr>
              <w:spacing w:after="0" w:line="170" w:lineRule="exact"/>
              <w:rPr>
                <w:rFonts w:ascii="Arial" w:cs="Arial" w:eastAsia="Arial" w:hAnsi="Arial"/>
                <w:sz w:val="18"/>
                <w:szCs w:val="18"/>
                <w:color w:val="0000EE"/>
              </w:rPr>
            </w:pPr>
            <w:hyperlink r:id="rId36">
              <w:r>
                <w:rPr>
                  <w:rFonts w:ascii="Arial" w:cs="Arial" w:eastAsia="Arial" w:hAnsi="Arial"/>
                  <w:sz w:val="18"/>
                  <w:szCs w:val="18"/>
                  <w:color w:val="0000EE"/>
                </w:rPr>
                <w:t>Stock Purchase Agreement, dated May 1, 2019, by and among Ultralife Corporation,</w:t>
              </w:r>
            </w:hyperlink>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w w:val="95"/>
              </w:rPr>
              <w:t>Exhibit 2.1 of Form 8-K filed May 2, 2019</w:t>
            </w:r>
          </w:p>
        </w:tc>
        <w:tc>
          <w:tcPr>
            <w:tcW w:w="260" w:type="dxa"/>
            <w:vAlign w:val="bottom"/>
          </w:tcPr>
          <w:p>
            <w:pPr>
              <w:spacing w:after="0"/>
              <w:rPr>
                <w:sz w:val="14"/>
                <w:szCs w:val="14"/>
                <w:color w:val="auto"/>
              </w:rPr>
            </w:pPr>
          </w:p>
        </w:tc>
      </w:tr>
      <w:tr>
        <w:trPr>
          <w:trHeight w:val="196"/>
        </w:trPr>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4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r:id="rId36">
              <w:r>
                <w:rPr>
                  <w:rFonts w:ascii="Arial" w:cs="Arial" w:eastAsia="Arial" w:hAnsi="Arial"/>
                  <w:sz w:val="18"/>
                  <w:szCs w:val="18"/>
                  <w:color w:val="0000EE"/>
                  <w:w w:val="94"/>
                </w:rPr>
                <w:t>Southwest Electronic Energy Corporation, Southwest Electronic Energy Medical Research</w:t>
              </w:r>
            </w:hyperlink>
          </w:p>
        </w:tc>
        <w:tc>
          <w:tcPr>
            <w:tcW w:w="1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36">
              <w:r>
                <w:rPr>
                  <w:rFonts w:ascii="Arial" w:cs="Arial" w:eastAsia="Arial" w:hAnsi="Arial"/>
                  <w:sz w:val="18"/>
                  <w:szCs w:val="18"/>
                  <w:color w:val="0000EE"/>
                  <w:w w:val="89"/>
                </w:rPr>
                <w:t>Institute, and Claude Leonard Benckenstein</w:t>
              </w:r>
            </w:hyperlink>
          </w:p>
        </w:tc>
        <w:tc>
          <w:tcPr>
            <w:tcW w:w="3780" w:type="dxa"/>
            <w:vAlign w:val="bottom"/>
            <w:gridSpan w:val="9"/>
          </w:tcPr>
          <w:p>
            <w:pPr>
              <w:spacing w:after="0"/>
              <w:rPr>
                <w:sz w:val="17"/>
                <w:szCs w:val="17"/>
                <w:color w:val="auto"/>
              </w:rPr>
            </w:pPr>
          </w:p>
        </w:tc>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00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7"/>
                <w:szCs w:val="17"/>
                <w:color w:val="auto"/>
              </w:rPr>
            </w:pPr>
          </w:p>
        </w:tc>
        <w:tc>
          <w:tcPr>
            <w:tcW w:w="6820" w:type="dxa"/>
            <w:vAlign w:val="bottom"/>
            <w:tcBorders>
              <w:bottom w:val="single" w:sz="8" w:color="0000EE"/>
            </w:tcBorders>
            <w:gridSpan w:val="10"/>
          </w:tcPr>
          <w:p>
            <w:pPr>
              <w:spacing w:after="0" w:line="196" w:lineRule="exact"/>
              <w:rPr>
                <w:rFonts w:ascii="Arial" w:cs="Arial" w:eastAsia="Arial" w:hAnsi="Arial"/>
                <w:sz w:val="18"/>
                <w:szCs w:val="18"/>
                <w:color w:val="0000EE"/>
                <w:w w:val="99"/>
              </w:rPr>
            </w:pPr>
            <w:hyperlink r:id="rId37">
              <w:r>
                <w:rPr>
                  <w:rFonts w:ascii="Arial" w:cs="Arial" w:eastAsia="Arial" w:hAnsi="Arial"/>
                  <w:sz w:val="18"/>
                  <w:szCs w:val="18"/>
                  <w:color w:val="0000EE"/>
                  <w:w w:val="99"/>
                </w:rPr>
                <w:t>First Amendment Agreement, dated May 1, 2019, by and among Ultralife Corporation,</w:t>
              </w:r>
            </w:hyperlink>
          </w:p>
        </w:tc>
        <w:tc>
          <w:tcPr>
            <w:tcW w:w="120" w:type="dxa"/>
            <w:vAlign w:val="bottom"/>
            <w:gridSpan w:val="2"/>
          </w:tcPr>
          <w:p>
            <w:pPr>
              <w:spacing w:after="0"/>
              <w:rPr>
                <w:sz w:val="17"/>
                <w:szCs w:val="17"/>
                <w:color w:val="auto"/>
              </w:rPr>
            </w:pPr>
          </w:p>
        </w:tc>
        <w:tc>
          <w:tcPr>
            <w:tcW w:w="3120" w:type="dxa"/>
            <w:vAlign w:val="bottom"/>
          </w:tcPr>
          <w:p>
            <w:pPr>
              <w:spacing w:after="0" w:line="196" w:lineRule="exact"/>
              <w:rPr>
                <w:sz w:val="20"/>
                <w:szCs w:val="20"/>
                <w:color w:val="auto"/>
              </w:rPr>
            </w:pPr>
            <w:r>
              <w:rPr>
                <w:rFonts w:ascii="Arial" w:cs="Arial" w:eastAsia="Arial" w:hAnsi="Arial"/>
                <w:sz w:val="18"/>
                <w:szCs w:val="18"/>
                <w:color w:val="auto"/>
              </w:rPr>
              <w:t>Exhibit 10.1 of Form 8-K filed May 2,</w:t>
            </w:r>
          </w:p>
        </w:tc>
        <w:tc>
          <w:tcPr>
            <w:tcW w:w="2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37">
              <w:r>
                <w:rPr>
                  <w:rFonts w:ascii="Arial" w:cs="Arial" w:eastAsia="Arial" w:hAnsi="Arial"/>
                  <w:sz w:val="18"/>
                  <w:szCs w:val="18"/>
                  <w:color w:val="0000EE"/>
                  <w:w w:val="92"/>
                </w:rPr>
                <w:t>Southwest Electronic Energy Corporation, CLB, INC., and KeyBank National Association</w:t>
              </w:r>
            </w:hyperlink>
          </w:p>
        </w:tc>
        <w:tc>
          <w:tcPr>
            <w:tcW w:w="400" w:type="dxa"/>
            <w:vAlign w:val="bottom"/>
            <w:gridSpan w:val="3"/>
          </w:tcPr>
          <w:p>
            <w:pPr>
              <w:spacing w:after="0"/>
              <w:rPr>
                <w:sz w:val="17"/>
                <w:szCs w:val="17"/>
                <w:color w:val="auto"/>
              </w:rPr>
            </w:pPr>
          </w:p>
        </w:tc>
        <w:tc>
          <w:tcPr>
            <w:tcW w:w="3120" w:type="dxa"/>
            <w:vAlign w:val="bottom"/>
          </w:tcPr>
          <w:p>
            <w:pPr>
              <w:spacing w:after="0" w:line="196" w:lineRule="exact"/>
              <w:rPr>
                <w:sz w:val="20"/>
                <w:szCs w:val="20"/>
                <w:color w:val="auto"/>
              </w:rPr>
            </w:pPr>
            <w:r>
              <w:rPr>
                <w:rFonts w:ascii="Arial" w:cs="Arial" w:eastAsia="Arial" w:hAnsi="Arial"/>
                <w:sz w:val="18"/>
                <w:szCs w:val="18"/>
                <w:color w:val="auto"/>
              </w:rPr>
              <w:t>2019</w:t>
            </w:r>
          </w:p>
        </w:tc>
        <w:tc>
          <w:tcPr>
            <w:tcW w:w="260" w:type="dxa"/>
            <w:vAlign w:val="bottom"/>
          </w:tcPr>
          <w:p>
            <w:pPr>
              <w:spacing w:after="0"/>
              <w:rPr>
                <w:sz w:val="17"/>
                <w:szCs w:val="17"/>
                <w:color w:val="auto"/>
              </w:rPr>
            </w:pPr>
          </w:p>
        </w:tc>
      </w:tr>
      <w:tr>
        <w:trPr>
          <w:trHeight w:val="196"/>
        </w:trPr>
        <w:tc>
          <w:tcPr>
            <w:tcW w:w="100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10.2</w:t>
            </w:r>
          </w:p>
        </w:tc>
        <w:tc>
          <w:tcPr>
            <w:tcW w:w="100" w:type="dxa"/>
            <w:vAlign w:val="bottom"/>
          </w:tcPr>
          <w:p>
            <w:pPr>
              <w:spacing w:after="0"/>
              <w:rPr>
                <w:sz w:val="17"/>
                <w:szCs w:val="17"/>
                <w:color w:val="auto"/>
              </w:rPr>
            </w:pPr>
          </w:p>
        </w:tc>
        <w:tc>
          <w:tcPr>
            <w:tcW w:w="682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r:id="rId38">
              <w:r>
                <w:rPr>
                  <w:rFonts w:ascii="Arial" w:cs="Arial" w:eastAsia="Arial" w:hAnsi="Arial"/>
                  <w:sz w:val="18"/>
                  <w:szCs w:val="18"/>
                  <w:color w:val="0000EE"/>
                  <w:w w:val="97"/>
                </w:rPr>
                <w:t>Intellectual Property Security Agreement, dated May 1, 2019, by and among Southwest</w:t>
              </w:r>
            </w:hyperlink>
          </w:p>
        </w:tc>
        <w:tc>
          <w:tcPr>
            <w:tcW w:w="120" w:type="dxa"/>
            <w:vAlign w:val="bottom"/>
            <w:gridSpan w:val="2"/>
          </w:tcPr>
          <w:p>
            <w:pPr>
              <w:spacing w:after="0"/>
              <w:rPr>
                <w:sz w:val="17"/>
                <w:szCs w:val="17"/>
                <w:color w:val="auto"/>
              </w:rPr>
            </w:pPr>
          </w:p>
        </w:tc>
        <w:tc>
          <w:tcPr>
            <w:tcW w:w="3120" w:type="dxa"/>
            <w:vAlign w:val="bottom"/>
          </w:tcPr>
          <w:p>
            <w:pPr>
              <w:spacing w:after="0" w:line="196" w:lineRule="exact"/>
              <w:rPr>
                <w:sz w:val="20"/>
                <w:szCs w:val="20"/>
                <w:color w:val="auto"/>
              </w:rPr>
            </w:pPr>
            <w:r>
              <w:rPr>
                <w:rFonts w:ascii="Arial" w:cs="Arial" w:eastAsia="Arial" w:hAnsi="Arial"/>
                <w:sz w:val="18"/>
                <w:szCs w:val="18"/>
                <w:color w:val="auto"/>
              </w:rPr>
              <w:t>Exhibit 10.2 of Form 8-K filed May 2,</w:t>
            </w:r>
          </w:p>
        </w:tc>
        <w:tc>
          <w:tcPr>
            <w:tcW w:w="2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38">
              <w:r>
                <w:rPr>
                  <w:rFonts w:ascii="Arial" w:cs="Arial" w:eastAsia="Arial" w:hAnsi="Arial"/>
                  <w:sz w:val="18"/>
                  <w:szCs w:val="18"/>
                  <w:color w:val="0000EE"/>
                  <w:w w:val="92"/>
                </w:rPr>
                <w:t>Electronic Energy Corporation, and KeyBank National Association</w:t>
              </w:r>
            </w:hyperlink>
          </w:p>
        </w:tc>
        <w:tc>
          <w:tcPr>
            <w:tcW w:w="2080" w:type="dxa"/>
            <w:vAlign w:val="bottom"/>
            <w:gridSpan w:val="5"/>
          </w:tcPr>
          <w:p>
            <w:pPr>
              <w:spacing w:after="0"/>
              <w:rPr>
                <w:sz w:val="17"/>
                <w:szCs w:val="17"/>
                <w:color w:val="auto"/>
              </w:rPr>
            </w:pPr>
          </w:p>
        </w:tc>
        <w:tc>
          <w:tcPr>
            <w:tcW w:w="3120" w:type="dxa"/>
            <w:vAlign w:val="bottom"/>
          </w:tcPr>
          <w:p>
            <w:pPr>
              <w:spacing w:after="0" w:line="196" w:lineRule="exact"/>
              <w:rPr>
                <w:sz w:val="20"/>
                <w:szCs w:val="20"/>
                <w:color w:val="auto"/>
              </w:rPr>
            </w:pPr>
            <w:r>
              <w:rPr>
                <w:rFonts w:ascii="Arial" w:cs="Arial" w:eastAsia="Arial" w:hAnsi="Arial"/>
                <w:sz w:val="18"/>
                <w:szCs w:val="18"/>
                <w:color w:val="auto"/>
              </w:rPr>
              <w:t>2019</w:t>
            </w:r>
          </w:p>
        </w:tc>
        <w:tc>
          <w:tcPr>
            <w:tcW w:w="260" w:type="dxa"/>
            <w:vAlign w:val="bottom"/>
          </w:tcPr>
          <w:p>
            <w:pPr>
              <w:spacing w:after="0"/>
              <w:rPr>
                <w:sz w:val="17"/>
                <w:szCs w:val="17"/>
                <w:color w:val="auto"/>
              </w:rPr>
            </w:pPr>
          </w:p>
        </w:tc>
      </w:tr>
      <w:tr>
        <w:trPr>
          <w:trHeight w:val="196"/>
        </w:trPr>
        <w:tc>
          <w:tcPr>
            <w:tcW w:w="100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7"/>
                <w:szCs w:val="17"/>
                <w:color w:val="auto"/>
              </w:rPr>
            </w:pPr>
          </w:p>
        </w:tc>
        <w:tc>
          <w:tcPr>
            <w:tcW w:w="68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39">
              <w:r>
                <w:rPr>
                  <w:rFonts w:ascii="Arial" w:cs="Arial" w:eastAsia="Arial" w:hAnsi="Arial"/>
                  <w:sz w:val="18"/>
                  <w:szCs w:val="18"/>
                  <w:color w:val="0000EE"/>
                  <w:w w:val="92"/>
                </w:rPr>
                <w:t>Intellectual Property Security Agreement, dated May 1, 2019, by and among CLB, INC., and</w:t>
              </w:r>
            </w:hyperlink>
          </w:p>
        </w:tc>
        <w:tc>
          <w:tcPr>
            <w:tcW w:w="120" w:type="dxa"/>
            <w:vAlign w:val="bottom"/>
            <w:gridSpan w:val="2"/>
          </w:tcPr>
          <w:p>
            <w:pPr>
              <w:spacing w:after="0"/>
              <w:rPr>
                <w:sz w:val="17"/>
                <w:szCs w:val="17"/>
                <w:color w:val="auto"/>
              </w:rPr>
            </w:pPr>
          </w:p>
        </w:tc>
        <w:tc>
          <w:tcPr>
            <w:tcW w:w="3120" w:type="dxa"/>
            <w:vAlign w:val="bottom"/>
          </w:tcPr>
          <w:p>
            <w:pPr>
              <w:spacing w:after="0" w:line="196" w:lineRule="exact"/>
              <w:rPr>
                <w:sz w:val="20"/>
                <w:szCs w:val="20"/>
                <w:color w:val="auto"/>
              </w:rPr>
            </w:pPr>
            <w:r>
              <w:rPr>
                <w:rFonts w:ascii="Arial" w:cs="Arial" w:eastAsia="Arial" w:hAnsi="Arial"/>
                <w:sz w:val="18"/>
                <w:szCs w:val="18"/>
                <w:color w:val="auto"/>
              </w:rPr>
              <w:t>Exhibit 10.3 of Form 8-K filed May 2,</w:t>
            </w:r>
          </w:p>
        </w:tc>
        <w:tc>
          <w:tcPr>
            <w:tcW w:w="2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40" w:type="dxa"/>
            <w:vAlign w:val="bottom"/>
            <w:gridSpan w:val="12"/>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KeyBank National Association</w:t>
              </w:r>
            </w:hyperlink>
          </w:p>
        </w:tc>
        <w:tc>
          <w:tcPr>
            <w:tcW w:w="3120" w:type="dxa"/>
            <w:vAlign w:val="bottom"/>
          </w:tcPr>
          <w:p>
            <w:pPr>
              <w:spacing w:after="0" w:line="196" w:lineRule="exact"/>
              <w:rPr>
                <w:sz w:val="20"/>
                <w:szCs w:val="20"/>
                <w:color w:val="auto"/>
              </w:rPr>
            </w:pPr>
            <w:r>
              <w:rPr>
                <w:rFonts w:ascii="Arial" w:cs="Arial" w:eastAsia="Arial" w:hAnsi="Arial"/>
                <w:sz w:val="18"/>
                <w:szCs w:val="18"/>
                <w:color w:val="auto"/>
              </w:rPr>
              <w:t>2019</w:t>
            </w:r>
          </w:p>
        </w:tc>
        <w:tc>
          <w:tcPr>
            <w:tcW w:w="260" w:type="dxa"/>
            <w:vAlign w:val="bottom"/>
          </w:tcPr>
          <w:p>
            <w:pPr>
              <w:spacing w:after="0"/>
              <w:rPr>
                <w:sz w:val="17"/>
                <w:szCs w:val="17"/>
                <w:color w:val="auto"/>
              </w:rPr>
            </w:pPr>
          </w:p>
        </w:tc>
      </w:tr>
      <w:tr>
        <w:trPr>
          <w:trHeight w:val="20"/>
        </w:trPr>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00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7"/>
                <w:szCs w:val="17"/>
                <w:color w:val="auto"/>
              </w:rPr>
            </w:pPr>
          </w:p>
        </w:tc>
        <w:tc>
          <w:tcPr>
            <w:tcW w:w="6820" w:type="dxa"/>
            <w:vAlign w:val="bottom"/>
            <w:tcBorders>
              <w:bottom w:val="single" w:sz="8" w:color="0000EE"/>
            </w:tcBorders>
            <w:gridSpan w:val="10"/>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Pledge Agreement, dated May 1, 2019, by and among Southwest Electronic Energy</w:t>
              </w:r>
            </w:hyperlink>
          </w:p>
        </w:tc>
        <w:tc>
          <w:tcPr>
            <w:tcW w:w="120" w:type="dxa"/>
            <w:vAlign w:val="bottom"/>
            <w:gridSpan w:val="2"/>
          </w:tcPr>
          <w:p>
            <w:pPr>
              <w:spacing w:after="0"/>
              <w:rPr>
                <w:sz w:val="17"/>
                <w:szCs w:val="17"/>
                <w:color w:val="auto"/>
              </w:rPr>
            </w:pPr>
          </w:p>
        </w:tc>
        <w:tc>
          <w:tcPr>
            <w:tcW w:w="3120" w:type="dxa"/>
            <w:vAlign w:val="bottom"/>
          </w:tcPr>
          <w:p>
            <w:pPr>
              <w:spacing w:after="0" w:line="196" w:lineRule="exact"/>
              <w:rPr>
                <w:sz w:val="20"/>
                <w:szCs w:val="20"/>
                <w:color w:val="auto"/>
              </w:rPr>
            </w:pPr>
            <w:r>
              <w:rPr>
                <w:rFonts w:ascii="Arial" w:cs="Arial" w:eastAsia="Arial" w:hAnsi="Arial"/>
                <w:sz w:val="18"/>
                <w:szCs w:val="18"/>
                <w:color w:val="auto"/>
              </w:rPr>
              <w:t>Exhibit 10.4 of Form 8-K filed May 2,</w:t>
            </w:r>
          </w:p>
        </w:tc>
        <w:tc>
          <w:tcPr>
            <w:tcW w:w="2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40" w:type="dxa"/>
            <w:vAlign w:val="bottom"/>
            <w:gridSpan w:val="12"/>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Corporation, and KeyBank National Association</w:t>
              </w:r>
            </w:hyperlink>
          </w:p>
        </w:tc>
        <w:tc>
          <w:tcPr>
            <w:tcW w:w="3120" w:type="dxa"/>
            <w:vAlign w:val="bottom"/>
          </w:tcPr>
          <w:p>
            <w:pPr>
              <w:spacing w:after="0" w:line="196" w:lineRule="exact"/>
              <w:rPr>
                <w:sz w:val="20"/>
                <w:szCs w:val="20"/>
                <w:color w:val="auto"/>
              </w:rPr>
            </w:pPr>
            <w:r>
              <w:rPr>
                <w:rFonts w:ascii="Arial" w:cs="Arial" w:eastAsia="Arial" w:hAnsi="Arial"/>
                <w:sz w:val="18"/>
                <w:szCs w:val="18"/>
                <w:color w:val="auto"/>
              </w:rPr>
              <w:t>2019</w:t>
            </w:r>
          </w:p>
        </w:tc>
        <w:tc>
          <w:tcPr>
            <w:tcW w:w="260" w:type="dxa"/>
            <w:vAlign w:val="bottom"/>
          </w:tcPr>
          <w:p>
            <w:pPr>
              <w:spacing w:after="0"/>
              <w:rPr>
                <w:sz w:val="17"/>
                <w:szCs w:val="17"/>
                <w:color w:val="auto"/>
              </w:rPr>
            </w:pPr>
          </w:p>
        </w:tc>
      </w:tr>
      <w:tr>
        <w:trPr>
          <w:trHeight w:val="20"/>
        </w:trPr>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00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7"/>
                <w:szCs w:val="17"/>
                <w:color w:val="auto"/>
              </w:rPr>
            </w:pPr>
          </w:p>
        </w:tc>
        <w:tc>
          <w:tcPr>
            <w:tcW w:w="68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41">
              <w:r>
                <w:rPr>
                  <w:rFonts w:ascii="Arial" w:cs="Arial" w:eastAsia="Arial" w:hAnsi="Arial"/>
                  <w:sz w:val="18"/>
                  <w:szCs w:val="18"/>
                  <w:color w:val="0000EE"/>
                  <w:w w:val="91"/>
                </w:rPr>
                <w:t>Assumption and Joinder Agreement, dated May 1, 2019, by and among Ultralife Corporation,</w:t>
              </w:r>
            </w:hyperlink>
          </w:p>
        </w:tc>
        <w:tc>
          <w:tcPr>
            <w:tcW w:w="120" w:type="dxa"/>
            <w:vAlign w:val="bottom"/>
            <w:gridSpan w:val="2"/>
          </w:tcPr>
          <w:p>
            <w:pPr>
              <w:spacing w:after="0"/>
              <w:rPr>
                <w:sz w:val="17"/>
                <w:szCs w:val="17"/>
                <w:color w:val="auto"/>
              </w:rPr>
            </w:pPr>
          </w:p>
        </w:tc>
        <w:tc>
          <w:tcPr>
            <w:tcW w:w="3120" w:type="dxa"/>
            <w:vAlign w:val="bottom"/>
          </w:tcPr>
          <w:p>
            <w:pPr>
              <w:spacing w:after="0" w:line="196" w:lineRule="exact"/>
              <w:rPr>
                <w:sz w:val="20"/>
                <w:szCs w:val="20"/>
                <w:color w:val="auto"/>
              </w:rPr>
            </w:pPr>
            <w:r>
              <w:rPr>
                <w:rFonts w:ascii="Arial" w:cs="Arial" w:eastAsia="Arial" w:hAnsi="Arial"/>
                <w:sz w:val="18"/>
                <w:szCs w:val="18"/>
                <w:color w:val="auto"/>
              </w:rPr>
              <w:t>Exhibit 10.5 of Form 8-K filed May 2,</w:t>
            </w:r>
          </w:p>
        </w:tc>
        <w:tc>
          <w:tcPr>
            <w:tcW w:w="2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41">
              <w:r>
                <w:rPr>
                  <w:rFonts w:ascii="Arial" w:cs="Arial" w:eastAsia="Arial" w:hAnsi="Arial"/>
                  <w:sz w:val="18"/>
                  <w:szCs w:val="18"/>
                  <w:color w:val="0000EE"/>
                  <w:w w:val="92"/>
                </w:rPr>
                <w:t>Southwest Electronic Energy Corporation, CLB, INC., and KeyBank National Association</w:t>
              </w:r>
            </w:hyperlink>
          </w:p>
        </w:tc>
        <w:tc>
          <w:tcPr>
            <w:tcW w:w="400" w:type="dxa"/>
            <w:vAlign w:val="bottom"/>
            <w:gridSpan w:val="3"/>
          </w:tcPr>
          <w:p>
            <w:pPr>
              <w:spacing w:after="0"/>
              <w:rPr>
                <w:sz w:val="17"/>
                <w:szCs w:val="17"/>
                <w:color w:val="auto"/>
              </w:rPr>
            </w:pPr>
          </w:p>
        </w:tc>
        <w:tc>
          <w:tcPr>
            <w:tcW w:w="3120" w:type="dxa"/>
            <w:vAlign w:val="bottom"/>
          </w:tcPr>
          <w:p>
            <w:pPr>
              <w:spacing w:after="0" w:line="196" w:lineRule="exact"/>
              <w:rPr>
                <w:sz w:val="20"/>
                <w:szCs w:val="20"/>
                <w:color w:val="auto"/>
              </w:rPr>
            </w:pPr>
            <w:r>
              <w:rPr>
                <w:rFonts w:ascii="Arial" w:cs="Arial" w:eastAsia="Arial" w:hAnsi="Arial"/>
                <w:sz w:val="18"/>
                <w:szCs w:val="18"/>
                <w:color w:val="auto"/>
              </w:rPr>
              <w:t>2019</w:t>
            </w:r>
          </w:p>
        </w:tc>
        <w:tc>
          <w:tcPr>
            <w:tcW w:w="260" w:type="dxa"/>
            <w:vAlign w:val="bottom"/>
          </w:tcPr>
          <w:p>
            <w:pPr>
              <w:spacing w:after="0"/>
              <w:rPr>
                <w:sz w:val="17"/>
                <w:szCs w:val="17"/>
                <w:color w:val="auto"/>
              </w:rPr>
            </w:pPr>
          </w:p>
        </w:tc>
      </w:tr>
      <w:tr>
        <w:trPr>
          <w:trHeight w:val="196"/>
        </w:trPr>
        <w:tc>
          <w:tcPr>
            <w:tcW w:w="100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10.6</w:t>
            </w:r>
          </w:p>
        </w:tc>
        <w:tc>
          <w:tcPr>
            <w:tcW w:w="100" w:type="dxa"/>
            <w:vAlign w:val="bottom"/>
          </w:tcPr>
          <w:p>
            <w:pPr>
              <w:spacing w:after="0"/>
              <w:rPr>
                <w:sz w:val="17"/>
                <w:szCs w:val="17"/>
                <w:color w:val="auto"/>
              </w:rPr>
            </w:pPr>
          </w:p>
        </w:tc>
        <w:tc>
          <w:tcPr>
            <w:tcW w:w="6940" w:type="dxa"/>
            <w:vAlign w:val="bottom"/>
            <w:gridSpan w:val="12"/>
          </w:tcPr>
          <w:p>
            <w:pPr>
              <w:spacing w:after="0" w:line="196" w:lineRule="exact"/>
              <w:rPr>
                <w:rFonts w:ascii="Arial" w:cs="Arial" w:eastAsia="Arial" w:hAnsi="Arial"/>
                <w:sz w:val="18"/>
                <w:szCs w:val="18"/>
                <w:color w:val="0000EE"/>
                <w:w w:val="97"/>
              </w:rPr>
            </w:pPr>
            <w:hyperlink r:id="rId42">
              <w:r>
                <w:rPr>
                  <w:rFonts w:ascii="Arial" w:cs="Arial" w:eastAsia="Arial" w:hAnsi="Arial"/>
                  <w:sz w:val="18"/>
                  <w:szCs w:val="18"/>
                  <w:color w:val="0000EE"/>
                  <w:w w:val="97"/>
                </w:rPr>
                <w:t>Term Loan, dated May 1, 2019, by and among Ultralife Corporation, Southwest Electronic</w:t>
              </w:r>
            </w:hyperlink>
          </w:p>
        </w:tc>
        <w:tc>
          <w:tcPr>
            <w:tcW w:w="3120" w:type="dxa"/>
            <w:vAlign w:val="bottom"/>
          </w:tcPr>
          <w:p>
            <w:pPr>
              <w:spacing w:after="0" w:line="196" w:lineRule="exact"/>
              <w:rPr>
                <w:sz w:val="20"/>
                <w:szCs w:val="20"/>
                <w:color w:val="auto"/>
              </w:rPr>
            </w:pPr>
            <w:r>
              <w:rPr>
                <w:rFonts w:ascii="Arial" w:cs="Arial" w:eastAsia="Arial" w:hAnsi="Arial"/>
                <w:sz w:val="18"/>
                <w:szCs w:val="18"/>
                <w:color w:val="auto"/>
              </w:rPr>
              <w:t>Exhibit 10.6 of Form 8-K filed May 2,</w:t>
            </w:r>
          </w:p>
        </w:tc>
        <w:tc>
          <w:tcPr>
            <w:tcW w:w="2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42">
              <w:r>
                <w:rPr>
                  <w:rFonts w:ascii="Arial" w:cs="Arial" w:eastAsia="Arial" w:hAnsi="Arial"/>
                  <w:sz w:val="18"/>
                  <w:szCs w:val="18"/>
                  <w:color w:val="0000EE"/>
                  <w:w w:val="92"/>
                </w:rPr>
                <w:t>Energy Corporation, CLB, INC., and KeyBank National Association</w:t>
              </w:r>
            </w:hyperlink>
          </w:p>
        </w:tc>
        <w:tc>
          <w:tcPr>
            <w:tcW w:w="1860" w:type="dxa"/>
            <w:vAlign w:val="bottom"/>
            <w:tcBorders>
              <w:top w:val="single" w:sz="8" w:color="0000EE"/>
            </w:tcBorders>
            <w:gridSpan w:val="2"/>
          </w:tcPr>
          <w:p>
            <w:pPr>
              <w:spacing w:after="0"/>
              <w:rPr>
                <w:sz w:val="17"/>
                <w:szCs w:val="17"/>
                <w:color w:val="auto"/>
              </w:rPr>
            </w:pPr>
          </w:p>
        </w:tc>
        <w:tc>
          <w:tcPr>
            <w:tcW w:w="120" w:type="dxa"/>
            <w:vAlign w:val="bottom"/>
            <w:gridSpan w:val="2"/>
          </w:tcPr>
          <w:p>
            <w:pPr>
              <w:spacing w:after="0"/>
              <w:rPr>
                <w:sz w:val="17"/>
                <w:szCs w:val="17"/>
                <w:color w:val="auto"/>
              </w:rPr>
            </w:pPr>
          </w:p>
        </w:tc>
        <w:tc>
          <w:tcPr>
            <w:tcW w:w="3120" w:type="dxa"/>
            <w:vAlign w:val="bottom"/>
          </w:tcPr>
          <w:p>
            <w:pPr>
              <w:spacing w:after="0" w:line="196" w:lineRule="exact"/>
              <w:rPr>
                <w:sz w:val="20"/>
                <w:szCs w:val="20"/>
                <w:color w:val="auto"/>
              </w:rPr>
            </w:pPr>
            <w:r>
              <w:rPr>
                <w:rFonts w:ascii="Arial" w:cs="Arial" w:eastAsia="Arial" w:hAnsi="Arial"/>
                <w:sz w:val="18"/>
                <w:szCs w:val="18"/>
                <w:color w:val="auto"/>
              </w:rPr>
              <w:t>2019</w:t>
            </w:r>
          </w:p>
        </w:tc>
        <w:tc>
          <w:tcPr>
            <w:tcW w:w="260" w:type="dxa"/>
            <w:vAlign w:val="bottom"/>
          </w:tcPr>
          <w:p>
            <w:pPr>
              <w:spacing w:after="0"/>
              <w:rPr>
                <w:sz w:val="17"/>
                <w:szCs w:val="17"/>
                <w:color w:val="auto"/>
              </w:rPr>
            </w:pPr>
          </w:p>
        </w:tc>
      </w:tr>
      <w:tr>
        <w:trPr>
          <w:trHeight w:val="196"/>
        </w:trPr>
        <w:tc>
          <w:tcPr>
            <w:tcW w:w="100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7"/>
                <w:szCs w:val="17"/>
                <w:color w:val="auto"/>
              </w:rPr>
            </w:pPr>
          </w:p>
        </w:tc>
        <w:tc>
          <w:tcPr>
            <w:tcW w:w="33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Rule 13a-14(a) / 15d-14(a) CEO Certifications</w:t>
              </w:r>
            </w:hyperlink>
          </w:p>
        </w:tc>
        <w:tc>
          <w:tcPr>
            <w:tcW w:w="3560" w:type="dxa"/>
            <w:vAlign w:val="bottom"/>
            <w:gridSpan w:val="7"/>
          </w:tcPr>
          <w:p>
            <w:pPr>
              <w:spacing w:after="0"/>
              <w:rPr>
                <w:sz w:val="17"/>
                <w:szCs w:val="17"/>
                <w:color w:val="auto"/>
              </w:rPr>
            </w:pPr>
          </w:p>
        </w:tc>
        <w:tc>
          <w:tcPr>
            <w:tcW w:w="3120" w:type="dxa"/>
            <w:vAlign w:val="bottom"/>
          </w:tcPr>
          <w:p>
            <w:pPr>
              <w:spacing w:after="0" w:line="196" w:lineRule="exact"/>
              <w:rPr>
                <w:sz w:val="20"/>
                <w:szCs w:val="20"/>
                <w:color w:val="auto"/>
              </w:rPr>
            </w:pPr>
            <w:r>
              <w:rPr>
                <w:rFonts w:ascii="Arial" w:cs="Arial" w:eastAsia="Arial" w:hAnsi="Arial"/>
                <w:sz w:val="18"/>
                <w:szCs w:val="18"/>
                <w:color w:val="auto"/>
              </w:rPr>
              <w:t>Filed herewith</w:t>
            </w:r>
          </w:p>
        </w:tc>
        <w:tc>
          <w:tcPr>
            <w:tcW w:w="260" w:type="dxa"/>
            <w:vAlign w:val="bottom"/>
          </w:tcPr>
          <w:p>
            <w:pPr>
              <w:spacing w:after="0"/>
              <w:rPr>
                <w:sz w:val="17"/>
                <w:szCs w:val="17"/>
                <w:color w:val="auto"/>
              </w:rPr>
            </w:pPr>
          </w:p>
        </w:tc>
      </w:tr>
      <w:tr>
        <w:trPr>
          <w:trHeight w:val="196"/>
        </w:trPr>
        <w:tc>
          <w:tcPr>
            <w:tcW w:w="100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7"/>
                <w:szCs w:val="17"/>
                <w:color w:val="auto"/>
              </w:rPr>
            </w:pPr>
          </w:p>
        </w:tc>
        <w:tc>
          <w:tcPr>
            <w:tcW w:w="33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Rule 13a-14(a) / 15d-14(a) CFO Certifications</w:t>
              </w:r>
            </w:hyperlink>
          </w:p>
        </w:tc>
        <w:tc>
          <w:tcPr>
            <w:tcW w:w="3580" w:type="dxa"/>
            <w:vAlign w:val="bottom"/>
            <w:gridSpan w:val="8"/>
          </w:tcPr>
          <w:p>
            <w:pPr>
              <w:spacing w:after="0"/>
              <w:rPr>
                <w:sz w:val="17"/>
                <w:szCs w:val="17"/>
                <w:color w:val="auto"/>
              </w:rPr>
            </w:pPr>
          </w:p>
        </w:tc>
        <w:tc>
          <w:tcPr>
            <w:tcW w:w="3120" w:type="dxa"/>
            <w:vAlign w:val="bottom"/>
          </w:tcPr>
          <w:p>
            <w:pPr>
              <w:spacing w:after="0" w:line="196" w:lineRule="exact"/>
              <w:rPr>
                <w:sz w:val="20"/>
                <w:szCs w:val="20"/>
                <w:color w:val="auto"/>
              </w:rPr>
            </w:pPr>
            <w:r>
              <w:rPr>
                <w:rFonts w:ascii="Arial" w:cs="Arial" w:eastAsia="Arial" w:hAnsi="Arial"/>
                <w:sz w:val="18"/>
                <w:szCs w:val="18"/>
                <w:color w:val="auto"/>
              </w:rPr>
              <w:t>Filed herewith</w:t>
            </w:r>
          </w:p>
        </w:tc>
        <w:tc>
          <w:tcPr>
            <w:tcW w:w="260" w:type="dxa"/>
            <w:vAlign w:val="bottom"/>
          </w:tcPr>
          <w:p>
            <w:pPr>
              <w:spacing w:after="0"/>
              <w:rPr>
                <w:sz w:val="17"/>
                <w:szCs w:val="17"/>
                <w:color w:val="auto"/>
              </w:rPr>
            </w:pPr>
          </w:p>
        </w:tc>
      </w:tr>
      <w:tr>
        <w:trPr>
          <w:trHeight w:val="196"/>
        </w:trPr>
        <w:tc>
          <w:tcPr>
            <w:tcW w:w="100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198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Section 1350 Certifications</w:t>
              </w:r>
            </w:hyperlink>
          </w:p>
        </w:tc>
        <w:tc>
          <w:tcPr>
            <w:tcW w:w="4960" w:type="dxa"/>
            <w:vAlign w:val="bottom"/>
            <w:gridSpan w:val="11"/>
          </w:tcPr>
          <w:p>
            <w:pPr>
              <w:spacing w:after="0"/>
              <w:rPr>
                <w:sz w:val="17"/>
                <w:szCs w:val="17"/>
                <w:color w:val="auto"/>
              </w:rPr>
            </w:pPr>
          </w:p>
        </w:tc>
        <w:tc>
          <w:tcPr>
            <w:tcW w:w="3120" w:type="dxa"/>
            <w:vAlign w:val="bottom"/>
          </w:tcPr>
          <w:p>
            <w:pPr>
              <w:spacing w:after="0" w:line="196" w:lineRule="exact"/>
              <w:rPr>
                <w:sz w:val="20"/>
                <w:szCs w:val="20"/>
                <w:color w:val="auto"/>
              </w:rPr>
            </w:pPr>
            <w:r>
              <w:rPr>
                <w:rFonts w:ascii="Arial" w:cs="Arial" w:eastAsia="Arial" w:hAnsi="Arial"/>
                <w:sz w:val="18"/>
                <w:szCs w:val="18"/>
                <w:color w:val="auto"/>
              </w:rPr>
              <w:t>Filed herewith</w:t>
            </w:r>
          </w:p>
        </w:tc>
        <w:tc>
          <w:tcPr>
            <w:tcW w:w="260" w:type="dxa"/>
            <w:vAlign w:val="bottom"/>
          </w:tcPr>
          <w:p>
            <w:pPr>
              <w:spacing w:after="0"/>
              <w:rPr>
                <w:sz w:val="17"/>
                <w:szCs w:val="17"/>
                <w:color w:val="auto"/>
              </w:rPr>
            </w:pPr>
          </w:p>
        </w:tc>
      </w:tr>
      <w:tr>
        <w:trPr>
          <w:trHeight w:val="222"/>
        </w:trPr>
        <w:tc>
          <w:tcPr>
            <w:tcW w:w="34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8"/>
              </w:rPr>
              <w:t>101.INS</w:t>
            </w:r>
          </w:p>
        </w:tc>
        <w:tc>
          <w:tcPr>
            <w:tcW w:w="100" w:type="dxa"/>
            <w:vAlign w:val="bottom"/>
          </w:tcPr>
          <w:p>
            <w:pPr>
              <w:spacing w:after="0"/>
              <w:rPr>
                <w:sz w:val="19"/>
                <w:szCs w:val="19"/>
                <w:color w:val="auto"/>
              </w:rPr>
            </w:pPr>
          </w:p>
        </w:tc>
        <w:tc>
          <w:tcPr>
            <w:tcW w:w="694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c>
          <w:tcPr>
            <w:tcW w:w="31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87"/>
              </w:rPr>
              <w:t>101.SCH</w:t>
            </w:r>
          </w:p>
        </w:tc>
        <w:tc>
          <w:tcPr>
            <w:tcW w:w="100" w:type="dxa"/>
            <w:vAlign w:val="bottom"/>
          </w:tcPr>
          <w:p>
            <w:pPr>
              <w:spacing w:after="0"/>
              <w:rPr>
                <w:sz w:val="18"/>
                <w:szCs w:val="18"/>
                <w:color w:val="auto"/>
              </w:rPr>
            </w:pPr>
          </w:p>
        </w:tc>
        <w:tc>
          <w:tcPr>
            <w:tcW w:w="694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1"/>
              </w:rPr>
              <w:t>101.CAL</w:t>
            </w:r>
          </w:p>
        </w:tc>
        <w:tc>
          <w:tcPr>
            <w:tcW w:w="100" w:type="dxa"/>
            <w:vAlign w:val="bottom"/>
          </w:tcPr>
          <w:p>
            <w:pPr>
              <w:spacing w:after="0"/>
              <w:rPr>
                <w:sz w:val="18"/>
                <w:szCs w:val="18"/>
                <w:color w:val="auto"/>
              </w:rPr>
            </w:pPr>
          </w:p>
        </w:tc>
        <w:tc>
          <w:tcPr>
            <w:tcW w:w="6940" w:type="dxa"/>
            <w:vAlign w:val="bottom"/>
            <w:gridSpan w:val="12"/>
          </w:tcPr>
          <w:p>
            <w:pPr>
              <w:spacing w:after="0"/>
              <w:rPr>
                <w:sz w:val="20"/>
                <w:szCs w:val="20"/>
                <w:color w:val="auto"/>
              </w:rPr>
            </w:pPr>
            <w:r>
              <w:rPr>
                <w:rFonts w:ascii="Arial" w:cs="Arial" w:eastAsia="Arial" w:hAnsi="Arial"/>
                <w:sz w:val="18"/>
                <w:szCs w:val="18"/>
                <w:color w:val="auto"/>
              </w:rPr>
              <w:t>XBRL Taxonomy Calculation Linkbase Document</w:t>
            </w: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2"/>
              </w:rPr>
              <w:t>101.LAB</w:t>
            </w:r>
          </w:p>
        </w:tc>
        <w:tc>
          <w:tcPr>
            <w:tcW w:w="100" w:type="dxa"/>
            <w:vAlign w:val="bottom"/>
          </w:tcPr>
          <w:p>
            <w:pPr>
              <w:spacing w:after="0"/>
              <w:rPr>
                <w:sz w:val="18"/>
                <w:szCs w:val="18"/>
                <w:color w:val="auto"/>
              </w:rPr>
            </w:pPr>
          </w:p>
        </w:tc>
        <w:tc>
          <w:tcPr>
            <w:tcW w:w="6940" w:type="dxa"/>
            <w:vAlign w:val="bottom"/>
            <w:gridSpan w:val="12"/>
          </w:tcPr>
          <w:p>
            <w:pPr>
              <w:spacing w:after="0"/>
              <w:rPr>
                <w:sz w:val="20"/>
                <w:szCs w:val="20"/>
                <w:color w:val="auto"/>
              </w:rPr>
            </w:pPr>
            <w:r>
              <w:rPr>
                <w:rFonts w:ascii="Arial" w:cs="Arial" w:eastAsia="Arial" w:hAnsi="Arial"/>
                <w:sz w:val="18"/>
                <w:szCs w:val="18"/>
                <w:color w:val="auto"/>
              </w:rPr>
              <w:t>XBRL Taxonomy Label Linkbase Document</w:t>
            </w: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88"/>
              </w:rPr>
              <w:t>101.PRE</w:t>
            </w:r>
          </w:p>
        </w:tc>
        <w:tc>
          <w:tcPr>
            <w:tcW w:w="100" w:type="dxa"/>
            <w:vAlign w:val="bottom"/>
          </w:tcPr>
          <w:p>
            <w:pPr>
              <w:spacing w:after="0"/>
              <w:rPr>
                <w:sz w:val="18"/>
                <w:szCs w:val="18"/>
                <w:color w:val="auto"/>
              </w:rPr>
            </w:pPr>
          </w:p>
        </w:tc>
        <w:tc>
          <w:tcPr>
            <w:tcW w:w="6940" w:type="dxa"/>
            <w:vAlign w:val="bottom"/>
            <w:gridSpan w:val="12"/>
          </w:tcPr>
          <w:p>
            <w:pPr>
              <w:spacing w:after="0"/>
              <w:rPr>
                <w:sz w:val="20"/>
                <w:szCs w:val="20"/>
                <w:color w:val="auto"/>
              </w:rPr>
            </w:pPr>
            <w:r>
              <w:rPr>
                <w:rFonts w:ascii="Arial" w:cs="Arial" w:eastAsia="Arial" w:hAnsi="Arial"/>
                <w:sz w:val="18"/>
                <w:szCs w:val="18"/>
                <w:color w:val="auto"/>
              </w:rPr>
              <w:t>XBRL Taxonomy Presentation Linkbase Document</w:t>
            </w: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0"/>
              </w:rPr>
              <w:t>101.DEF</w:t>
            </w:r>
          </w:p>
        </w:tc>
        <w:tc>
          <w:tcPr>
            <w:tcW w:w="100" w:type="dxa"/>
            <w:vAlign w:val="bottom"/>
          </w:tcPr>
          <w:p>
            <w:pPr>
              <w:spacing w:after="0"/>
              <w:rPr>
                <w:sz w:val="20"/>
                <w:szCs w:val="20"/>
                <w:color w:val="auto"/>
              </w:rPr>
            </w:pPr>
          </w:p>
        </w:tc>
        <w:tc>
          <w:tcPr>
            <w:tcW w:w="6940" w:type="dxa"/>
            <w:vAlign w:val="bottom"/>
            <w:gridSpan w:val="12"/>
          </w:tcPr>
          <w:p>
            <w:pPr>
              <w:spacing w:after="0"/>
              <w:rPr>
                <w:sz w:val="20"/>
                <w:szCs w:val="20"/>
                <w:color w:val="auto"/>
              </w:rPr>
            </w:pPr>
            <w:r>
              <w:rPr>
                <w:rFonts w:ascii="Arial" w:cs="Arial" w:eastAsia="Arial" w:hAnsi="Arial"/>
                <w:sz w:val="18"/>
                <w:szCs w:val="18"/>
                <w:color w:val="auto"/>
              </w:rPr>
              <w:t>XBRL Taxonomy Definition Document</w:t>
            </w:r>
          </w:p>
        </w:tc>
        <w:tc>
          <w:tcPr>
            <w:tcW w:w="31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60" w:type="dxa"/>
            <w:vAlign w:val="bottom"/>
            <w:gridSpan w:val="8"/>
          </w:tcPr>
          <w:p>
            <w:pPr>
              <w:jc w:val="right"/>
              <w:ind w:right="16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0" w:type="dxa"/>
            <w:vAlign w:val="bottom"/>
            <w:gridSpan w:val="4"/>
          </w:tcPr>
          <w:p>
            <w:pPr>
              <w:spacing w:after="0"/>
              <w:rPr>
                <w:sz w:val="20"/>
                <w:szCs w:val="20"/>
                <w:color w:val="auto"/>
              </w:rPr>
            </w:pPr>
            <w:r>
              <w:rPr>
                <w:rFonts w:ascii="Arial" w:cs="Arial" w:eastAsia="Arial" w:hAnsi="Arial"/>
                <w:sz w:val="18"/>
                <w:szCs w:val="18"/>
                <w:b w:val="1"/>
                <w:bCs w:val="1"/>
                <w:color w:val="auto"/>
              </w:rPr>
              <w:t>ULTRALIFE CORPORATION</w:t>
            </w:r>
          </w:p>
        </w:tc>
      </w:tr>
      <w:tr>
        <w:trPr>
          <w:trHeight w:val="237"/>
        </w:trPr>
        <w:tc>
          <w:tcPr>
            <w:tcW w:w="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Borders>
              <w:top w:val="single" w:sz="8" w:color="auto"/>
            </w:tcBorders>
            <w:gridSpan w:val="3"/>
          </w:tcPr>
          <w:p>
            <w:pPr>
              <w:ind w:left="800"/>
              <w:spacing w:after="0"/>
              <w:rPr>
                <w:sz w:val="20"/>
                <w:szCs w:val="20"/>
                <w:color w:val="auto"/>
              </w:rPr>
            </w:pPr>
            <w:r>
              <w:rPr>
                <w:rFonts w:ascii="Arial" w:cs="Arial" w:eastAsia="Arial" w:hAnsi="Arial"/>
                <w:sz w:val="18"/>
                <w:szCs w:val="18"/>
                <w:color w:val="auto"/>
              </w:rPr>
              <w:t>(Registrant)</w:t>
            </w:r>
          </w:p>
        </w:tc>
        <w:tc>
          <w:tcPr>
            <w:tcW w:w="3380" w:type="dxa"/>
            <w:vAlign w:val="bottom"/>
          </w:tcPr>
          <w:p>
            <w:pPr>
              <w:spacing w:after="0"/>
              <w:rPr>
                <w:sz w:val="20"/>
                <w:szCs w:val="20"/>
                <w:color w:val="auto"/>
              </w:rPr>
            </w:pPr>
          </w:p>
        </w:tc>
      </w:tr>
      <w:tr>
        <w:trPr>
          <w:trHeight w:val="412"/>
        </w:trPr>
        <w:tc>
          <w:tcPr>
            <w:tcW w:w="3560" w:type="dxa"/>
            <w:vAlign w:val="bottom"/>
            <w:gridSpan w:val="3"/>
          </w:tcPr>
          <w:p>
            <w:pPr>
              <w:ind w:left="460"/>
              <w:spacing w:after="0"/>
              <w:rPr>
                <w:sz w:val="20"/>
                <w:szCs w:val="20"/>
                <w:color w:val="auto"/>
              </w:rPr>
            </w:pPr>
            <w:r>
              <w:rPr>
                <w:rFonts w:ascii="Arial" w:cs="Arial" w:eastAsia="Arial" w:hAnsi="Arial"/>
                <w:sz w:val="18"/>
                <w:szCs w:val="18"/>
                <w:color w:val="auto"/>
              </w:rPr>
              <w:t>Date: August 1, 2019</w:t>
            </w:r>
          </w:p>
        </w:tc>
        <w:tc>
          <w:tcPr>
            <w:tcW w:w="7860" w:type="dxa"/>
            <w:vAlign w:val="bottom"/>
            <w:gridSpan w:val="6"/>
          </w:tcPr>
          <w:p>
            <w:pPr>
              <w:ind w:left="1560"/>
              <w:spacing w:after="0"/>
              <w:rPr>
                <w:sz w:val="20"/>
                <w:szCs w:val="20"/>
                <w:color w:val="auto"/>
              </w:rPr>
            </w:pPr>
            <w:r>
              <w:rPr>
                <w:rFonts w:ascii="Arial" w:cs="Arial" w:eastAsia="Arial" w:hAnsi="Arial"/>
                <w:sz w:val="18"/>
                <w:szCs w:val="18"/>
                <w:color w:val="auto"/>
              </w:rPr>
              <w:t>By: /s/ Michael D. Popielec</w:t>
            </w:r>
          </w:p>
        </w:tc>
      </w:tr>
      <w:tr>
        <w:trPr>
          <w:trHeight w:val="202"/>
        </w:trPr>
        <w:tc>
          <w:tcPr>
            <w:tcW w:w="8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gridSpan w:val="2"/>
          </w:tcPr>
          <w:p>
            <w:pPr>
              <w:spacing w:after="0" w:line="202" w:lineRule="exact"/>
              <w:rPr>
                <w:sz w:val="20"/>
                <w:szCs w:val="20"/>
                <w:color w:val="auto"/>
              </w:rPr>
            </w:pPr>
            <w:r>
              <w:rPr>
                <w:rFonts w:ascii="Arial" w:cs="Arial" w:eastAsia="Arial" w:hAnsi="Arial"/>
                <w:sz w:val="18"/>
                <w:szCs w:val="18"/>
                <w:color w:val="auto"/>
              </w:rPr>
              <w:t>Michael D. Popielec</w:t>
            </w:r>
          </w:p>
        </w:tc>
        <w:tc>
          <w:tcPr>
            <w:tcW w:w="3840" w:type="dxa"/>
            <w:vAlign w:val="bottom"/>
            <w:gridSpan w:val="2"/>
          </w:tcPr>
          <w:p>
            <w:pPr>
              <w:spacing w:after="0"/>
              <w:rPr>
                <w:sz w:val="17"/>
                <w:szCs w:val="17"/>
                <w:color w:val="auto"/>
              </w:rPr>
            </w:pPr>
          </w:p>
        </w:tc>
      </w:tr>
      <w:tr>
        <w:trPr>
          <w:trHeight w:val="216"/>
        </w:trPr>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(Principal Executive Officer)</w:t>
            </w:r>
          </w:p>
        </w:tc>
      </w:tr>
      <w:tr>
        <w:trPr>
          <w:trHeight w:val="412"/>
        </w:trPr>
        <w:tc>
          <w:tcPr>
            <w:tcW w:w="3560" w:type="dxa"/>
            <w:vAlign w:val="bottom"/>
            <w:gridSpan w:val="3"/>
          </w:tcPr>
          <w:p>
            <w:pPr>
              <w:ind w:left="460"/>
              <w:spacing w:after="0"/>
              <w:rPr>
                <w:sz w:val="20"/>
                <w:szCs w:val="20"/>
                <w:color w:val="auto"/>
              </w:rPr>
            </w:pPr>
            <w:r>
              <w:rPr>
                <w:rFonts w:ascii="Arial" w:cs="Arial" w:eastAsia="Arial" w:hAnsi="Arial"/>
                <w:sz w:val="18"/>
                <w:szCs w:val="18"/>
                <w:color w:val="auto"/>
              </w:rPr>
              <w:t>Date: August 1, 2019</w:t>
            </w:r>
          </w:p>
        </w:tc>
        <w:tc>
          <w:tcPr>
            <w:tcW w:w="7860" w:type="dxa"/>
            <w:vAlign w:val="bottom"/>
            <w:gridSpan w:val="6"/>
          </w:tcPr>
          <w:p>
            <w:pPr>
              <w:ind w:left="1560"/>
              <w:spacing w:after="0"/>
              <w:rPr>
                <w:sz w:val="20"/>
                <w:szCs w:val="20"/>
                <w:color w:val="auto"/>
              </w:rPr>
            </w:pPr>
            <w:r>
              <w:rPr>
                <w:rFonts w:ascii="Arial" w:cs="Arial" w:eastAsia="Arial" w:hAnsi="Arial"/>
                <w:sz w:val="18"/>
                <w:szCs w:val="18"/>
                <w:color w:val="auto"/>
              </w:rPr>
              <w:t>By: /s/ Philip A. Fain</w:t>
            </w:r>
          </w:p>
        </w:tc>
      </w:tr>
      <w:tr>
        <w:trPr>
          <w:trHeight w:val="202"/>
        </w:trPr>
        <w:tc>
          <w:tcPr>
            <w:tcW w:w="8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Philip A. Fain</w:t>
            </w:r>
          </w:p>
        </w:tc>
        <w:tc>
          <w:tcPr>
            <w:tcW w:w="3860" w:type="dxa"/>
            <w:vAlign w:val="bottom"/>
            <w:gridSpan w:val="3"/>
          </w:tcPr>
          <w:p>
            <w:pPr>
              <w:spacing w:after="0"/>
              <w:rPr>
                <w:sz w:val="17"/>
                <w:szCs w:val="17"/>
                <w:color w:val="auto"/>
              </w:rPr>
            </w:pPr>
          </w:p>
        </w:tc>
      </w:tr>
      <w:tr>
        <w:trPr>
          <w:trHeight w:val="216"/>
        </w:trPr>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0" w:type="dxa"/>
            <w:vAlign w:val="bottom"/>
            <w:gridSpan w:val="4"/>
          </w:tcPr>
          <w:p>
            <w:pPr>
              <w:ind w:left="180"/>
              <w:spacing w:after="0"/>
              <w:rPr>
                <w:sz w:val="20"/>
                <w:szCs w:val="20"/>
                <w:color w:val="auto"/>
              </w:rPr>
            </w:pPr>
            <w:r>
              <w:rPr>
                <w:rFonts w:ascii="Arial" w:cs="Arial" w:eastAsia="Arial" w:hAnsi="Arial"/>
                <w:sz w:val="18"/>
                <w:szCs w:val="18"/>
                <w:color w:val="auto"/>
              </w:rPr>
              <w:t>Principal Accounting Officer)</w:t>
            </w:r>
          </w:p>
        </w:tc>
      </w:tr>
      <w:tr>
        <w:trPr>
          <w:trHeight w:val="432"/>
        </w:trPr>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0" w:type="dxa"/>
            <w:vAlign w:val="bottom"/>
            <w:gridSpan w:val="3"/>
          </w:tcPr>
          <w:p>
            <w:pPr>
              <w:ind w:left="206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115"/>
        </w:trPr>
        <w:tc>
          <w:tcPr>
            <w:tcW w:w="8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40" w:type="dxa"/>
            <w:vAlign w:val="bottom"/>
            <w:gridSpan w:val="2"/>
          </w:tcPr>
          <w:p>
            <w:pPr>
              <w:jc w:val="center"/>
              <w:ind w:left="2210"/>
              <w:spacing w:after="0"/>
              <w:rPr>
                <w:sz w:val="20"/>
                <w:szCs w:val="20"/>
                <w:color w:val="auto"/>
              </w:rPr>
            </w:pPr>
            <w:r>
              <w:rPr>
                <w:rFonts w:ascii="Arial" w:cs="Arial" w:eastAsia="Arial" w:hAnsi="Arial"/>
                <w:sz w:val="18"/>
                <w:szCs w:val="18"/>
                <w:b w:val="1"/>
                <w:bCs w:val="1"/>
                <w:color w:val="auto"/>
                <w:w w:val="91"/>
              </w:rPr>
              <w:t>Index to Exhibits</w:t>
            </w:r>
          </w:p>
        </w:tc>
        <w:tc>
          <w:tcPr>
            <w:tcW w:w="3120" w:type="dxa"/>
            <w:vAlign w:val="bottom"/>
          </w:tcPr>
          <w:p>
            <w:pPr>
              <w:spacing w:after="0"/>
              <w:rPr>
                <w:sz w:val="20"/>
                <w:szCs w:val="20"/>
                <w:color w:val="auto"/>
              </w:rPr>
            </w:pP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Exhibit</w:t>
            </w:r>
          </w:p>
        </w:tc>
        <w:tc>
          <w:tcPr>
            <w:tcW w:w="1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Index</w:t>
            </w:r>
          </w:p>
        </w:tc>
        <w:tc>
          <w:tcPr>
            <w:tcW w:w="100" w:type="dxa"/>
            <w:vAlign w:val="bottom"/>
          </w:tcPr>
          <w:p>
            <w:pPr>
              <w:spacing w:after="0"/>
              <w:rPr>
                <w:sz w:val="20"/>
                <w:szCs w:val="20"/>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Exhibit Description</w:t>
            </w:r>
          </w:p>
        </w:tc>
        <w:tc>
          <w:tcPr>
            <w:tcW w:w="3120" w:type="dxa"/>
            <w:vAlign w:val="bottom"/>
          </w:tcPr>
          <w:p>
            <w:pPr>
              <w:spacing w:after="0"/>
              <w:rPr>
                <w:sz w:val="20"/>
                <w:szCs w:val="20"/>
                <w:color w:val="auto"/>
              </w:rPr>
            </w:pPr>
            <w:r>
              <w:rPr>
                <w:rFonts w:ascii="Arial" w:cs="Arial" w:eastAsia="Arial" w:hAnsi="Arial"/>
                <w:sz w:val="18"/>
                <w:szCs w:val="18"/>
                <w:color w:val="auto"/>
              </w:rPr>
              <w:t>Incorporated by Reference from</w:t>
            </w:r>
          </w:p>
        </w:tc>
      </w:tr>
      <w:tr>
        <w:trPr>
          <w:trHeight w:val="195"/>
        </w:trPr>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6"/>
                <w:szCs w:val="16"/>
                <w:color w:val="auto"/>
              </w:rPr>
            </w:pPr>
          </w:p>
        </w:tc>
        <w:tc>
          <w:tcPr>
            <w:tcW w:w="6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Stock Purchase Agreement, dated May 1, 2019, by and among Ultralife Corporation,</w:t>
            </w:r>
          </w:p>
        </w:tc>
        <w:tc>
          <w:tcPr>
            <w:tcW w:w="120" w:type="dxa"/>
            <w:vAlign w:val="bottom"/>
          </w:tcPr>
          <w:p>
            <w:pPr>
              <w:spacing w:after="0"/>
              <w:rPr>
                <w:sz w:val="16"/>
                <w:szCs w:val="16"/>
                <w:color w:val="auto"/>
              </w:rPr>
            </w:pPr>
          </w:p>
        </w:tc>
        <w:tc>
          <w:tcPr>
            <w:tcW w:w="3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Exhibit 2.1 of Form 8-K filed May 2, 2019</w:t>
            </w:r>
          </w:p>
        </w:tc>
      </w:tr>
      <w:tr>
        <w:trPr>
          <w:trHeight w:val="216"/>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w w:val="96"/>
              </w:rPr>
              <w:t>Southwest Electronic Energy Corporation, Southwest Electronic Energy Medical Research</w:t>
            </w:r>
          </w:p>
        </w:tc>
        <w:tc>
          <w:tcPr>
            <w:tcW w:w="31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Institute, and Claude Leonard Benckenstein</w:t>
            </w:r>
          </w:p>
        </w:tc>
        <w:tc>
          <w:tcPr>
            <w:tcW w:w="3120" w:type="dxa"/>
            <w:vAlign w:val="bottom"/>
          </w:tcPr>
          <w:p>
            <w:pPr>
              <w:spacing w:after="0"/>
              <w:rPr>
                <w:sz w:val="18"/>
                <w:szCs w:val="18"/>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First Amendment Agreement, dated May 1, 2019, by and among Ultralife Corporation,</w:t>
            </w:r>
          </w:p>
        </w:tc>
        <w:tc>
          <w:tcPr>
            <w:tcW w:w="3120" w:type="dxa"/>
            <w:vAlign w:val="bottom"/>
          </w:tcPr>
          <w:p>
            <w:pPr>
              <w:spacing w:after="0"/>
              <w:rPr>
                <w:sz w:val="20"/>
                <w:szCs w:val="20"/>
                <w:color w:val="auto"/>
              </w:rPr>
            </w:pPr>
            <w:r>
              <w:rPr>
                <w:rFonts w:ascii="Arial" w:cs="Arial" w:eastAsia="Arial" w:hAnsi="Arial"/>
                <w:sz w:val="18"/>
                <w:szCs w:val="18"/>
                <w:color w:val="auto"/>
              </w:rPr>
              <w:t>Exhibit 10.1 of Form 8-K filed May 2,</w:t>
            </w:r>
          </w:p>
        </w:tc>
      </w:tr>
      <w:tr>
        <w:trPr>
          <w:trHeight w:val="216"/>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w w:val="98"/>
              </w:rPr>
              <w:t>Southwest Electronic Energy Corporation, CLB, INC., and KeyBank National Association</w:t>
            </w:r>
          </w:p>
        </w:tc>
        <w:tc>
          <w:tcPr>
            <w:tcW w:w="3120" w:type="dxa"/>
            <w:vAlign w:val="bottom"/>
          </w:tcPr>
          <w:p>
            <w:pPr>
              <w:spacing w:after="0"/>
              <w:rPr>
                <w:sz w:val="20"/>
                <w:szCs w:val="20"/>
                <w:color w:val="auto"/>
              </w:rPr>
            </w:pPr>
            <w:r>
              <w:rPr>
                <w:rFonts w:ascii="Arial" w:cs="Arial" w:eastAsia="Arial" w:hAnsi="Arial"/>
                <w:sz w:val="18"/>
                <w:szCs w:val="18"/>
                <w:color w:val="auto"/>
              </w:rPr>
              <w:t>2019</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w w:val="99"/>
              </w:rPr>
              <w:t>Intellectual Property Security Agreement, dated May 1, 2019, by and among Southwest</w:t>
            </w:r>
          </w:p>
        </w:tc>
        <w:tc>
          <w:tcPr>
            <w:tcW w:w="3120" w:type="dxa"/>
            <w:vAlign w:val="bottom"/>
          </w:tcPr>
          <w:p>
            <w:pPr>
              <w:spacing w:after="0"/>
              <w:rPr>
                <w:sz w:val="20"/>
                <w:szCs w:val="20"/>
                <w:color w:val="auto"/>
              </w:rPr>
            </w:pPr>
            <w:r>
              <w:rPr>
                <w:rFonts w:ascii="Arial" w:cs="Arial" w:eastAsia="Arial" w:hAnsi="Arial"/>
                <w:sz w:val="18"/>
                <w:szCs w:val="18"/>
                <w:color w:val="auto"/>
              </w:rPr>
              <w:t>Exhibit 10.2 of Form 8-K filed May 2,</w:t>
            </w:r>
          </w:p>
        </w:tc>
      </w:tr>
      <w:tr>
        <w:trPr>
          <w:trHeight w:val="216"/>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Electronic Energy Corporation, and KeyBank National Association</w:t>
            </w:r>
          </w:p>
        </w:tc>
        <w:tc>
          <w:tcPr>
            <w:tcW w:w="3120" w:type="dxa"/>
            <w:vAlign w:val="bottom"/>
          </w:tcPr>
          <w:p>
            <w:pPr>
              <w:spacing w:after="0"/>
              <w:rPr>
                <w:sz w:val="20"/>
                <w:szCs w:val="20"/>
                <w:color w:val="auto"/>
              </w:rPr>
            </w:pPr>
            <w:r>
              <w:rPr>
                <w:rFonts w:ascii="Arial" w:cs="Arial" w:eastAsia="Arial" w:hAnsi="Arial"/>
                <w:sz w:val="18"/>
                <w:szCs w:val="18"/>
                <w:color w:val="auto"/>
              </w:rPr>
              <w:t>2019</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w w:val="94"/>
              </w:rPr>
              <w:t>Intellectual Property Security Agreement, dated May 1, 2019, by and among CLB, INC., and</w:t>
            </w:r>
          </w:p>
        </w:tc>
        <w:tc>
          <w:tcPr>
            <w:tcW w:w="3120" w:type="dxa"/>
            <w:vAlign w:val="bottom"/>
          </w:tcPr>
          <w:p>
            <w:pPr>
              <w:spacing w:after="0"/>
              <w:rPr>
                <w:sz w:val="20"/>
                <w:szCs w:val="20"/>
                <w:color w:val="auto"/>
              </w:rPr>
            </w:pPr>
            <w:r>
              <w:rPr>
                <w:rFonts w:ascii="Arial" w:cs="Arial" w:eastAsia="Arial" w:hAnsi="Arial"/>
                <w:sz w:val="18"/>
                <w:szCs w:val="18"/>
                <w:color w:val="auto"/>
              </w:rPr>
              <w:t>Exhibit 10.3 of Form 8-K filed May 2,</w:t>
            </w:r>
          </w:p>
        </w:tc>
      </w:tr>
      <w:tr>
        <w:trPr>
          <w:trHeight w:val="216"/>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KeyBank National Association</w:t>
            </w:r>
          </w:p>
        </w:tc>
        <w:tc>
          <w:tcPr>
            <w:tcW w:w="3120" w:type="dxa"/>
            <w:vAlign w:val="bottom"/>
          </w:tcPr>
          <w:p>
            <w:pPr>
              <w:spacing w:after="0"/>
              <w:rPr>
                <w:sz w:val="20"/>
                <w:szCs w:val="20"/>
                <w:color w:val="auto"/>
              </w:rPr>
            </w:pPr>
            <w:r>
              <w:rPr>
                <w:rFonts w:ascii="Arial" w:cs="Arial" w:eastAsia="Arial" w:hAnsi="Arial"/>
                <w:sz w:val="18"/>
                <w:szCs w:val="18"/>
                <w:color w:val="auto"/>
              </w:rPr>
              <w:t>2019</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Pledge Agreement, dated May 1, 2019, by and among Southwest Electronic Energy</w:t>
            </w:r>
          </w:p>
        </w:tc>
        <w:tc>
          <w:tcPr>
            <w:tcW w:w="3120" w:type="dxa"/>
            <w:vAlign w:val="bottom"/>
          </w:tcPr>
          <w:p>
            <w:pPr>
              <w:spacing w:after="0"/>
              <w:rPr>
                <w:sz w:val="20"/>
                <w:szCs w:val="20"/>
                <w:color w:val="auto"/>
              </w:rPr>
            </w:pPr>
            <w:r>
              <w:rPr>
                <w:rFonts w:ascii="Arial" w:cs="Arial" w:eastAsia="Arial" w:hAnsi="Arial"/>
                <w:sz w:val="18"/>
                <w:szCs w:val="18"/>
                <w:color w:val="auto"/>
              </w:rPr>
              <w:t>Exhibit 10.4 of Form 8-K filed May 2,</w:t>
            </w:r>
          </w:p>
        </w:tc>
      </w:tr>
      <w:tr>
        <w:trPr>
          <w:trHeight w:val="216"/>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Corporation, and KeyBank National Association</w:t>
            </w:r>
          </w:p>
        </w:tc>
        <w:tc>
          <w:tcPr>
            <w:tcW w:w="3120" w:type="dxa"/>
            <w:vAlign w:val="bottom"/>
          </w:tcPr>
          <w:p>
            <w:pPr>
              <w:spacing w:after="0"/>
              <w:rPr>
                <w:sz w:val="20"/>
                <w:szCs w:val="20"/>
                <w:color w:val="auto"/>
              </w:rPr>
            </w:pPr>
            <w:r>
              <w:rPr>
                <w:rFonts w:ascii="Arial" w:cs="Arial" w:eastAsia="Arial" w:hAnsi="Arial"/>
                <w:sz w:val="18"/>
                <w:szCs w:val="18"/>
                <w:color w:val="auto"/>
              </w:rPr>
              <w:t>2019</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w w:val="93"/>
              </w:rPr>
              <w:t>Assumption and Joinder Agreement, dated May 1, 2019, by and among Ultralife Corporation,</w:t>
            </w:r>
          </w:p>
        </w:tc>
        <w:tc>
          <w:tcPr>
            <w:tcW w:w="3120" w:type="dxa"/>
            <w:vAlign w:val="bottom"/>
          </w:tcPr>
          <w:p>
            <w:pPr>
              <w:spacing w:after="0"/>
              <w:rPr>
                <w:sz w:val="20"/>
                <w:szCs w:val="20"/>
                <w:color w:val="auto"/>
              </w:rPr>
            </w:pPr>
            <w:r>
              <w:rPr>
                <w:rFonts w:ascii="Arial" w:cs="Arial" w:eastAsia="Arial" w:hAnsi="Arial"/>
                <w:sz w:val="18"/>
                <w:szCs w:val="18"/>
                <w:color w:val="auto"/>
              </w:rPr>
              <w:t>Exhibit 10.5 of Form 8-K filed May 2,</w:t>
            </w:r>
          </w:p>
        </w:tc>
      </w:tr>
      <w:tr>
        <w:trPr>
          <w:trHeight w:val="216"/>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w w:val="98"/>
              </w:rPr>
              <w:t>Southwest Electronic Energy Corporation, CLB, INC., and KeyBank National Association</w:t>
            </w:r>
          </w:p>
        </w:tc>
        <w:tc>
          <w:tcPr>
            <w:tcW w:w="3120" w:type="dxa"/>
            <w:vAlign w:val="bottom"/>
          </w:tcPr>
          <w:p>
            <w:pPr>
              <w:spacing w:after="0"/>
              <w:rPr>
                <w:sz w:val="20"/>
                <w:szCs w:val="20"/>
                <w:color w:val="auto"/>
              </w:rPr>
            </w:pPr>
            <w:r>
              <w:rPr>
                <w:rFonts w:ascii="Arial" w:cs="Arial" w:eastAsia="Arial" w:hAnsi="Arial"/>
                <w:sz w:val="18"/>
                <w:szCs w:val="18"/>
                <w:color w:val="auto"/>
              </w:rPr>
              <w:t>2019</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w w:val="97"/>
              </w:rPr>
              <w:t>Term Loan, dated May 1, 2019, by and among Ultralife Corporation, Southwest Electronic</w:t>
            </w:r>
          </w:p>
        </w:tc>
        <w:tc>
          <w:tcPr>
            <w:tcW w:w="3120" w:type="dxa"/>
            <w:vAlign w:val="bottom"/>
          </w:tcPr>
          <w:p>
            <w:pPr>
              <w:spacing w:after="0"/>
              <w:rPr>
                <w:sz w:val="20"/>
                <w:szCs w:val="20"/>
                <w:color w:val="auto"/>
              </w:rPr>
            </w:pPr>
            <w:r>
              <w:rPr>
                <w:rFonts w:ascii="Arial" w:cs="Arial" w:eastAsia="Arial" w:hAnsi="Arial"/>
                <w:sz w:val="18"/>
                <w:szCs w:val="18"/>
                <w:color w:val="auto"/>
              </w:rPr>
              <w:t>Exhibit 10.6 of Form 8-K filed May 2,</w:t>
            </w:r>
          </w:p>
        </w:tc>
      </w:tr>
      <w:tr>
        <w:trPr>
          <w:trHeight w:val="216"/>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Energy Corporation, CLB, INC., and KeyBank National Association</w:t>
            </w:r>
          </w:p>
        </w:tc>
        <w:tc>
          <w:tcPr>
            <w:tcW w:w="3120" w:type="dxa"/>
            <w:vAlign w:val="bottom"/>
          </w:tcPr>
          <w:p>
            <w:pPr>
              <w:spacing w:after="0"/>
              <w:rPr>
                <w:sz w:val="20"/>
                <w:szCs w:val="20"/>
                <w:color w:val="auto"/>
              </w:rPr>
            </w:pPr>
            <w:r>
              <w:rPr>
                <w:rFonts w:ascii="Arial" w:cs="Arial" w:eastAsia="Arial" w:hAnsi="Arial"/>
                <w:sz w:val="18"/>
                <w:szCs w:val="18"/>
                <w:color w:val="auto"/>
              </w:rPr>
              <w:t>2019</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Rule 13a-14(a) / 15d-14(a) CEO Certifications</w:t>
            </w:r>
          </w:p>
        </w:tc>
        <w:tc>
          <w:tcPr>
            <w:tcW w:w="312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Rule 13a-14(a) / 15d-14(a) CFO Certifications</w:t>
            </w:r>
          </w:p>
        </w:tc>
        <w:tc>
          <w:tcPr>
            <w:tcW w:w="312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Section 1350 Certifications</w:t>
            </w:r>
          </w:p>
        </w:tc>
        <w:tc>
          <w:tcPr>
            <w:tcW w:w="312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8"/>
              </w:rPr>
              <w:t>101.INS</w:t>
            </w:r>
          </w:p>
        </w:tc>
        <w:tc>
          <w:tcPr>
            <w:tcW w:w="10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3120" w:type="dxa"/>
            <w:vAlign w:val="bottom"/>
          </w:tcPr>
          <w:p>
            <w:pPr>
              <w:spacing w:after="0"/>
              <w:rPr>
                <w:sz w:val="18"/>
                <w:szCs w:val="18"/>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87"/>
              </w:rPr>
              <w:t>101.SCH</w:t>
            </w:r>
          </w:p>
        </w:tc>
        <w:tc>
          <w:tcPr>
            <w:tcW w:w="10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3120" w:type="dxa"/>
            <w:vAlign w:val="bottom"/>
          </w:tcPr>
          <w:p>
            <w:pPr>
              <w:spacing w:after="0"/>
              <w:rPr>
                <w:sz w:val="18"/>
                <w:szCs w:val="18"/>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1"/>
              </w:rPr>
              <w:t>101.CAL</w:t>
            </w:r>
          </w:p>
        </w:tc>
        <w:tc>
          <w:tcPr>
            <w:tcW w:w="10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XBRL Taxonomy Calculation Linkbase Document</w:t>
            </w:r>
          </w:p>
        </w:tc>
        <w:tc>
          <w:tcPr>
            <w:tcW w:w="3120" w:type="dxa"/>
            <w:vAlign w:val="bottom"/>
          </w:tcPr>
          <w:p>
            <w:pPr>
              <w:spacing w:after="0"/>
              <w:rPr>
                <w:sz w:val="18"/>
                <w:szCs w:val="18"/>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2"/>
              </w:rPr>
              <w:t>101.LAB</w:t>
            </w:r>
          </w:p>
        </w:tc>
        <w:tc>
          <w:tcPr>
            <w:tcW w:w="10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XBRL Taxonomy Label Linkbase Document</w:t>
            </w:r>
          </w:p>
        </w:tc>
        <w:tc>
          <w:tcPr>
            <w:tcW w:w="3120" w:type="dxa"/>
            <w:vAlign w:val="bottom"/>
          </w:tcPr>
          <w:p>
            <w:pPr>
              <w:spacing w:after="0"/>
              <w:rPr>
                <w:sz w:val="18"/>
                <w:szCs w:val="18"/>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88"/>
              </w:rPr>
              <w:t>101.PRE</w:t>
            </w:r>
          </w:p>
        </w:tc>
        <w:tc>
          <w:tcPr>
            <w:tcW w:w="10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XBRL Taxonomy Presentation Linkbase Document</w:t>
            </w:r>
          </w:p>
        </w:tc>
        <w:tc>
          <w:tcPr>
            <w:tcW w:w="312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w w:val="90"/>
              </w:rPr>
              <w:t>101.DEF</w:t>
            </w:r>
          </w:p>
        </w:tc>
        <w:tc>
          <w:tcPr>
            <w:tcW w:w="100" w:type="dxa"/>
            <w:vAlign w:val="bottom"/>
          </w:tcPr>
          <w:p>
            <w:pPr>
              <w:spacing w:after="0"/>
              <w:rPr>
                <w:sz w:val="20"/>
                <w:szCs w:val="20"/>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XBRL Taxonomy Definition Document</w:t>
            </w:r>
          </w:p>
        </w:tc>
        <w:tc>
          <w:tcPr>
            <w:tcW w:w="312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6920" w:type="dxa"/>
            <w:vAlign w:val="bottom"/>
            <w:gridSpan w:val="2"/>
          </w:tcPr>
          <w:p>
            <w:pPr>
              <w:jc w:val="right"/>
              <w:ind w:right="20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3120" w:type="dxa"/>
            <w:vAlign w:val="bottom"/>
          </w:tcPr>
          <w:p>
            <w:pPr>
              <w:spacing w:after="0"/>
              <w:rPr>
                <w:sz w:val="24"/>
                <w:szCs w:val="24"/>
                <w:color w:val="auto"/>
              </w:rPr>
            </w:pPr>
          </w:p>
        </w:tc>
      </w:tr>
    </w:tbl>
    <w:p>
      <w:pPr>
        <w:sectPr>
          <w:pgSz w:w="11900" w:h="16838" w:orient="portrait"/>
          <w:cols w:equalWidth="0" w:num="1">
            <w:col w:w="10820"/>
          </w:cols>
          <w:pgMar w:left="580" w:top="580" w:right="499" w:bottom="1440" w:gutter="0" w:footer="0" w:header="0"/>
        </w:sectPr>
      </w:pPr>
    </w:p>
    <w:bookmarkStart w:id="33" w:name="page34"/>
    <w:bookmarkEnd w:id="33"/>
    <w:p>
      <w:pPr>
        <w:ind w:left="10480"/>
        <w:spacing w:after="0"/>
        <w:rPr>
          <w:sz w:val="20"/>
          <w:szCs w:val="20"/>
          <w:color w:val="auto"/>
        </w:rPr>
      </w:pPr>
      <w:r>
        <w:rPr>
          <w:rFonts w:ascii="Arial" w:cs="Arial" w:eastAsia="Arial" w:hAnsi="Arial"/>
          <w:sz w:val="16"/>
          <w:szCs w:val="16"/>
          <w:b w:val="1"/>
          <w:bCs w:val="1"/>
          <w:color w:val="auto"/>
        </w:rPr>
        <w:t>Exhibit 31.1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Michael D. Popielec, certify that:</w:t>
      </w:r>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2840" w:type="dxa"/>
            <w:vAlign w:val="bottom"/>
            <w:gridSpan w:val="3"/>
          </w:tcPr>
          <w:p>
            <w:pPr>
              <w:spacing w:after="0"/>
              <w:rPr>
                <w:sz w:val="20"/>
                <w:szCs w:val="20"/>
                <w:color w:val="auto"/>
              </w:rPr>
            </w:pPr>
            <w:r>
              <w:rPr>
                <w:rFonts w:ascii="Arial" w:cs="Arial" w:eastAsia="Arial" w:hAnsi="Arial"/>
                <w:sz w:val="18"/>
                <w:szCs w:val="18"/>
                <w:color w:val="auto"/>
              </w:rPr>
              <w:t>Date: August 1, 2019</w:t>
            </w:r>
          </w:p>
        </w:tc>
        <w:tc>
          <w:tcPr>
            <w:tcW w:w="4580" w:type="dxa"/>
            <w:vAlign w:val="bottom"/>
            <w:gridSpan w:val="3"/>
          </w:tcPr>
          <w:p>
            <w:pPr>
              <w:ind w:left="1300"/>
              <w:spacing w:after="0"/>
              <w:rPr>
                <w:sz w:val="20"/>
                <w:szCs w:val="20"/>
                <w:color w:val="auto"/>
              </w:rPr>
            </w:pPr>
            <w:r>
              <w:rPr>
                <w:rFonts w:ascii="Arial" w:cs="Arial" w:eastAsia="Arial" w:hAnsi="Arial"/>
                <w:sz w:val="18"/>
                <w:szCs w:val="18"/>
                <w:color w:val="auto"/>
              </w:rPr>
              <w:t>By: /s/ Michael D. Popielec</w:t>
            </w:r>
          </w:p>
        </w:tc>
      </w:tr>
      <w:tr>
        <w:trPr>
          <w:trHeight w:val="222"/>
        </w:trPr>
        <w:tc>
          <w:tcPr>
            <w:tcW w:w="4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9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Michael D. Popielec</w:t>
            </w:r>
          </w:p>
        </w:tc>
        <w:tc>
          <w:tcPr>
            <w:tcW w:w="8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980" w:type="dxa"/>
            <w:vAlign w:val="bottom"/>
            <w:gridSpan w:val="2"/>
          </w:tcPr>
          <w:p>
            <w:pPr>
              <w:ind w:left="240"/>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420"/>
          </w:cols>
          <w:pgMar w:left="240" w:top="121" w:right="239" w:bottom="1440" w:gutter="0" w:footer="0" w:header="0"/>
        </w:sectPr>
      </w:pPr>
    </w:p>
    <w:bookmarkStart w:id="34" w:name="page35"/>
    <w:bookmarkEnd w:id="34"/>
    <w:p>
      <w:pPr>
        <w:ind w:left="10480"/>
        <w:spacing w:after="0"/>
        <w:rPr>
          <w:sz w:val="20"/>
          <w:szCs w:val="20"/>
          <w:color w:val="auto"/>
        </w:rPr>
      </w:pPr>
      <w:r>
        <w:rPr>
          <w:rFonts w:ascii="Arial" w:cs="Arial" w:eastAsia="Arial" w:hAnsi="Arial"/>
          <w:sz w:val="16"/>
          <w:szCs w:val="16"/>
          <w:b w:val="1"/>
          <w:bCs w:val="1"/>
          <w:color w:val="auto"/>
        </w:rPr>
        <w:t>Exhibit 31.2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Philip A. Fain, certify that:</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2800" w:type="dxa"/>
            <w:vAlign w:val="bottom"/>
            <w:gridSpan w:val="3"/>
          </w:tcPr>
          <w:p>
            <w:pPr>
              <w:spacing w:after="0"/>
              <w:rPr>
                <w:sz w:val="20"/>
                <w:szCs w:val="20"/>
                <w:color w:val="auto"/>
              </w:rPr>
            </w:pPr>
            <w:r>
              <w:rPr>
                <w:rFonts w:ascii="Arial" w:cs="Arial" w:eastAsia="Arial" w:hAnsi="Arial"/>
                <w:sz w:val="18"/>
                <w:szCs w:val="18"/>
                <w:color w:val="auto"/>
              </w:rPr>
              <w:t>Date: August 1, 2019</w:t>
            </w:r>
          </w:p>
        </w:tc>
        <w:tc>
          <w:tcPr>
            <w:tcW w:w="4560" w:type="dxa"/>
            <w:vAlign w:val="bottom"/>
            <w:gridSpan w:val="2"/>
          </w:tcPr>
          <w:p>
            <w:pPr>
              <w:ind w:left="1260"/>
              <w:spacing w:after="0"/>
              <w:rPr>
                <w:sz w:val="20"/>
                <w:szCs w:val="20"/>
                <w:color w:val="auto"/>
              </w:rPr>
            </w:pPr>
            <w:r>
              <w:rPr>
                <w:rFonts w:ascii="Arial" w:cs="Arial" w:eastAsia="Arial" w:hAnsi="Arial"/>
                <w:sz w:val="18"/>
                <w:szCs w:val="18"/>
                <w:color w:val="auto"/>
              </w:rPr>
              <w:t>By: /s/ Philip A. Fain</w:t>
            </w:r>
          </w:p>
        </w:tc>
      </w:tr>
      <w:tr>
        <w:trPr>
          <w:trHeight w:val="222"/>
        </w:trPr>
        <w:tc>
          <w:tcPr>
            <w:tcW w:w="4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9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Philip A. Fain</w:t>
            </w:r>
          </w:p>
        </w:tc>
      </w:t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980" w:type="dxa"/>
            <w:vAlign w:val="bottom"/>
          </w:tcPr>
          <w:p>
            <w:pPr>
              <w:ind w:left="220"/>
              <w:spacing w:after="0"/>
              <w:rPr>
                <w:sz w:val="20"/>
                <w:szCs w:val="20"/>
                <w:color w:val="auto"/>
              </w:rPr>
            </w:pPr>
            <w:r>
              <w:rPr>
                <w:rFonts w:ascii="Arial" w:cs="Arial" w:eastAsia="Arial" w:hAnsi="Arial"/>
                <w:sz w:val="18"/>
                <w:szCs w:val="18"/>
                <w:color w:val="auto"/>
                <w:w w:val="92"/>
              </w:rPr>
              <w:t>Chief Financial Officer and Treasurer</w:t>
            </w:r>
          </w:p>
        </w:tc>
      </w:tr>
    </w:tbl>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June 30, 2019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69"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2840" w:type="dxa"/>
            <w:vAlign w:val="bottom"/>
            <w:gridSpan w:val="3"/>
          </w:tcPr>
          <w:p>
            <w:pPr>
              <w:spacing w:after="0"/>
              <w:rPr>
                <w:sz w:val="20"/>
                <w:szCs w:val="20"/>
                <w:color w:val="auto"/>
              </w:rPr>
            </w:pPr>
            <w:r>
              <w:rPr>
                <w:rFonts w:ascii="Arial" w:cs="Arial" w:eastAsia="Arial" w:hAnsi="Arial"/>
                <w:sz w:val="18"/>
                <w:szCs w:val="18"/>
                <w:color w:val="auto"/>
              </w:rPr>
              <w:t>Date: August 1, 2019</w:t>
            </w:r>
          </w:p>
        </w:tc>
        <w:tc>
          <w:tcPr>
            <w:tcW w:w="4600" w:type="dxa"/>
            <w:vAlign w:val="bottom"/>
            <w:gridSpan w:val="3"/>
          </w:tcPr>
          <w:p>
            <w:pPr>
              <w:ind w:left="1300"/>
              <w:spacing w:after="0"/>
              <w:rPr>
                <w:sz w:val="20"/>
                <w:szCs w:val="20"/>
                <w:color w:val="auto"/>
              </w:rPr>
            </w:pPr>
            <w:r>
              <w:rPr>
                <w:rFonts w:ascii="Arial" w:cs="Arial" w:eastAsia="Arial" w:hAnsi="Arial"/>
                <w:sz w:val="18"/>
                <w:szCs w:val="18"/>
                <w:color w:val="auto"/>
              </w:rPr>
              <w:t>By: /s/ Michael D. Popielec</w:t>
            </w:r>
          </w:p>
        </w:tc>
      </w:tr>
      <w:tr>
        <w:trPr>
          <w:trHeight w:val="222"/>
        </w:trPr>
        <w:tc>
          <w:tcPr>
            <w:tcW w:w="4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color w:val="auto"/>
              </w:rPr>
              <w:t>Michael D. Popielec</w:t>
            </w:r>
          </w:p>
        </w:tc>
      </w:t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0" w:type="dxa"/>
            <w:vAlign w:val="bottom"/>
            <w:gridSpan w:val="2"/>
          </w:tcPr>
          <w:p>
            <w:pPr>
              <w:ind w:left="240"/>
              <w:spacing w:after="0"/>
              <w:rPr>
                <w:sz w:val="20"/>
                <w:szCs w:val="20"/>
                <w:color w:val="auto"/>
              </w:rPr>
            </w:pPr>
            <w:r>
              <w:rPr>
                <w:rFonts w:ascii="Arial" w:cs="Arial" w:eastAsia="Arial" w:hAnsi="Arial"/>
                <w:sz w:val="18"/>
                <w:szCs w:val="18"/>
                <w:color w:val="auto"/>
                <w:w w:val="91"/>
              </w:rPr>
              <w:t>President and Chief Executive Officer</w:t>
            </w:r>
          </w:p>
        </w:tc>
      </w:tr>
      <w:tr>
        <w:trPr>
          <w:trHeight w:val="392"/>
        </w:trPr>
        <w:tc>
          <w:tcPr>
            <w:tcW w:w="2840" w:type="dxa"/>
            <w:vAlign w:val="bottom"/>
            <w:gridSpan w:val="3"/>
          </w:tcPr>
          <w:p>
            <w:pPr>
              <w:spacing w:after="0"/>
              <w:rPr>
                <w:sz w:val="20"/>
                <w:szCs w:val="20"/>
                <w:color w:val="auto"/>
              </w:rPr>
            </w:pPr>
            <w:r>
              <w:rPr>
                <w:rFonts w:ascii="Arial" w:cs="Arial" w:eastAsia="Arial" w:hAnsi="Arial"/>
                <w:sz w:val="18"/>
                <w:szCs w:val="18"/>
                <w:color w:val="auto"/>
              </w:rPr>
              <w:t>Date: August 1, 2019</w:t>
            </w:r>
          </w:p>
        </w:tc>
        <w:tc>
          <w:tcPr>
            <w:tcW w:w="4600" w:type="dxa"/>
            <w:vAlign w:val="bottom"/>
            <w:gridSpan w:val="3"/>
          </w:tcPr>
          <w:p>
            <w:pPr>
              <w:ind w:left="1300"/>
              <w:spacing w:after="0"/>
              <w:rPr>
                <w:sz w:val="20"/>
                <w:szCs w:val="20"/>
                <w:color w:val="auto"/>
              </w:rPr>
            </w:pPr>
            <w:r>
              <w:rPr>
                <w:rFonts w:ascii="Arial" w:cs="Arial" w:eastAsia="Arial" w:hAnsi="Arial"/>
                <w:sz w:val="18"/>
                <w:szCs w:val="18"/>
                <w:color w:val="auto"/>
              </w:rPr>
              <w:t>By: /s/ Philip A. Fain</w:t>
            </w:r>
          </w:p>
        </w:tc>
      </w:tr>
      <w:tr>
        <w:trPr>
          <w:trHeight w:val="222"/>
        </w:trPr>
        <w:tc>
          <w:tcPr>
            <w:tcW w:w="4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98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Philip A. Fain</w:t>
            </w:r>
          </w:p>
        </w:tc>
        <w:tc>
          <w:tcPr>
            <w:tcW w:w="2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0" w:type="dxa"/>
            <w:vAlign w:val="bottom"/>
            <w:gridSpan w:val="2"/>
          </w:tcPr>
          <w:p>
            <w:pPr>
              <w:ind w:left="240"/>
              <w:spacing w:after="0"/>
              <w:rPr>
                <w:sz w:val="20"/>
                <w:szCs w:val="20"/>
                <w:color w:val="auto"/>
              </w:rPr>
            </w:pPr>
            <w:r>
              <w:rPr>
                <w:rFonts w:ascii="Arial" w:cs="Arial" w:eastAsia="Arial" w:hAnsi="Arial"/>
                <w:sz w:val="18"/>
                <w:szCs w:val="18"/>
                <w:color w:val="auto"/>
                <w:w w:val="92"/>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hyperlink" Target="http://www.sec.gov/Archives/edgar/data/875657/000143774919008478/ex_142064.htm" TargetMode="External"/><Relationship Id="rId37" Type="http://schemas.openxmlformats.org/officeDocument/2006/relationships/hyperlink" Target="http://www.sec.gov/Archives/edgar/data/875657/000143774919008478/ex_142178.htm" TargetMode="External"/><Relationship Id="rId38" Type="http://schemas.openxmlformats.org/officeDocument/2006/relationships/hyperlink" Target="http://www.sec.gov/Archives/edgar/data/875657/000143774919008478/ex_142433.htm" TargetMode="External"/><Relationship Id="rId39" Type="http://schemas.openxmlformats.org/officeDocument/2006/relationships/hyperlink" Target="http://www.sec.gov/Archives/edgar/data/875657/000143774919008478/ex_142434.htm" TargetMode="External"/><Relationship Id="rId40" Type="http://schemas.openxmlformats.org/officeDocument/2006/relationships/hyperlink" Target="http://www.sec.gov/Archives/edgar/data/875657/000143774919008478/ex_142435.htm" TargetMode="External"/><Relationship Id="rId41" Type="http://schemas.openxmlformats.org/officeDocument/2006/relationships/hyperlink" Target="http://www.sec.gov/Archives/edgar/data/875657/000143774919008478/ex_142436.htm" TargetMode="External"/><Relationship Id="rId42" Type="http://schemas.openxmlformats.org/officeDocument/2006/relationships/hyperlink" Target="http://www.sec.gov/Archives/edgar/data/875657/000143774919008478/ex_14266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2019-12-28T08:52:32Z</dcterms:created>
  <dcterms:modified xsi:type="dcterms:W3CDTF">2019-12-28T08:52:32Z</dcterms:modified>
</cp:coreProperties>
</file>