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4300" w:right="980" w:hanging="3308"/>
        <w:spacing w:after="0" w:line="261" w:lineRule="auto"/>
        <w:tabs>
          <w:tab w:leader="none" w:pos="128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 Ended April 1, 2018</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 TRANSITION REPORT PURSUANT TO SECTION 13 OR 15(d) OF THE SECURITIES EXCHANGE ACT OF 1934</w:t>
      </w:r>
    </w:p>
    <w:p>
      <w:pPr>
        <w:spacing w:after="0" w:line="9" w:lineRule="exact"/>
        <w:rPr>
          <w:sz w:val="24"/>
          <w:szCs w:val="24"/>
          <w:color w:val="auto"/>
        </w:rPr>
      </w:pPr>
    </w:p>
    <w:p>
      <w:pPr>
        <w:ind w:left="3860"/>
        <w:spacing w:after="0"/>
        <w:tabs>
          <w:tab w:leader="none" w:pos="7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0-27460</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ULTRALIFE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148590</wp:posOffset>
            </wp:positionV>
            <wp:extent cx="1646555"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248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320" w:type="dxa"/>
        <w:tblCellMar>
          <w:top w:w="0" w:type="dxa"/>
          <w:left w:w="0" w:type="dxa"/>
          <w:bottom w:w="0" w:type="dxa"/>
          <w:right w:w="0" w:type="dxa"/>
        </w:tblCellMar>
      </w:tblPr>
      <w:tr>
        <w:trPr>
          <w:trHeight w:val="220"/>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Delaware</w:t>
            </w:r>
          </w:p>
        </w:tc>
        <w:tc>
          <w:tcPr>
            <w:tcW w:w="5200" w:type="dxa"/>
            <w:vAlign w:val="bottom"/>
          </w:tcPr>
          <w:p>
            <w:pPr>
              <w:jc w:val="right"/>
              <w:ind w:right="790"/>
              <w:spacing w:after="0"/>
              <w:rPr>
                <w:sz w:val="20"/>
                <w:szCs w:val="20"/>
                <w:color w:val="auto"/>
              </w:rPr>
            </w:pPr>
            <w:r>
              <w:rPr>
                <w:rFonts w:ascii="Arial" w:cs="Arial" w:eastAsia="Arial" w:hAnsi="Arial"/>
                <w:sz w:val="18"/>
                <w:szCs w:val="18"/>
                <w:b w:val="1"/>
                <w:bCs w:val="1"/>
                <w:color w:val="auto"/>
              </w:rPr>
              <w:t>16-1387013</w:t>
            </w:r>
          </w:p>
        </w:tc>
        <w:tc>
          <w:tcPr>
            <w:tcW w:w="0" w:type="dxa"/>
            <w:vAlign w:val="bottom"/>
          </w:tcPr>
          <w:p>
            <w:pPr>
              <w:spacing w:after="0"/>
              <w:rPr>
                <w:sz w:val="1"/>
                <w:szCs w:val="1"/>
                <w:color w:val="auto"/>
              </w:rPr>
            </w:pPr>
          </w:p>
        </w:tc>
      </w:tr>
      <w:tr>
        <w:trPr>
          <w:trHeight w:val="230"/>
        </w:trPr>
        <w:tc>
          <w:tcPr>
            <w:tcW w:w="334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w:t>
            </w:r>
          </w:p>
        </w:tc>
        <w:tc>
          <w:tcPr>
            <w:tcW w:w="5200" w:type="dxa"/>
            <w:vAlign w:val="bottom"/>
          </w:tcPr>
          <w:p>
            <w:pPr>
              <w:jc w:val="center"/>
              <w:ind w:left="24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4"/>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2000 Technology Parkway</w:t>
            </w:r>
          </w:p>
        </w:tc>
        <w:tc>
          <w:tcPr>
            <w:tcW w:w="5200" w:type="dxa"/>
            <w:vAlign w:val="bottom"/>
          </w:tcPr>
          <w:p>
            <w:pPr>
              <w:jc w:val="right"/>
              <w:ind w:right="990"/>
              <w:spacing w:after="0"/>
              <w:rPr>
                <w:sz w:val="20"/>
                <w:szCs w:val="20"/>
                <w:color w:val="auto"/>
              </w:rPr>
            </w:pPr>
            <w:r>
              <w:rPr>
                <w:rFonts w:ascii="Arial" w:cs="Arial" w:eastAsia="Arial" w:hAnsi="Arial"/>
                <w:sz w:val="18"/>
                <w:szCs w:val="18"/>
                <w:b w:val="1"/>
                <w:bCs w:val="1"/>
                <w:color w:val="auto"/>
              </w:rPr>
              <w:t>14513</w:t>
            </w:r>
          </w:p>
        </w:tc>
        <w:tc>
          <w:tcPr>
            <w:tcW w:w="0" w:type="dxa"/>
            <w:vAlign w:val="bottom"/>
          </w:tcPr>
          <w:p>
            <w:pPr>
              <w:spacing w:after="0"/>
              <w:rPr>
                <w:sz w:val="1"/>
                <w:szCs w:val="1"/>
                <w:color w:val="auto"/>
              </w:rPr>
            </w:pPr>
          </w:p>
        </w:tc>
      </w:tr>
      <w:tr>
        <w:trPr>
          <w:trHeight w:val="220"/>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Newark, New York</w:t>
            </w:r>
          </w:p>
        </w:tc>
        <w:tc>
          <w:tcPr>
            <w:tcW w:w="5200" w:type="dxa"/>
            <w:vAlign w:val="bottom"/>
          </w:tcPr>
          <w:p>
            <w:pPr>
              <w:jc w:val="center"/>
              <w:ind w:left="249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230"/>
        </w:trPr>
        <w:tc>
          <w:tcPr>
            <w:tcW w:w="334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vMerge w:val="restart"/>
          </w:tcPr>
          <w:p>
            <w:pPr>
              <w:jc w:val="right"/>
              <w:ind w:right="3210"/>
              <w:spacing w:after="0"/>
              <w:rPr>
                <w:sz w:val="20"/>
                <w:szCs w:val="20"/>
                <w:color w:val="auto"/>
              </w:rPr>
            </w:pPr>
            <w:r>
              <w:rPr>
                <w:rFonts w:ascii="Arial" w:cs="Arial" w:eastAsia="Arial" w:hAnsi="Arial"/>
                <w:sz w:val="18"/>
                <w:szCs w:val="18"/>
                <w:color w:val="auto"/>
                <w:w w:val="98"/>
              </w:rPr>
              <w:t>___________________</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(315) 332-7100</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00" w:lineRule="exact"/>
        <w:rPr>
          <w:sz w:val="24"/>
          <w:szCs w:val="24"/>
          <w:color w:val="auto"/>
        </w:rPr>
      </w:pPr>
    </w:p>
    <w:p>
      <w:pPr>
        <w:spacing w:after="0" w:line="2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X ]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40" w:type="dxa"/>
            <w:vAlign w:val="bottom"/>
          </w:tcPr>
          <w:p>
            <w:pPr>
              <w:ind w:left="40"/>
              <w:spacing w:after="0"/>
              <w:rPr>
                <w:sz w:val="20"/>
                <w:szCs w:val="20"/>
                <w:color w:val="auto"/>
              </w:rPr>
            </w:pPr>
            <w:r>
              <w:rPr>
                <w:rFonts w:ascii="Arial" w:cs="Arial" w:eastAsia="Arial" w:hAnsi="Arial"/>
                <w:sz w:val="18"/>
                <w:szCs w:val="18"/>
                <w:color w:val="auto"/>
              </w:rPr>
              <w:t>]</w:t>
            </w:r>
          </w:p>
        </w:tc>
        <w:tc>
          <w:tcPr>
            <w:tcW w:w="300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40" w:type="dxa"/>
            <w:vAlign w:val="bottom"/>
          </w:tcPr>
          <w:p>
            <w:pPr>
              <w:ind w:left="40"/>
              <w:spacing w:after="0"/>
              <w:rPr>
                <w:sz w:val="20"/>
                <w:szCs w:val="20"/>
                <w:color w:val="auto"/>
              </w:rPr>
            </w:pPr>
            <w:r>
              <w:rPr>
                <w:rFonts w:ascii="Arial" w:cs="Arial" w:eastAsia="Arial" w:hAnsi="Arial"/>
                <w:sz w:val="18"/>
                <w:szCs w:val="18"/>
                <w:color w:val="auto"/>
              </w:rPr>
              <w:t>] (Do not check if a smaller reporting company)</w:t>
            </w:r>
          </w:p>
        </w:tc>
        <w:tc>
          <w:tcPr>
            <w:tcW w:w="300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99"/>
              </w:rPr>
              <w:t>[ X ]</w:t>
            </w:r>
          </w:p>
        </w:tc>
      </w:tr>
      <w:tr>
        <w:trPr>
          <w:trHeight w:val="230"/>
        </w:trPr>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000" w:type="dxa"/>
            <w:vAlign w:val="bottom"/>
          </w:tcPr>
          <w:p>
            <w:pPr>
              <w:ind w:left="56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tabs>
          <w:tab w:leader="none" w:pos="87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r>
      <w:r>
        <w:rPr>
          <w:sz w:val="20"/>
          <w:szCs w:val="20"/>
          <w:color w:val="auto"/>
        </w:rPr>
        <w:tab/>
      </w:r>
      <w:r>
        <w:rPr>
          <w:rFonts w:ascii="Arial" w:cs="Arial" w:eastAsia="Arial" w:hAnsi="Arial"/>
          <w:sz w:val="17"/>
          <w:szCs w:val="17"/>
          <w:color w:val="auto"/>
        </w:rPr>
        <w:t>] No [ X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15,913,644, net of 4,019,711 treasury shares, as of May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20" w:type="dxa"/>
            <w:vAlign w:val="bottom"/>
          </w:tcPr>
          <w:p>
            <w:pPr>
              <w:spacing w:after="0"/>
              <w:rPr>
                <w:sz w:val="17"/>
                <w:szCs w:val="17"/>
                <w:color w:val="auto"/>
              </w:rPr>
            </w:pPr>
          </w:p>
        </w:tc>
        <w:tc>
          <w:tcPr>
            <w:tcW w:w="680" w:type="dxa"/>
            <w:vAlign w:val="bottom"/>
            <w:gridSpan w:val="3"/>
          </w:tcPr>
          <w:p>
            <w:pPr>
              <w:ind w:left="28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Financial Statements (unaudited):</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Balance Sheets as of April 1, 2018 and December 31, 2017</w:t>
            </w:r>
          </w:p>
        </w:tc>
        <w:tc>
          <w:tcPr>
            <w:tcW w:w="6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79"/>
              </w:rPr>
              <w:t>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Consolidated Statements of Income and Comprehensive Income for the Three Month Periods Ended April 1, 2018 and April 2, 2017</w:t>
            </w:r>
          </w:p>
        </w:tc>
        <w:tc>
          <w:tcPr>
            <w:tcW w:w="6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79"/>
              </w:rPr>
              <w:t>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Statements of Cash Flows for the Three Month Periods Ended April 1, 2018 and April 2, 2017</w:t>
            </w:r>
          </w:p>
        </w:tc>
        <w:tc>
          <w:tcPr>
            <w:tcW w:w="6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79"/>
              </w:rPr>
              <w:t>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to Consolidated Financial Statements</w:t>
            </w:r>
          </w:p>
        </w:tc>
        <w:tc>
          <w:tcPr>
            <w:tcW w:w="6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79"/>
              </w:rPr>
              <w:t>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6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Proceedings</w:t>
            </w:r>
          </w:p>
        </w:tc>
        <w:tc>
          <w:tcPr>
            <w:tcW w:w="6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6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Signatures</w:t>
            </w:r>
          </w:p>
        </w:tc>
        <w:tc>
          <w:tcPr>
            <w:tcW w:w="6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Index to Exhibits</w:t>
            </w:r>
          </w:p>
        </w:tc>
        <w:tc>
          <w:tcPr>
            <w:tcW w:w="6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920" w:type="dxa"/>
            <w:vAlign w:val="bottom"/>
          </w:tcPr>
          <w:p>
            <w:pPr>
              <w:ind w:left="48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tcPr>
          <w:p>
            <w:pPr>
              <w:jc w:val="center"/>
              <w:ind w:left="2370"/>
              <w:spacing w:after="0"/>
              <w:rPr>
                <w:sz w:val="20"/>
                <w:szCs w:val="20"/>
                <w:color w:val="auto"/>
              </w:rPr>
            </w:pPr>
            <w:r>
              <w:rPr>
                <w:rFonts w:ascii="Arial" w:cs="Arial" w:eastAsia="Arial" w:hAnsi="Arial"/>
                <w:sz w:val="18"/>
                <w:szCs w:val="18"/>
                <w:b w:val="1"/>
                <w:bCs w:val="1"/>
                <w:color w:val="auto"/>
              </w:rPr>
              <w:t>ULTRALIFE CORPORATION AND SUBSIDIARIES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80" w:type="dxa"/>
            <w:vAlign w:val="bottom"/>
          </w:tcPr>
          <w:p>
            <w:pPr>
              <w:jc w:val="center"/>
              <w:ind w:left="239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80" w:type="dxa"/>
            <w:vAlign w:val="bottom"/>
          </w:tcPr>
          <w:p>
            <w:pPr>
              <w:jc w:val="center"/>
              <w:ind w:left="2390"/>
              <w:spacing w:after="0"/>
              <w:rPr>
                <w:sz w:val="20"/>
                <w:szCs w:val="20"/>
                <w:color w:val="auto"/>
              </w:rPr>
            </w:pPr>
            <w:r>
              <w:rPr>
                <w:rFonts w:ascii="Arial" w:cs="Arial" w:eastAsia="Arial" w:hAnsi="Arial"/>
                <w:sz w:val="18"/>
                <w:szCs w:val="18"/>
                <w:b w:val="1"/>
                <w:bCs w:val="1"/>
                <w:color w:val="auto"/>
                <w:w w:val="90"/>
              </w:rPr>
              <w:t>(Dollars in Thousands)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80" w:type="dxa"/>
            <w:vAlign w:val="bottom"/>
          </w:tcPr>
          <w:p>
            <w:pPr>
              <w:jc w:val="center"/>
              <w:ind w:left="237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April 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80" w:type="dxa"/>
            <w:vAlign w:val="bottom"/>
            <w:shd w:val="clear" w:color="auto" w:fill="CCEEFF"/>
          </w:tcPr>
          <w:p>
            <w:pPr>
              <w:jc w:val="center"/>
              <w:ind w:right="850"/>
              <w:spacing w:after="0"/>
              <w:rPr>
                <w:sz w:val="20"/>
                <w:szCs w:val="20"/>
                <w:color w:val="auto"/>
              </w:rPr>
            </w:pPr>
            <w:r>
              <w:rPr>
                <w:rFonts w:ascii="Arial" w:cs="Arial" w:eastAsia="Arial" w:hAnsi="Arial"/>
                <w:sz w:val="18"/>
                <w:szCs w:val="18"/>
                <w:b w:val="1"/>
                <w:bCs w:val="1"/>
                <w:color w:val="auto"/>
                <w:w w:val="91"/>
              </w:rPr>
              <w:t>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7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Trade Accounts Receivable, Net of Allowance for Doubtful Accounts of $298 and $292, Respectively</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63,751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Goodwill</w:t>
            </w:r>
          </w:p>
        </w:tc>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Security Deposits and Other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99,077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80" w:type="dxa"/>
            <w:vAlign w:val="bottom"/>
          </w:tcPr>
          <w:p>
            <w:pPr>
              <w:jc w:val="center"/>
              <w:ind w:right="85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7,545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gridSpan w:val="2"/>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 Par Value $.10 Per Share; Authorized 40,000,000 Shares; Issued – 19,891,937 Shares at</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April 1, 2018 and 19,670,928 Shares at December 31, 2017; Outstanding – 15,872,226 Shares at April 1,</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2018 and 15,651,217 at December 31, 2017</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181,312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180,211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 At Cost; 4,019,711 at April 1, 2018 and 4,019,711 Shares at December 31, 2017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ind w:left="480"/>
              <w:spacing w:after="0"/>
              <w:rPr>
                <w:sz w:val="20"/>
                <w:szCs w:val="20"/>
                <w:color w:val="auto"/>
              </w:rPr>
            </w:pPr>
            <w:r>
              <w:rPr>
                <w:rFonts w:ascii="Arial" w:cs="Arial" w:eastAsia="Arial" w:hAnsi="Arial"/>
                <w:sz w:val="18"/>
                <w:szCs w:val="18"/>
                <w:color w:val="auto"/>
              </w:rPr>
              <w:t>Total Ultralife Corporation Equity</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83,230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79,203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ind w:left="4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83,093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79,049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99,077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April 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April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23,069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15,787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Gross Profit</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4,926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2,356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Other Expenses: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Expenses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Tax Provision</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Attributable to Ultralife Common Shareholders – Basic</w:t>
            </w: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Attributable to Ultralife Common Shareholders – Diluted</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April 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April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2,168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Adjustments to Reconcile Net Income to Net Cash (Used In) Provided By Operating Activities: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Amortization of Financing Fees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Other Liabilities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Net Cash (Used In) Provided By Operating Activities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Equipment and Improvements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Stock Option Exercise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INCREASE IN CASH</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18,330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18,330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of Ultralife Corporation (the “Company”) and its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2017.</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December 31, 2017 consolidated balance sheet data referenced herein was derived from audited financial statements, but does not include all disclosures required by GAAP.</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0" w:lineRule="exact"/>
        <w:rPr>
          <w:sz w:val="20"/>
          <w:szCs w:val="20"/>
          <w:color w:val="auto"/>
        </w:rPr>
      </w:pPr>
    </w:p>
    <w:p>
      <w:pPr>
        <w:spacing w:after="0" w:line="38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2018, the Company adopted Accounting Standards Update 2014-09 (Topic 606) “Revenue from Contracts with Customers”. Adoption of Topic 606 did not impact the timing of revenue recognition in our Consolidated Financial Statements for the current or prior interim or annual periods. Accordingly, no adjustments have been made to opening retained earnings or prior period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Revenue is measured as the amount of consideration we expect to receive in exchange for shipped product. Sales, value add and other taxes billed and collected from customers are excluded from revenue. Customers, including distributors, do not have a general right of return. For products shipped under vendor managed inventory arrangements, revenue is recognized and billed when the product is consumed by the customer, at which point control has transferred and there are no further obligations by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recognized from prior period performance obligations for the three months ended April 1, 2018 were not material.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1, 2018,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Deferred revenue, unbilled revenue and deferred contract costs recorded on our Consolidated Balance Sheets as of April 1, 2018 and December 31, 2017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extend credit to our customers in the normal course of business. We perform ongoing credit evaluations and generally do not require collateral. Payment terms are generallly 30 days. Trade accounts receivable are recorded at their invoiced amounts, net of allowance for doubtful accounts. We evaluate the adequacy of our allowance for doubtful accounts quarterly. Accounts outstanding for longer than contractual payment terms are considered past due and are reviewed for collectability. We maintain reserves for potential credit losses based upon our historical experience and the aging of specific receivables. Receivable balances are written off when collection is deemed unlikely.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Commissions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commissions are expensed as incurred for contracts with an expected duration of one year or less. There were no sales commissions capitalized as of April 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incurred by us related to shipping and handling are included in cost of products sold. Amounts charged to customers pertaining to these costs are reflected as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generally offer warranties against product defects. Costs incurred to service warranty claims are recorded as costs of products sold. We provide for potential warranty costs based on historical experience. Provision for warranty costs is recorded in other current liabilities and other long-term liabilities as applicable on our Consolidated Balance Sheets. The Company does not offer separate service-type warranties on its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 12 for disaggregated revenue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cash and restricted cash totaling $18,330 and $18,330 as of April 1, 2018 and December 31, 2017, respectively.</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April 1,</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3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Restricted Cash</w:t>
            </w: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r>
      <w:tr>
        <w:trPr>
          <w:trHeight w:val="230"/>
        </w:trPr>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18,330</w:t>
            </w:r>
          </w:p>
        </w:tc>
      </w:tr>
      <w:tr>
        <w:trPr>
          <w:trHeight w:val="20"/>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Restricted cash represents deposits withheld by the Dutch tax authorities and third party VAT representatives in connection with a previously utilized logistics arrangement in the Netherlands.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are stated at the lower of cost or market, net of obsolescence reserves, with cost determined under the first-in, first-out (FIFO) method. The composition of inventories, net was: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April 1,</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Work In Process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2,085</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26,961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26,326</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i w:val="1"/>
                <w:iCs w:val="1"/>
                <w:color w:val="auto"/>
              </w:rPr>
              <w:t>PROPERTY, EQUIPMENT AND IMPROVEMENTS</w:t>
            </w:r>
          </w:p>
        </w:tc>
        <w:tc>
          <w:tcPr>
            <w:tcW w:w="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9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20" w:type="dxa"/>
            <w:vAlign w:val="bottom"/>
            <w:gridSpan w:val="2"/>
          </w:tcPr>
          <w:p>
            <w:pPr>
              <w:spacing w:after="0"/>
              <w:rPr>
                <w:sz w:val="20"/>
                <w:szCs w:val="20"/>
                <w:color w:val="auto"/>
              </w:rPr>
            </w:pPr>
            <w:r>
              <w:rPr>
                <w:rFonts w:ascii="Arial" w:cs="Arial" w:eastAsia="Arial" w:hAnsi="Arial"/>
                <w:sz w:val="18"/>
                <w:szCs w:val="18"/>
                <w:color w:val="auto"/>
              </w:rPr>
              <w:t>Major classes of property, equipment and improvements consisted of the following:</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April 1,</w:t>
            </w: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7,900</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67,064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(59,705)</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(59,141)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property, equipment and improvements was $484 and $503 for the three-month periods ended April 1, 2018 and April 2, 2017,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 INTANGIBLE ASSETS AND LONG TERM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three-month periods ended April 1, 2018 and April 2, 2017:</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Battery &amp;</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Communi-</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cations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2016</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19,965</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April 2, 2017</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20,048</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20,458</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April 1, 2018</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20,698</w:t>
            </w:r>
          </w:p>
        </w:tc>
        <w:tc>
          <w:tcPr>
            <w:tcW w:w="260" w:type="dxa"/>
            <w:vAlign w:val="bottom"/>
          </w:tcPr>
          <w:p>
            <w:pPr>
              <w:spacing w:after="0"/>
              <w:rPr>
                <w:sz w:val="21"/>
                <w:szCs w:val="21"/>
                <w:color w:val="auto"/>
              </w:rPr>
            </w:pPr>
          </w:p>
        </w:tc>
      </w:tr>
      <w:tr>
        <w:trPr>
          <w:trHeight w:val="413"/>
        </w:trPr>
        <w:tc>
          <w:tcPr>
            <w:tcW w:w="340" w:type="dxa"/>
            <w:vAlign w:val="bottom"/>
          </w:tcPr>
          <w:p>
            <w:pPr>
              <w:spacing w:after="0"/>
              <w:rPr>
                <w:sz w:val="24"/>
                <w:szCs w:val="24"/>
                <w:color w:val="auto"/>
              </w:rPr>
            </w:pPr>
          </w:p>
        </w:tc>
        <w:tc>
          <w:tcPr>
            <w:tcW w:w="414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7"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 Other Intangible Assets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2"/>
              </w:rPr>
              <w:t>at April 1, 2018</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Amortization</w:t>
            </w:r>
          </w:p>
        </w:tc>
        <w:tc>
          <w:tcPr>
            <w:tcW w:w="36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w:t>
            </w: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4,277</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2,443</w:t>
            </w: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4,641</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Other Intangible Assets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16,506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9,387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7,119</w:t>
            </w: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at December 31, 2017</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Amortization</w:t>
            </w:r>
          </w:p>
        </w:tc>
        <w:tc>
          <w:tcPr>
            <w:tcW w:w="36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4,208</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2,410</w:t>
            </w: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Other Intangible Assets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16,344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9,259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7,085</w:t>
            </w: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intangible assets was $102 and $105 for the three-month periods ended April 1, 2018 and April 2, 2017, respectively. Amortization included in research and development expenses was $38 and $40 for the three-month periods ended April 1, 2018 and April 2, 2017, respectively. Amortization included in selling, general and administrative expenses was $64 and $65 for the three-month periods ended April 1, 2018 and April 2,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cost value of total intangible assets from December 31, 2017 to April 1, 2018 is a result of the effect of foreign currency translations.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31, 2017, Ultralife Corporation entered into a Credit and Security Agreement (the “Credit Agreement”) and related security agreements with KeyBank National Association (“KeyBank” or the “Bank”) to establish a $30,000 senior secured, cash flow-based, revolving credit facility that includes a $1,500 letter of credit subfacility (the “Credit Facility”). The Credit Agreement provides that the Credit Facility may be increased with the Bank’s concurrence to $50,000 prior to the last six months of the term and is scheduled to expire on May 30, 2020. The Credit Facility replaces the Company’s asset-based revolving credit facility with PNC Bank National Association which expired in accordance with its terms on May 24, 2017 (the “Prior Credit Agreement”).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provides the Company with an aggregate of up to $30,000 of loan and letter of credit availability determined based on a borrowing base formula. The Company may use advances under the Credit Facility for general working capital purposes, to reimburse drawings under letters of credit and to fund capital expenditures and acquisitions, all subject to the terms of the Credit Agreement. The Company had no amounts drawn under the Prior Credit Agreement at the time of its expiration and has not borrowed under the Credit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Interest will accrue on outstanding indebtedness under the Credit Agreement at the Overnight LIBOR Rate plus the applicable margin, or at the Base Rate plus the applicable margin, as selected by the Company. During the period beginning May 31, 2017 and ending April 1, 2018, the applicable margin for Overnight LIBOR Loans is 185 basis points, the applicable margin for Base Rate Loans is negative 50 basis points and applicable margin for the Unused Fee is 20 basis points. Beginning April 2, 2018 and thereafter, the applicable margins will be determined based on the chart below.</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560" w:type="dxa"/>
            <w:vAlign w:val="bottom"/>
            <w:tcBorders>
              <w:top w:val="single" w:sz="8" w:color="auto"/>
              <w:left w:val="single" w:sz="8" w:color="auto"/>
              <w:right w:val="single" w:sz="8" w:color="auto"/>
            </w:tcBorders>
          </w:tcPr>
          <w:p>
            <w:pPr>
              <w:spacing w:after="0"/>
              <w:rPr>
                <w:sz w:val="18"/>
                <w:szCs w:val="18"/>
                <w:color w:val="auto"/>
              </w:rPr>
            </w:pP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r>
      <w:tr>
        <w:trPr>
          <w:trHeight w:val="216"/>
        </w:trPr>
        <w:tc>
          <w:tcPr>
            <w:tcW w:w="356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Consolidated Senior Leverage Ratio</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Points for Overnight</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Points for</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Points for Unused</w:t>
            </w:r>
          </w:p>
        </w:tc>
      </w:tr>
      <w:tr>
        <w:trPr>
          <w:trHeight w:val="230"/>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LIBOR Loans</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Base Rate Loans</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r>
      <w:tr>
        <w:trPr>
          <w:trHeight w:val="210"/>
        </w:trPr>
        <w:tc>
          <w:tcPr>
            <w:tcW w:w="35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than 1.50 to 1.00</w:t>
            </w:r>
          </w:p>
        </w:tc>
        <w:tc>
          <w:tcPr>
            <w:tcW w:w="2660" w:type="dxa"/>
            <w:vAlign w:val="bottom"/>
            <w:tcBorders>
              <w:bottom w:val="single" w:sz="8" w:color="auto"/>
              <w:right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185</w:t>
            </w:r>
          </w:p>
        </w:tc>
        <w:tc>
          <w:tcPr>
            <w:tcW w:w="2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(50)</w:t>
            </w:r>
          </w:p>
        </w:tc>
        <w:tc>
          <w:tcPr>
            <w:tcW w:w="2580" w:type="dxa"/>
            <w:vAlign w:val="bottom"/>
            <w:tcBorders>
              <w:bottom w:val="single" w:sz="8" w:color="auto"/>
              <w:right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20</w:t>
            </w:r>
          </w:p>
        </w:tc>
      </w:tr>
      <w:tr>
        <w:trPr>
          <w:trHeight w:val="195"/>
        </w:trPr>
        <w:tc>
          <w:tcPr>
            <w:tcW w:w="35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7"/>
              </w:rPr>
              <w:t>Greater than or equal to 1.50 to 1.00 but less</w:t>
            </w:r>
          </w:p>
        </w:tc>
        <w:tc>
          <w:tcPr>
            <w:tcW w:w="26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r>
      <w:tr>
        <w:trPr>
          <w:trHeight w:val="230"/>
        </w:trPr>
        <w:tc>
          <w:tcPr>
            <w:tcW w:w="3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than 2.50 to 1.00</w:t>
            </w:r>
          </w:p>
        </w:tc>
        <w:tc>
          <w:tcPr>
            <w:tcW w:w="2660" w:type="dxa"/>
            <w:vAlign w:val="bottom"/>
            <w:tcBorders>
              <w:bottom w:val="single" w:sz="8" w:color="auto"/>
              <w:right w:val="single" w:sz="8" w:color="auto"/>
            </w:tcBorders>
          </w:tcPr>
          <w:p>
            <w:pPr>
              <w:jc w:val="right"/>
              <w:ind w:right="1050"/>
              <w:spacing w:after="0"/>
              <w:rPr>
                <w:sz w:val="20"/>
                <w:szCs w:val="20"/>
                <w:color w:val="auto"/>
              </w:rPr>
            </w:pPr>
            <w:r>
              <w:rPr>
                <w:rFonts w:ascii="Arial" w:cs="Arial" w:eastAsia="Arial" w:hAnsi="Arial"/>
                <w:sz w:val="18"/>
                <w:szCs w:val="18"/>
                <w:color w:val="auto"/>
              </w:rPr>
              <w:t>200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(25)</w:t>
            </w:r>
          </w:p>
        </w:tc>
        <w:tc>
          <w:tcPr>
            <w:tcW w:w="2580" w:type="dxa"/>
            <w:vAlign w:val="bottom"/>
            <w:tcBorders>
              <w:bottom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rPr>
              <w:t>15</w:t>
            </w:r>
          </w:p>
        </w:tc>
      </w:tr>
      <w:tr>
        <w:trPr>
          <w:trHeight w:val="210"/>
        </w:trPr>
        <w:tc>
          <w:tcPr>
            <w:tcW w:w="35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Greater than or equal to 2.50 to 1.00</w:t>
            </w:r>
          </w:p>
        </w:tc>
        <w:tc>
          <w:tcPr>
            <w:tcW w:w="2660" w:type="dxa"/>
            <w:vAlign w:val="bottom"/>
            <w:tcBorders>
              <w:bottom w:val="single" w:sz="8" w:color="auto"/>
              <w:right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215</w:t>
            </w:r>
          </w:p>
        </w:tc>
        <w:tc>
          <w:tcPr>
            <w:tcW w:w="2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580" w:type="dxa"/>
            <w:vAlign w:val="bottom"/>
            <w:tcBorders>
              <w:bottom w:val="single" w:sz="8" w:color="auto"/>
              <w:right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on its unused availability equal to the applicable margin for the Unused Fee and customary letter of credit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affirmative and negative covenants, the Company must maintain a fixed charge coverage ratio of 1.15 to 1.0, tested each fiscal quarter for the trailing four fiscal quarters, and a minimum tangible net worth of $40,000, tested as of the end of each calendar year. The Company was in full compliance with its covenants as of April 1,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outstanding borrowings must be repaid upon expiration of the term of the Credit Facility. Payments must be made during the term to the extent outstanding borrowings exceed the maximum amount then permitted to be drawn as borrowings under the Credit Facility and from the proceeds of certain transactions. Upon the occurrence of an event of default, the outstanding obligations of the Company under the Credit Facility may be accelerated in addition to the other remedies available to the Bank under the terms of the Credit Agreement. The Credit Facility is secured by substantially all the assets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2018, we had no outstanding balance under the Credit Facility and no outstanding letters of credit related to the Credit Facility.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i w:val="1"/>
                <w:iCs w:val="1"/>
                <w:color w:val="auto"/>
              </w:rPr>
              <w:t>SHAREHOLDERS’ EQUITY</w:t>
            </w: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w w:val="91"/>
              </w:rPr>
              <w:t>We recorded non-cash stock compensation expense in each period as follows:</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780" w:type="dxa"/>
            <w:vAlign w:val="bottom"/>
          </w:tcPr>
          <w:p>
            <w:pPr>
              <w:spacing w:after="0"/>
              <w:rPr>
                <w:sz w:val="24"/>
                <w:szCs w:val="24"/>
                <w:color w:val="auto"/>
              </w:rPr>
            </w:pPr>
          </w:p>
        </w:tc>
        <w:tc>
          <w:tcPr>
            <w:tcW w:w="294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Three-Month Periods Ended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780" w:type="dxa"/>
            <w:vAlign w:val="bottom"/>
          </w:tcPr>
          <w:p>
            <w:pPr>
              <w:spacing w:after="0"/>
              <w:rPr>
                <w:sz w:val="18"/>
                <w:szCs w:val="18"/>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b w:val="1"/>
                <w:bCs w:val="1"/>
                <w:color w:val="auto"/>
              </w:rPr>
              <w:t>April 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April 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80" w:type="dxa"/>
            <w:vAlign w:val="bottom"/>
            <w:shd w:val="clear" w:color="auto" w:fill="CCEEFF"/>
          </w:tcPr>
          <w:p>
            <w:pPr>
              <w:jc w:val="right"/>
              <w:ind w:right="1016"/>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130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11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0"/>
        </w:trPr>
        <w:tc>
          <w:tcPr>
            <w:tcW w:w="5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ind w:right="1016"/>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130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April 1, 2018, there was $309 of total unrecognized compensation cost related to outstanding stock options, which is expected to be recognized over a weighted average period of 1.0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200" w:type="dxa"/>
            <w:vAlign w:val="bottom"/>
            <w:gridSpan w:val="7"/>
          </w:tcPr>
          <w:p>
            <w:pPr>
              <w:jc w:val="right"/>
              <w:ind w:right="860"/>
              <w:spacing w:after="0"/>
              <w:rPr>
                <w:sz w:val="20"/>
                <w:szCs w:val="20"/>
                <w:color w:val="auto"/>
              </w:rPr>
            </w:pPr>
            <w:r>
              <w:rPr>
                <w:rFonts w:ascii="Arial" w:cs="Arial" w:eastAsia="Arial" w:hAnsi="Arial"/>
                <w:sz w:val="18"/>
                <w:szCs w:val="18"/>
                <w:color w:val="auto"/>
                <w:w w:val="92"/>
              </w:rPr>
              <w:t>The following table summarizes stock option activity for the three-month period ended April 1, 2018:</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1,860,211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14,000</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7.16</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(221,009)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Forfeited or Expired</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(114,449)</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11.60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1, 2018</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1,538,753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6,786</w:t>
            </w:r>
          </w:p>
        </w:tc>
      </w:tr>
      <w:tr>
        <w:trPr>
          <w:trHeight w:val="197"/>
        </w:trPr>
        <w:tc>
          <w:tcPr>
            <w:tcW w:w="528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Vested and Expected to Vest at April 1, 2018</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1,449,498</w:t>
            </w: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5.96</w:t>
            </w:r>
          </w:p>
        </w:tc>
        <w:tc>
          <w:tcPr>
            <w:tcW w:w="1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3.50</w:t>
            </w:r>
          </w:p>
        </w:tc>
        <w:tc>
          <w:tcPr>
            <w:tcW w:w="2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6,350</w:t>
            </w:r>
          </w:p>
        </w:tc>
      </w:tr>
      <w:tr>
        <w:trPr>
          <w:trHeight w:val="20"/>
        </w:trPr>
        <w:tc>
          <w:tcPr>
            <w:tcW w:w="6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April 1, 2018</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917,915</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4.82</w:t>
            </w:r>
          </w:p>
        </w:tc>
        <w:tc>
          <w:tcPr>
            <w:tcW w:w="132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2.89</w:t>
            </w:r>
          </w:p>
        </w:tc>
        <w:tc>
          <w:tcPr>
            <w:tcW w:w="24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4,751</w:t>
            </w: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The following assumptions were used to value stock options granted during the three months ended April 1, 2018:</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Volatility Factor</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1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Dividends</w:t>
            </w: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three months ended April 1, 2018 was $3.19.</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three months of 2018 or 2017.</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April 1, 2018 and April 2, 2017 was $939 and $741,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17,500 shares of restricted stock were awarded to certain of our employees. These shares vest in equal annual installments over three years. The weighted average grant date fair value of these awards was $7.16 per share. Unrecognized compensation cost related to these restricted shares was $110 at April 1,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percent to 21 percent; (2) elimination of the corporate alternative minimum tax (AMT) and changing how existing AMT credits can be realized; (3) changing rules related to usage and limitation of net operating loss carryforwards created in tax years beginning after December 31, 2017; (4) generally eliminating U.S. federal income taxes on dividends from foreign subsidiaries for tax years beginning after December 31, 2017; and (5) implementing a territorial tax system and imposing a transition toll tax on deemed repatriated earnings of foreign subsidiaries.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308" w:lineRule="auto"/>
        <w:rPr>
          <w:sz w:val="20"/>
          <w:szCs w:val="20"/>
          <w:color w:val="auto"/>
        </w:rPr>
      </w:pPr>
      <w:r>
        <w:rPr>
          <w:rFonts w:ascii="Arial" w:cs="Arial" w:eastAsia="Arial" w:hAnsi="Arial"/>
          <w:sz w:val="17"/>
          <w:szCs w:val="17"/>
          <w:color w:val="auto"/>
        </w:rPr>
        <w:t>The Tax Act provided for a one-time deemed mandatory repatriation for post-1986 undistributed foreign subsidiary earnings and profits (“E&amp;P”) through the year ended December 31, 2017. The Company had a deficit in foreign E&amp;P and is not expected to be subject to the deemed mandatory repatriation.</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Act. At April 1, 2018, the amounts recorded for the Tax Act remain provisional for the transition tax, the remeasurement of deferred taxes, and our reassessment of permanently reinvested earnings, uncertain tax positions and valuation allowances. These estimates may be impacted by further analysis and future clarification and guidance regarding available tax accounting methods and elections, earnings and profits computations, state tax conformity to federal tax changes and the impact of the GILTI provisions. At April 2018, we were not able to reasonably estimate, and therefore have not recorded, deferred taxes for the GILTI provisions. We have not yet determined our policy election with respect to whether to record deferred taxes for basis differences expected to reverse as a result of the GILTI provisions in future periods or use the period cost method.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three-month periods ended April 1, 2018 and April 2, 2017, we recognized $55 and $87, respectively, in income tax expense. These are detailed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94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Three-Month Periods Ended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b w:val="1"/>
                <w:bCs w:val="1"/>
                <w:color w:val="auto"/>
              </w:rPr>
              <w:t>April 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April 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p>
        </w:tc>
        <w:tc>
          <w:tcPr>
            <w:tcW w:w="1220" w:type="dxa"/>
            <w:vAlign w:val="bottom"/>
          </w:tcPr>
          <w:p>
            <w:pPr>
              <w:jc w:val="right"/>
              <w:ind w:right="176"/>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220" w:type="dxa"/>
            <w:vAlign w:val="bottom"/>
          </w:tcPr>
          <w:p>
            <w:pPr>
              <w:jc w:val="right"/>
              <w:ind w:right="105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6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State</w:t>
            </w: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 Provision</w:t>
            </w:r>
          </w:p>
        </w:tc>
        <w:tc>
          <w:tcPr>
            <w:tcW w:w="1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r>
      <w:tr>
        <w:trPr>
          <w:trHeight w:val="210"/>
        </w:trPr>
        <w:tc>
          <w:tcPr>
            <w:tcW w:w="57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ind w:right="105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top w:val="single" w:sz="8" w:color="CCEEFF"/>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deferred income tax benefit for 2018 represents the amortization of certain intangible assets of Accutronics (U.K.) largely offset by the increase in the taxable temporary difference related to goodwill and certain other indefinite-lived intangible assets of the U.S. operations that cannot be predicted to reverse for book purposes during our loss carryforward periods. The deferred income tax provision for 2017 reflects the higher previously-enacted U.S corporate tax rate. The current income tax provisions for 2018 and 2017 are primarily due to the income generated by our foreign operations during the respective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effective consolidated tax rates for the three-month periods ended April 1, 2018 and April 2, 2017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8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Three-Month Periods Ended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jc w:val="center"/>
              <w:ind w:left="350"/>
              <w:spacing w:after="0"/>
              <w:rPr>
                <w:sz w:val="20"/>
                <w:szCs w:val="20"/>
                <w:color w:val="auto"/>
              </w:rPr>
            </w:pPr>
            <w:r>
              <w:rPr>
                <w:rFonts w:ascii="Arial" w:cs="Arial" w:eastAsia="Arial" w:hAnsi="Arial"/>
                <w:sz w:val="18"/>
                <w:szCs w:val="18"/>
                <w:b w:val="1"/>
                <w:bCs w:val="1"/>
                <w:color w:val="auto"/>
                <w:w w:val="98"/>
              </w:rPr>
              <w:t>April 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left="370"/>
              <w:spacing w:after="0"/>
              <w:rPr>
                <w:sz w:val="20"/>
                <w:szCs w:val="20"/>
                <w:color w:val="auto"/>
              </w:rPr>
            </w:pPr>
            <w:r>
              <w:rPr>
                <w:rFonts w:ascii="Arial" w:cs="Arial" w:eastAsia="Arial" w:hAnsi="Arial"/>
                <w:sz w:val="18"/>
                <w:szCs w:val="18"/>
                <w:b w:val="1"/>
                <w:bCs w:val="1"/>
                <w:color w:val="auto"/>
                <w:w w:val="94"/>
              </w:rPr>
              <w:t>April 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7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7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2,223</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1,748</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60" w:type="dxa"/>
            <w:vAlign w:val="bottom"/>
          </w:tcPr>
          <w:p>
            <w:pPr>
              <w:jc w:val="right"/>
              <w:ind w:right="1810"/>
              <w:spacing w:after="0"/>
              <w:rPr>
                <w:sz w:val="20"/>
                <w:szCs w:val="20"/>
                <w:color w:val="auto"/>
              </w:rPr>
            </w:pPr>
            <w:r>
              <w:rPr>
                <w:rFonts w:ascii="Arial" w:cs="Arial" w:eastAsia="Arial" w:hAnsi="Arial"/>
                <w:sz w:val="18"/>
                <w:szCs w:val="18"/>
                <w:color w:val="auto"/>
              </w:rPr>
              <w:t>12</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0" w:lineRule="auto"/>
        <w:rPr>
          <w:sz w:val="20"/>
          <w:szCs w:val="20"/>
          <w:color w:val="auto"/>
        </w:rPr>
      </w:pPr>
      <w:r>
        <w:rPr>
          <w:rFonts w:ascii="Arial" w:cs="Arial" w:eastAsia="Arial" w:hAnsi="Arial"/>
          <w:sz w:val="17"/>
          <w:szCs w:val="17"/>
          <w:color w:val="auto"/>
        </w:rPr>
        <w:t>In 2018 and 2017, in the U.S. and for certain past operations in the U.K., we recognize a valuation allowance for our net operating loss carryforwards and other deferred tax assets that cannot be offset by reversing temporary differences. The recognition of the valuation allowance is based on an assessment of all available evidence, both positive and negative, weighted based on objective verifiability. The assessment of the realizability of the U.S. deferred tax assets was based on a number of factors including our history of operating losses, our historical operating volatility, our historical inability to accurately forecast earnings for future periods and the continued uncertainty of the general business climate. The use of our U.K. net operating loss carryforwards may be limited due to the change in the past U.K. operation. Based on our assessment of all available evidence and its weighting based on objective verifiability, we concluded that the realizability of these deferred tax assets is not more likely than not. In both 2018 and 2017,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we have domestic and foreign net operating losses (“NOL”) totaling approximately $69,594 and $12,760, respectively, and domestic tax credits of approximately $1,837, available to reduce future taxable income. Included in our NOL carryforwards are foreign loss carryforwards of approximately $12,760, nearly all of which can be carried forward indefinitely. The domestic NOL carryforward of $69,594 expires beginning in 2019 through 2034.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2018, the Company maintains its assertion that all foreign earnings will be indefinitely reinvested in those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April 1, 2018 and December 31, 2017.</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2002 through 2017 remain subject to examination by the Internal Revenue Service (“IRS”) and various state and local tax jurisdictions due to our NOL carryforwards. Our tax matters for the years 2009 through 2017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April 1, 2018, 1,324,753 stock options and 17,500 restricted stock awards were included in the calculation of Diluted EPS as such securities are dilutive. Inclusion of these securities resulted in 498,109 additional shares in the calculation of fully diluted earnings per share. For the comparable three-month period ended April 2, 2017, 1,180,031 stock options and 15,900 restricted stock awards were included in the calculation of Diluted EPS resulting in 244,591 additional shares in the calculation of fully diluted earnings per share. There were 214,000 and 1,015,050 outstanding stock options for the three-month periods ended April 1, 2018 and April 2, 2017, respectively, which were not included in EPS as the effect would be anti-dilutive.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2018, we have made commitments to purchase approximately $2,483 of production machinery and equipment.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three months of 2018 and 2017 were as follows:</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Three-Month Periods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April 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April 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80" w:type="dxa"/>
            <w:vAlign w:val="bottom"/>
          </w:tcPr>
          <w:p>
            <w:pPr>
              <w:spacing w:after="0"/>
              <w:rPr>
                <w:sz w:val="20"/>
                <w:szCs w:val="20"/>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140" w:type="dxa"/>
            <w:vAlign w:val="bottom"/>
            <w:shd w:val="clear" w:color="auto" w:fill="CCEEFF"/>
          </w:tcPr>
          <w:p>
            <w:pPr>
              <w:jc w:val="right"/>
              <w:ind w:right="97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0"/>
        </w:trPr>
        <w:tc>
          <w:tcPr>
            <w:tcW w:w="7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Accrued Warranty Obligations – Ending</w:t>
            </w:r>
          </w:p>
        </w:tc>
        <w:tc>
          <w:tcPr>
            <w:tcW w:w="114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 Contingencies and Legal Matters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legal proceedings and claims that arise from time to time in the normal course of business. We believe that the final disposition of such matters will not have a material adverse effect on our financial position, results of operations or cash flows.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an unoccupied Boeing 787 Dreamliner aircraft operated by Ethiopian Airlines was damaged by fire while parked at London Heathrow Airport. Following an investigation of this incident conducted by U.K. and U.S. regulatory authorities as well as by the manufacturer of the aircraft,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 A component of the ELT is a battery pack which incorporates Ultralife’s industry-standard lithium manganese dioxide non-rechargeable D-cell, which Ultralife has produced since 2001, with wide-use in global defense and commercial applications.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4, 2015, we were notified of a lawsuit in which we were named, along with other suppliers to the aircraft manufacturer, concerning that 2013 fire, which was filed by Ethiopian Airlines Enterprise in the Commercial Court, Queen’s Bench Division of the High Court of Justice, London. We immediately referred this matter to our insurers.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lawsuit has now been resolved ( February 2018), the claimant has terminated the action against the Company, and the Court has acknowledged and consented to this termination. The matter was terminated without financial consequences to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4" w:name="page15"/>
    <w:bookmarkEnd w:id="14"/>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segment performance were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Three-Month Period Ended April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2,246</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(4,926)</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2,356</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2,151</w:t>
            </w:r>
          </w:p>
        </w:tc>
      </w:tr>
      <w:tr>
        <w:trPr>
          <w:trHeight w:val="634"/>
        </w:trPr>
        <w:tc>
          <w:tcPr>
            <w:tcW w:w="5320" w:type="dxa"/>
            <w:vAlign w:val="bottom"/>
          </w:tcPr>
          <w:p>
            <w:pPr>
              <w:spacing w:after="0"/>
              <w:rPr>
                <w:sz w:val="20"/>
                <w:szCs w:val="20"/>
                <w:color w:val="auto"/>
              </w:rPr>
            </w:pPr>
            <w:r>
              <w:rPr>
                <w:rFonts w:ascii="Arial" w:cs="Arial" w:eastAsia="Arial" w:hAnsi="Arial"/>
                <w:sz w:val="18"/>
                <w:szCs w:val="18"/>
                <w:b w:val="1"/>
                <w:bCs w:val="1"/>
                <w:color w:val="auto"/>
              </w:rPr>
              <w:t>Three-Month Period Ended April 2, 2017:</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22,035</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1,960</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(5,049)</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c>
          <w:tcPr>
            <w:tcW w:w="5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5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c>
          <w:tcPr>
            <w:tcW w:w="580" w:type="dxa"/>
            <w:vAlign w:val="bottom"/>
          </w:tcPr>
          <w:p>
            <w:pPr>
              <w:spacing w:after="0"/>
              <w:rPr>
                <w:sz w:val="20"/>
                <w:szCs w:val="20"/>
                <w:color w:val="auto"/>
              </w:rPr>
            </w:pPr>
          </w:p>
        </w:tc>
      </w:tr>
      <w:tr>
        <w:trPr>
          <w:trHeight w:val="418"/>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and Government/Defense Revenue Information:</w:t>
      </w:r>
    </w:p>
    <w:p>
      <w:pPr>
        <w:spacing w:after="0" w:line="200" w:lineRule="exact"/>
        <w:rPr>
          <w:sz w:val="20"/>
          <w:szCs w:val="20"/>
          <w:color w:val="auto"/>
        </w:rPr>
      </w:pP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Government/</w:t>
            </w:r>
          </w:p>
        </w:tc>
        <w:tc>
          <w:tcPr>
            <w:tcW w:w="0" w:type="dxa"/>
            <w:vAlign w:val="bottom"/>
          </w:tcPr>
          <w:p>
            <w:pPr>
              <w:spacing w:after="0"/>
              <w:rPr>
                <w:sz w:val="1"/>
                <w:szCs w:val="1"/>
                <w:color w:val="auto"/>
              </w:rPr>
            </w:pPr>
          </w:p>
        </w:tc>
      </w:tr>
      <w:tr>
        <w:trPr>
          <w:trHeight w:val="230"/>
        </w:trPr>
        <w:tc>
          <w:tcPr>
            <w:tcW w:w="4540" w:type="dxa"/>
            <w:vAlign w:val="bottom"/>
            <w:gridSpan w:val="4"/>
          </w:tcPr>
          <w:p>
            <w:pPr>
              <w:ind w:left="480"/>
              <w:spacing w:after="0"/>
              <w:rPr>
                <w:sz w:val="20"/>
                <w:szCs w:val="20"/>
                <w:color w:val="auto"/>
              </w:rPr>
            </w:pPr>
            <w:r>
              <w:rPr>
                <w:rFonts w:ascii="Arial" w:cs="Arial" w:eastAsia="Arial" w:hAnsi="Arial"/>
                <w:sz w:val="18"/>
                <w:szCs w:val="18"/>
                <w:color w:val="auto"/>
              </w:rPr>
              <w:t>Three-Month Period Ended April 1, 2018:</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8"/>
              </w:rPr>
              <w:t>Revenue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Commercial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Defense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40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23,069</w:t>
            </w:r>
          </w:p>
        </w:tc>
        <w:tc>
          <w:tcPr>
            <w:tcW w:w="100" w:type="dxa"/>
            <w:vAlign w:val="bottom"/>
            <w:tcBorders>
              <w:left w:val="single" w:sz="8" w:color="CCEEFF"/>
            </w:tcBorders>
            <w:shd w:val="clear" w:color="auto" w:fill="CCEEFF"/>
          </w:tcPr>
          <w:p>
            <w:pPr>
              <w:spacing w:after="0"/>
              <w:rPr>
                <w:sz w:val="21"/>
                <w:szCs w:val="21"/>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13,443</w:t>
            </w:r>
          </w:p>
        </w:tc>
        <w:tc>
          <w:tcPr>
            <w:tcW w:w="0" w:type="dxa"/>
            <w:vAlign w:val="bottom"/>
          </w:tcPr>
          <w:p>
            <w:pPr>
              <w:spacing w:after="0"/>
              <w:rPr>
                <w:sz w:val="1"/>
                <w:szCs w:val="1"/>
                <w:color w:val="auto"/>
              </w:rPr>
            </w:pPr>
          </w:p>
        </w:tc>
      </w:tr>
      <w:tr>
        <w:trPr>
          <w:trHeight w:val="211"/>
        </w:trPr>
        <w:tc>
          <w:tcPr>
            <w:tcW w:w="480" w:type="dxa"/>
            <w:vAlign w:val="bottom"/>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42%</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i w:val="1"/>
                <w:iCs w:val="1"/>
                <w:color w:val="auto"/>
              </w:rPr>
              <w:t>58%</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Government/</w:t>
            </w:r>
          </w:p>
        </w:tc>
        <w:tc>
          <w:tcPr>
            <w:tcW w:w="0" w:type="dxa"/>
            <w:vAlign w:val="bottom"/>
          </w:tcPr>
          <w:p>
            <w:pPr>
              <w:spacing w:after="0"/>
              <w:rPr>
                <w:sz w:val="1"/>
                <w:szCs w:val="1"/>
                <w:color w:val="auto"/>
              </w:rPr>
            </w:pPr>
          </w:p>
        </w:tc>
      </w:tr>
      <w:tr>
        <w:trPr>
          <w:trHeight w:val="230"/>
        </w:trPr>
        <w:tc>
          <w:tcPr>
            <w:tcW w:w="4540" w:type="dxa"/>
            <w:vAlign w:val="bottom"/>
            <w:gridSpan w:val="4"/>
          </w:tcPr>
          <w:p>
            <w:pPr>
              <w:ind w:left="480"/>
              <w:spacing w:after="0"/>
              <w:rPr>
                <w:sz w:val="20"/>
                <w:szCs w:val="20"/>
                <w:color w:val="auto"/>
              </w:rPr>
            </w:pPr>
            <w:r>
              <w:rPr>
                <w:rFonts w:ascii="Arial" w:cs="Arial" w:eastAsia="Arial" w:hAnsi="Arial"/>
                <w:sz w:val="18"/>
                <w:szCs w:val="18"/>
                <w:color w:val="auto"/>
              </w:rPr>
              <w:t>Three-Month Period Ended April 2, 2017:</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8"/>
              </w:rPr>
              <w:t>Revenue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Commercial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Defense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40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22,035</w:t>
            </w:r>
          </w:p>
        </w:tc>
        <w:tc>
          <w:tcPr>
            <w:tcW w:w="100" w:type="dxa"/>
            <w:vAlign w:val="bottom"/>
            <w:tcBorders>
              <w:lef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12,684</w:t>
            </w:r>
          </w:p>
        </w:tc>
        <w:tc>
          <w:tcPr>
            <w:tcW w:w="0" w:type="dxa"/>
            <w:vAlign w:val="bottom"/>
          </w:tcPr>
          <w:p>
            <w:pPr>
              <w:spacing w:after="0"/>
              <w:rPr>
                <w:sz w:val="1"/>
                <w:szCs w:val="1"/>
                <w:color w:val="auto"/>
              </w:rPr>
            </w:pPr>
          </w:p>
        </w:tc>
      </w:tr>
      <w:tr>
        <w:trPr>
          <w:trHeight w:val="211"/>
        </w:trPr>
        <w:tc>
          <w:tcPr>
            <w:tcW w:w="480" w:type="dxa"/>
            <w:vAlign w:val="bottom"/>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42%</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i w:val="1"/>
                <w:iCs w:val="1"/>
                <w:color w:val="auto"/>
              </w:rPr>
              <w:t>58%</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w w:val="90"/>
              </w:rPr>
              <w:t>U.S. and Non-U.S. Revenue Information</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1</w:t>
            </w:r>
          </w:p>
        </w:tc>
        <w:tc>
          <w:tcPr>
            <w:tcW w:w="1540" w:type="dxa"/>
            <w:vAlign w:val="bottom"/>
            <w:vMerge w:val="restart"/>
          </w:tcPr>
          <w:p>
            <w:pPr>
              <w:jc w:val="right"/>
              <w:ind w:right="1390"/>
              <w:spacing w:after="0"/>
              <w:rPr>
                <w:sz w:val="20"/>
                <w:szCs w:val="20"/>
                <w:color w:val="auto"/>
              </w:rPr>
            </w:pPr>
            <w:r>
              <w:rPr>
                <w:rFonts w:ascii="Arial" w:cs="Arial" w:eastAsia="Arial" w:hAnsi="Arial"/>
                <w:sz w:val="18"/>
                <w:szCs w:val="18"/>
                <w:u w:val="single" w:color="auto"/>
                <w:color w:val="auto"/>
                <w:w w:val="78"/>
              </w:rPr>
              <w:t>:</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940" w:type="dxa"/>
            <w:vAlign w:val="bottom"/>
            <w:tcBorders>
              <w:bottom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4"/>
              </w:rPr>
              <w:t>Non-United</w:t>
            </w:r>
          </w:p>
        </w:tc>
        <w:tc>
          <w:tcPr>
            <w:tcW w:w="0" w:type="dxa"/>
            <w:vAlign w:val="bottom"/>
          </w:tcPr>
          <w:p>
            <w:pPr>
              <w:spacing w:after="0"/>
              <w:rPr>
                <w:sz w:val="1"/>
                <w:szCs w:val="1"/>
                <w:color w:val="auto"/>
              </w:rPr>
            </w:pPr>
          </w:p>
        </w:tc>
      </w:tr>
      <w:tr>
        <w:trPr>
          <w:trHeight w:val="654"/>
        </w:trPr>
        <w:tc>
          <w:tcPr>
            <w:tcW w:w="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40" w:type="dxa"/>
            <w:vAlign w:val="bottom"/>
            <w:gridSpan w:val="4"/>
          </w:tcPr>
          <w:p>
            <w:pPr>
              <w:ind w:left="480"/>
              <w:spacing w:after="0"/>
              <w:rPr>
                <w:sz w:val="20"/>
                <w:szCs w:val="20"/>
                <w:color w:val="auto"/>
              </w:rPr>
            </w:pPr>
            <w:r>
              <w:rPr>
                <w:rFonts w:ascii="Arial" w:cs="Arial" w:eastAsia="Arial" w:hAnsi="Arial"/>
                <w:sz w:val="18"/>
                <w:szCs w:val="18"/>
                <w:color w:val="auto"/>
              </w:rPr>
              <w:t>Three-Month Period Ended April 1, 2018:</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8"/>
              </w:rPr>
              <w:t>Revenue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United States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2"/>
              </w:rPr>
              <w:t>States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5,573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40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23,069</w:t>
            </w:r>
          </w:p>
        </w:tc>
        <w:tc>
          <w:tcPr>
            <w:tcW w:w="100" w:type="dxa"/>
            <w:vAlign w:val="bottom"/>
            <w:tcBorders>
              <w:left w:val="single" w:sz="8" w:color="CCEEFF"/>
            </w:tcBorders>
            <w:shd w:val="clear" w:color="auto" w:fill="CCEEFF"/>
          </w:tcPr>
          <w:p>
            <w:pPr>
              <w:spacing w:after="0"/>
              <w:rPr>
                <w:sz w:val="21"/>
                <w:szCs w:val="21"/>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14,988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11"/>
        </w:trPr>
        <w:tc>
          <w:tcPr>
            <w:tcW w:w="480" w:type="dxa"/>
            <w:vAlign w:val="bottom"/>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65%</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i w:val="1"/>
                <w:iCs w:val="1"/>
                <w:color w:val="auto"/>
              </w:rPr>
              <w:t>35%</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Non-United</w:t>
            </w:r>
          </w:p>
        </w:tc>
        <w:tc>
          <w:tcPr>
            <w:tcW w:w="0" w:type="dxa"/>
            <w:vAlign w:val="bottom"/>
          </w:tcPr>
          <w:p>
            <w:pPr>
              <w:spacing w:after="0"/>
              <w:rPr>
                <w:sz w:val="1"/>
                <w:szCs w:val="1"/>
                <w:color w:val="auto"/>
              </w:rPr>
            </w:pPr>
          </w:p>
        </w:tc>
      </w:tr>
      <w:tr>
        <w:trPr>
          <w:trHeight w:val="230"/>
        </w:trPr>
        <w:tc>
          <w:tcPr>
            <w:tcW w:w="4540" w:type="dxa"/>
            <w:vAlign w:val="bottom"/>
            <w:gridSpan w:val="4"/>
          </w:tcPr>
          <w:p>
            <w:pPr>
              <w:ind w:left="480"/>
              <w:spacing w:after="0"/>
              <w:rPr>
                <w:sz w:val="20"/>
                <w:szCs w:val="20"/>
                <w:color w:val="auto"/>
              </w:rPr>
            </w:pPr>
            <w:r>
              <w:rPr>
                <w:rFonts w:ascii="Arial" w:cs="Arial" w:eastAsia="Arial" w:hAnsi="Arial"/>
                <w:sz w:val="18"/>
                <w:szCs w:val="18"/>
                <w:color w:val="auto"/>
              </w:rPr>
              <w:t>Three-Month Period Ended April 2, 2017:</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8"/>
              </w:rPr>
              <w:t>Revenue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United States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2"/>
              </w:rPr>
              <w:t>States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17,479</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4,468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40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22,035</w:t>
            </w:r>
          </w:p>
        </w:tc>
        <w:tc>
          <w:tcPr>
            <w:tcW w:w="100" w:type="dxa"/>
            <w:vAlign w:val="bottom"/>
            <w:tcBorders>
              <w:left w:val="single" w:sz="8" w:color="CCEEFF"/>
            </w:tcBorders>
            <w:shd w:val="clear" w:color="auto" w:fill="CCEEFF"/>
          </w:tcPr>
          <w:p>
            <w:pPr>
              <w:spacing w:after="0"/>
              <w:rPr>
                <w:sz w:val="21"/>
                <w:szCs w:val="21"/>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13,890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11"/>
        </w:trPr>
        <w:tc>
          <w:tcPr>
            <w:tcW w:w="480" w:type="dxa"/>
            <w:vAlign w:val="bottom"/>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63%</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i w:val="1"/>
                <w:iCs w:val="1"/>
                <w:color w:val="auto"/>
              </w:rPr>
              <w:t>37%</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Sales classified to U.S. include shipments to U.S.-based prime contractors which in some cases may serve non-U.S. projects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 ACCOUNTING PRONOUNCEMENTS AND DEVELOPMENTS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2014, the Financial Accounting Standards Board (“FASB”) issued Accounting Standards Update 2014-09 (Topic 606) “Revenue from Contracts with Customers” related to revenue from contracts with customers. Under this standard, revenue is recognized when promised goods or services are transferred to customers in an amount that reflects the consideration that is expected to be received for those goods or services. The updated standard will replace most existing revenue recognition guidance under GAAP and permits the use of either the retrospective or cumulative effect transition method. Topic 606 is effective for annual reporting periods beginning after December 15, 2017, including interim periods within that reporting period. The Company has adopted Topic 606 effective January 1, 2018. See Note 2 for further discussion.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2016, the FASB issued Accounting Standards Update 2016-18, “Statement of Cash Flows (Topic 230): Restricted Cash”. The standard is effective for fiscal years beginning after December 31, 2017, and interim periods within those fiscal years, and should be applied using a retrospective transition method for each period presented. The standard requires that amounts generally described as restricted cash and restricted cash equivalents be included with cash and cash equivalents when reconciling the beginning-of-period and end-of-period total cash amounts shown on the statements of cash flows. The Company has adopted this standard effective January 1, 2018. As a result, restricted cash has been included in the total cash amounts on the Company’s Consolidated Statement of Cash Flows for all periods presented and the required disclosures have been included in the Notes to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73" w:lineRule="auto"/>
        <w:rPr>
          <w:sz w:val="20"/>
          <w:szCs w:val="20"/>
          <w:color w:val="auto"/>
        </w:rPr>
      </w:pPr>
      <w:r>
        <w:rPr>
          <w:rFonts w:ascii="Arial" w:cs="Arial" w:eastAsia="Arial" w:hAnsi="Arial"/>
          <w:sz w:val="17"/>
          <w:szCs w:val="17"/>
          <w:color w:val="auto"/>
        </w:rPr>
        <w:t>In August 2016, the FASB issued Accounting Standards Update 2016-15, “Statement of Cash Flows (Topic 230), Classification of Certain Cash Receipts and Cash Payments”. The standard makes eight targeted changes to how cash receipts and cash payments are presented and classified in the statement of cash flows. The standard is effective for fiscal years beginning after December 15, 2017, and interim periods within those fiscal years. The new standard requires adoption on a retrospective basis unless it is impracticable to apply, in which case the Company would be required to apply the amendments prospectively as of the earliest date practicable. The Company has adopted this standard effective January 1, 2018. Adoption of this standard did not impact our Consolidated Financial Statements for the current or prior periods presented.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Accounting Standards Update 2017-09, “Compensation – Stock Compensation (Topic 718) – Scope of Modification Accounting”, which provides guidance about which changes to the terms or conditions of a share-based payment award require an entity to apply modification accounting in Topic 718. The standard is effective for fiscal years beginning after December 15, 2017 and interim periods within those fiscal years. The standard is to be applied on a prospective basis to an award modified on or after the adoption date. The Company has adopted this standard effective January 1, 2018. Adoption of this standard did not impact our Consolidated Financial Statements.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developments to recently issued accounting standards, including the expected dates of adoption and anticipated effects on the Company’s Consolidated Financial Statements, from those disclosed in the Company’s 2017 Annual Report on Form 10-K, except for the following:</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2018, the FASB issued Accounting Standards Update 2018-05, “Income Taxes (Topic 740): Amendments to SEC Paragraphs Pursuant to SEC Staff Accounting Bulletin No. 118”. The standard adds various Securities and Exchange Commission (“SEC”) paragraphs pursuant to the issuance of the December 2017 SEC Staff Accounting Bulletin No. 118, “Income Tax Accounting Implications of the Tax Cuts and Jobs Act” (“SAB 118”), which was effective immediately. The SEC issued SAB 118 to address concerns about reporting entities’ ability to timely comply with the accounting requirements to recognize all of the effects of the Tax Cuts and Jobs Act in the period of enactment. SAB 118 allows disclosure that timely determination of some or all of the income tax effects from the Tax Cuts and Jobs Act are incomplete by the due date of the financial statements and if possible to provide a reasonable estimate. We have accounted for the tax effects of the Tax Cuts and Jobs Act under the guidance of SAB 118. We have determined reasonable estimates for those effects and have recorded provisional amounts in our Consolidated Financial Statements as of April 1, 2018 and December 31,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potential costs because of the warranties we supply with our products and services; possible future declines in demand for the products that use our batteries or communications systems; the unique risks associated with our China operations; our efforts to develop new commercial applications for our products; possible breaches in security and other disruptions; reduced U.S. and foreign military spending including the uncertainty associated with government budget approvals; potential disruptions in our supply of raw materials and components; variability in our quarterly and annual results and the price of our common stock; our inability to comply with changes to the regulations for the shipment of our products; safety risks, including the risk of fire; possible impairments of our goodwill and other intangible assets; negative publicity of Lithium-ion batteries; our resources being overwhelmed by our growth prospects; our ability to retain top management and key personnel; our exposure to foreign currency fluctuations; our customers’ demand falling short of volume expectations in our supply agreements;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2017.</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2017 to reflect new information or risks, future events or other developments.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Form 10-K for the year ended December 31, 2017.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 this Management’s Discussion and Analysis of Financial Condition and Results of Operations is presented in thousands of dollars, except for share and per share amounts.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through the design, development and sale of new products, expansion of our sales force to penetrate new markets and geographies, as well as seeking opportunities to expand through acquisitions.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 Batteries, Lithium Power®, McDowell Research®, AMTITM, ABLETM, ACCUTRONICS™, ACCUPRO™, and ENTELLION™ brands. We have sales, operations and product development facilities in North America, Europe and Asia.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revenues of $23,069 for the three-month period ended April 1, 2018, increased by $1,034 or 4.7%, from $22,035 during the three-month period ended April 2, 2017, due to higher medical and government/defense shipments.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for the three-month period ended April 1, 2018 was $7,282 or 31.6% of revenues, compared to $6,890 or 31.3% of revenues, for the same quarter a year ago. The 30 basis point improvement in gross margin resulted from the favorable product mix of our 2018 shipments.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decreased to $4,926 during the three-month period ended April 1, 2018, compared to $5,049 during the three-month period ended April 2, 2017. The decrease of $123 or 2.4% was attributable to continued tight control over discretionary spending.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the three-month period ended April 1, 2018 was $2,356 or 10.2% of revenues, compared to $1,841 or 8.4% for the year-earlier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resulted from revenue growth, improvement in gross margin and reduction in operating expenses.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attributable to Ultralife was $2,151, or $0.14 per share – basic and $0.13 per share – diluted, for the three-month period ended April 1, 2018, compared to $1,655, or $0.11 per share – basic and diluted, for the three-month period ended April 2, 2017. Adjusted EBITDA, defined as net income (loss) attributable to Ultralife before net interest expense, provision (benefit) for income taxes, depreciation and amortization, and stock-based compensation expense, plus/minus expenses/income that we do not consider reflective of our ongoing operations, amounted to $2,973 or 12.9% of revenues in the first quarter of 2018 compared to $2,477 or 11.2% of revenues for the first quarter of 2017. See the section “Adjusted EBITDA” beginning on page 21 for a reconciliation of Adjusted EBITDA to net income attributable to Ultralife.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strong start to the year, backlog, and strict adherence to our business model parameters gives us confidence that we will deliver another year of profitable growth.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April 1, 2018 and April 2, 2017</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April 1, 2018 amounted to $23,069, an increase of $1,035, or 4.7%, from the $22,035</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three-month period ended April 2, 2017.</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Battery &amp; Energy Products revenues decreased $254, or 1.5%, from $17,479 for the three-month period ended April 2, 2017 to $17,224 for the three month period ended April 1, 2018. Commercial revenues for the first quarter of 2018 comprised 56% of total revenues for the segment and increased 2.9% over the prior year period. This increase primarily resulted from 18.9% revenue growth attributable to our medical customers, partially offset by a reduction in the sales of our 9-Volt batteries. Government and defense sales decreased 6.5% primarily due to the timing of shipments to a large non-U.S. global defense prime contractor and the U.S. Department of Defense.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Communications Systems revenues increased $1,289, or 28.3%, from $4,556 during the three-month period ended April 2, 2017 to $5,845 for the three-month period ended April 1, 2018. This increase is attributable to shipments of our Vehicle Amplifier-Adapters for the U.S. Army’s Special Force Assistance Brigades under a contract awarded in December 2017 and an increased shipment of our core products, such as 20-watt amplifiers and universal vehicle adapters.</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Cost of Products Sold. </w:t>
      </w:r>
      <w:r>
        <w:rPr>
          <w:rFonts w:ascii="Arial" w:cs="Arial" w:eastAsia="Arial" w:hAnsi="Arial"/>
          <w:sz w:val="16"/>
          <w:szCs w:val="16"/>
          <w:color w:val="auto"/>
        </w:rPr>
        <w:t>Cost of products sold totaled $15,787 for the quarter ended April 1, 2018, an increase of $642, or 4.2%, from the $15,145 reported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three-month period a year ago. Consolidated cost of products sold as a percentage of total revenue decreased from 68.7% for the three-month period ended April 2, 2017 to 68.4% for the three-month period ended April 1, 2018. Correspondingly, consolidated gross margin was 31.6% for the three-month period ended April 1, 2018, compared with 31.3% for the three-month period ended April 2, 2017, primarily reflecting sales mix.</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our Battery &amp; Energy Products segment, gross profit for the first quarter of 2018 was $5,036 or 29.2% of revenues, an increase of $106 or 2.2% from gross profit of $4,930, or 28.2% of revenues, for the first quarter of 2017. Battery &amp; Energy Products’ gross margin as a percentage of revenues increased for the three-month period ended April 1, 2018 by 100 basis points, reflecting product mix.</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our Communications Systems segment, gross profit for the first quarter of 2018 was $2,246 or 38.4% of revenues, an increase of $286 or 14.6%, from gross profit of $1,960, or 43.0% of revenues, for the first quarter of 2017. The 460 basis point decrease in gross margin as a percentage of revenue during 2018 is driven by product mix.</w:t>
      </w:r>
    </w:p>
    <w:p>
      <w:pPr>
        <w:spacing w:after="0" w:line="177"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Total operating expenses for the three-month period ended April 1, 2018 totaled $4,926, a decrease of $123 or 2.4% from the $5,049</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during the three-month period ended April 2, 2017. The decrease resulted from continued tight control over discretionary spending in 2018.</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Overall, operating expenses as a percentage of revenues were 21.4% for the quarter ended April 1, 2018 compared to 22.9% for the quarter ended April 2, 2017. Amortization expense associated with intangible assets related to our acquisitions was $102 for the first quarter of 2018 ($64 in selling, general and administrative expenses and $38 in research and development costs), compared with $105 for the first quarter of 2017 ($65 in selling, general, and administrative expenses and $40 in research and development costs). Research and development costs were $1,101 for the three-month period ended April 1, 2018, a decrease of $37 or 3.3%, from $1,138 for the three-months ended April 2, 2017. The decrease primarily reflects the timing of development and testing costs associated with new products. Selling, general, and administrative expenses decreased $86 or 2.2%, to $3,825 during the first quarter of 2018 from $3,911 during the first quarter of 2017. The decrease is attributable to continued tight control over discretionary administrative spending.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58"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Other expense totaled $133 for the three-month period ended April 1, 2018 compared to $93 for the three-month period ended April 2, 2017.</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and financing expense decreased $35, from $68 for the first quarter of 2017 to $33 for the comparable period in 2018. The decrease is due to the more favorable terms of our Revolving Credit Agreement which was executed on May 31, 2017. Miscellaneous expense amounted to $100 for the first quarter of 2018 compared with $25 for the first quarter of 2017, primarily due to transactions impacted by foreign currency fluctuations between the U.S. dollar relative to Pounds Sterling and the Euro.</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tax provision for the 2017 first quarter was $55 compared to $87 for the first quarter of 2017. See Note 9 in the Notes to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for additional information regarding our income taxes.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was $2,151, or $0.14 per share – basic and $0.13 per share – diluted, for the three-month period ended April 1, 2018, compared to $1,655, or $0.11 per share – basic and diluted, for the three-month period ended April 2, 2017. Average weighted common shares outstanding used to compute diluted earnings per share increased from 15,656,288 in the first quarter of 2017 to 16,202,314 in the first quarter of 2018. The increase in 2018 is attributable to stock option exercises since the first quarter of 2017 and an increase in the weighted average stock price to compute diluted shares from $5.47 for the first quarter of 2017 to $8.17 for the first quarter of 2018.</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and stock-based compensation expense, plus/minus expenses/income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use of operating performance comparisons from period to period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U.S. generally accepted accounting principles (“U.S. GAAP”).</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income (loss)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limiting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both"/>
        <w:spacing w:after="0" w:line="279"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71" w:lineRule="exact"/>
        <w:rPr>
          <w:sz w:val="20"/>
          <w:szCs w:val="20"/>
          <w:color w:val="auto"/>
        </w:rPr>
      </w:pPr>
    </w:p>
    <w:p>
      <w:pPr>
        <w:jc w:val="both"/>
        <w:ind w:left="980" w:hanging="324"/>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supplementally. Adjusted EBITDA is calculated as follows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Three-Month Periods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rPr>
              <w:t>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April 1,</w:t>
            </w:r>
          </w:p>
        </w:tc>
        <w:tc>
          <w:tcPr>
            <w:tcW w:w="28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April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 Net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Amortization of Intangible Assets and Financing Fees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2,973</w:t>
            </w:r>
          </w:p>
        </w:tc>
        <w:tc>
          <w:tcPr>
            <w:tcW w:w="1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April 1, 2018, cash totaled $18,330, consistent with the cash balance at the beginning of the year. During the three-month period ended April 1, 2018, we used cash in our operations of $921, as compared to $2,739 of cash generated from operations during the three-month period ended April 2, 2017, a decrease of $3,660. Cash used in operations in 2018 consisted of net income of $2,168 and non-cash expenses (depreciation, amortization and stock-based compensation) totaling $734. This was more than offset by an increase in accounts receivable of $939 primarily due to the timing of payments from a large customer, an increase in inventory of $502 to service 2018 backlog, and a net decrease in accounts payable and other working capital of $2,382 largely attributable to timing of inventory receipts and payments.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7"/>
          <w:szCs w:val="17"/>
          <w:color w:val="auto"/>
        </w:rPr>
        <w:t>Cash provided by operations for the three-month period ended April 2, 2017 included net income of $1,661 plus non-cash expenses (depreciation, amortization and stock-based compensation) totaling $666, and a decrease in inventory of $771 resulting from the usage of inventory to service the 2017 backlog, partially offset by a $537 increase in accounts receivables due primarily to the timing of sales during the first quarter of 2017, and a net increase in accounts payable and other working capital items of $178 due in large part to procuring inventory associated with servicing backlog.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for the three-month periods ended April 1, 2018 and April 2, 2017 consisted of capital expenditures of $172 and $581,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financing activities for the three months ended April 1, 2018 consisted of stock option exercise proceeds of $939. Cash provided by financing activities for the three months ended April 2, 2017 consisted of stock option exercise proceeds of $741.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1, 2018, we had made commitments to purchase approximately $2,483 of production machinery and equipment, which we expect to fund through operating cash flows or debt borrowings.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2017, the Company made a strategic decision to invest up to $4,300 in our Newark, New York facility to modernize our manufacturing capability for production of premium 3-volt primary batteries for various applications in the rapidly growing, wireless Internet of Things (“IoT”) market. This investment, in line with our strategy to diversify revenues outside of the core U.S. government/defense markets and focus on transformational commercial opportunities, will enable us to produce a premium product with performance differentiation and incorporate the manufacturing technology expertise required to deliver a clear competitive advantage in terms of product performance, volume, safety, value proposition and strategic supply chain access to the end market and OEM’s. In addition to the IoT market, the product will also expand customer options in the legacy smoke detector market by providing our customers the choice between our industry leading next generation 9-volt battery, or a new premium 3-volt product. We anticipate the capital investment project implementation and applicable new product certification will be completed by the end of 2018.</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financing through our Credit Facility with KeyBank, which provides a $30,000 secured, cash flow-based, revolving credit facility that includes a $1,500 letter of credit subfacility. There have been no borrowings under the Credit Facility. See Note 7 in the Notes to the Consolidated Financial Statements for additional information regarding our Credit Facility.</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currently believes that the cash flow generated from operations and when necessary, available borrowing from our Credit Facility, will be sufficient to meet its current and long-term funding requirements for the foreseeable future.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2017 Annual Report on Form 10-K should be reviewed for a greater understanding of how our financial performance is recorded and reported.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of 2018, there were no significant changes in the manner in which our significant accounting policies were applied or in which related assumptions and estimates were developed. Refer to Note 2 for updated accounting policies to reflect the Company’s adoption of Topic 606 “Revenue from Contracts with Customers” as of January 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an unoccupied Boeing 787 Dreamliner aircraft operated by Ethiopian Airlines was damaged by fire while parked at London Heathrow Airport. Following an investigation of this incident conducted by U.K. and U.S. regulatory authorities as well as by the manufacturer of the aircraft,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 A component of the ELT is a battery pack which incorporates Ultralife’s industry-standard lithium manganese dioxide non-rechargeable D-cell, which Ultralife has produced since 2001, with wide-use in global defense and commercial applications.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4, 2015, we were notified of a lawsuit in which we were named, along with other suppliers to the aircraft manufacturer, concerning that 2013 fire, which was filed by Ethiopian Airlines Enterprise in the Commercial Court, Queen’s Bench Division of the High Court of Justice, London. We immediately referred this matter to our insurers.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lawsuit has now been resolved (February 2018), the claimant has terminated the action against the Company, and the Court has acknowledged and consented to this termination. The matter was terminated without financial consequences to the Company.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260" w:type="dxa"/>
            <w:vAlign w:val="bottom"/>
            <w:gridSpan w:val="5"/>
          </w:tcPr>
          <w:p>
            <w:pPr>
              <w:ind w:left="60"/>
              <w:spacing w:after="0"/>
              <w:rPr>
                <w:sz w:val="20"/>
                <w:szCs w:val="20"/>
                <w:color w:val="auto"/>
              </w:rPr>
            </w:pPr>
            <w:r>
              <w:rPr>
                <w:rFonts w:ascii="Arial" w:cs="Arial" w:eastAsia="Arial" w:hAnsi="Arial"/>
                <w:sz w:val="18"/>
                <w:szCs w:val="18"/>
                <w:b w:val="1"/>
                <w:bCs w:val="1"/>
                <w:color w:val="auto"/>
              </w:rPr>
              <w:t>EXHIBITS</w:t>
            </w:r>
          </w:p>
        </w:tc>
        <w:tc>
          <w:tcPr>
            <w:tcW w:w="6080" w:type="dxa"/>
            <w:vAlign w:val="bottom"/>
          </w:tcPr>
          <w:p>
            <w:pPr>
              <w:spacing w:after="0"/>
              <w:rPr>
                <w:sz w:val="20"/>
                <w:szCs w:val="20"/>
                <w:color w:val="auto"/>
              </w:rPr>
            </w:pPr>
          </w:p>
        </w:tc>
      </w:tr>
      <w:tr>
        <w:trPr>
          <w:trHeight w:val="418"/>
        </w:trPr>
        <w:tc>
          <w:tcPr>
            <w:tcW w:w="1080" w:type="dxa"/>
            <w:vAlign w:val="bottom"/>
          </w:tcPr>
          <w:p>
            <w:pPr>
              <w:ind w:left="340"/>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230"/>
        </w:trPr>
        <w:tc>
          <w:tcPr>
            <w:tcW w:w="1080" w:type="dxa"/>
            <w:vAlign w:val="bottom"/>
          </w:tcPr>
          <w:p>
            <w:pPr>
              <w:ind w:left="340"/>
              <w:spacing w:after="0"/>
              <w:rPr>
                <w:sz w:val="20"/>
                <w:szCs w:val="20"/>
                <w:color w:val="auto"/>
              </w:rPr>
            </w:pPr>
            <w:r>
              <w:rPr>
                <w:rFonts w:ascii="Arial" w:cs="Arial" w:eastAsia="Arial" w:hAnsi="Arial"/>
                <w:sz w:val="18"/>
                <w:szCs w:val="18"/>
                <w:color w:val="auto"/>
              </w:rPr>
              <w:t>Index</w:t>
            </w:r>
          </w:p>
        </w:tc>
        <w:tc>
          <w:tcPr>
            <w:tcW w:w="240" w:type="dxa"/>
            <w:vAlign w:val="bottom"/>
          </w:tcPr>
          <w:p>
            <w:pPr>
              <w:spacing w:after="0"/>
              <w:rPr>
                <w:sz w:val="20"/>
                <w:szCs w:val="20"/>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Description of Document</w:t>
            </w:r>
          </w:p>
        </w:tc>
        <w:tc>
          <w:tcPr>
            <w:tcW w:w="6080" w:type="dxa"/>
            <w:vAlign w:val="bottom"/>
          </w:tcPr>
          <w:p>
            <w:pPr>
              <w:ind w:left="1940"/>
              <w:spacing w:after="0"/>
              <w:rPr>
                <w:sz w:val="20"/>
                <w:szCs w:val="20"/>
                <w:color w:val="auto"/>
              </w:rPr>
            </w:pPr>
            <w:r>
              <w:rPr>
                <w:rFonts w:ascii="Arial" w:cs="Arial" w:eastAsia="Arial" w:hAnsi="Arial"/>
                <w:sz w:val="18"/>
                <w:szCs w:val="18"/>
                <w:color w:val="auto"/>
              </w:rPr>
              <w:t>Incorporated By Reference from:</w:t>
            </w:r>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33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Rule 13a-14(a) / 15d-14(a) CEO Certifications</w:t>
              </w:r>
            </w:hyperlink>
          </w:p>
        </w:tc>
        <w:tc>
          <w:tcPr>
            <w:tcW w:w="640" w:type="dxa"/>
            <w:vAlign w:val="bottom"/>
          </w:tcPr>
          <w:p>
            <w:pPr>
              <w:spacing w:after="0"/>
              <w:rPr>
                <w:sz w:val="24"/>
                <w:szCs w:val="24"/>
                <w:color w:val="auto"/>
              </w:rPr>
            </w:pPr>
          </w:p>
        </w:tc>
        <w:tc>
          <w:tcPr>
            <w:tcW w:w="6080" w:type="dxa"/>
            <w:vAlign w:val="bottom"/>
          </w:tcPr>
          <w:p>
            <w:pPr>
              <w:ind w:left="1940"/>
              <w:spacing w:after="0"/>
              <w:rPr>
                <w:sz w:val="20"/>
                <w:szCs w:val="20"/>
                <w:color w:val="auto"/>
              </w:rPr>
            </w:pPr>
            <w:r>
              <w:rPr>
                <w:rFonts w:ascii="Arial" w:cs="Arial" w:eastAsia="Arial" w:hAnsi="Arial"/>
                <w:sz w:val="18"/>
                <w:szCs w:val="18"/>
                <w:color w:val="auto"/>
              </w:rPr>
              <w:t>Filed herewith</w:t>
            </w:r>
          </w:p>
        </w:tc>
      </w:tr>
      <w:tr>
        <w:trPr>
          <w:trHeight w:val="196"/>
        </w:trPr>
        <w:tc>
          <w:tcPr>
            <w:tcW w:w="1080" w:type="dxa"/>
            <w:vAlign w:val="bottom"/>
          </w:tcPr>
          <w:p>
            <w:pPr>
              <w:ind w:left="340"/>
              <w:spacing w:after="0" w:line="196"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33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Rule 13a-14(a) / 15d-14(a) CFO Certifications</w:t>
              </w:r>
            </w:hyperlink>
          </w:p>
        </w:tc>
        <w:tc>
          <w:tcPr>
            <w:tcW w:w="660" w:type="dxa"/>
            <w:vAlign w:val="bottom"/>
            <w:gridSpan w:val="2"/>
          </w:tcPr>
          <w:p>
            <w:pPr>
              <w:spacing w:after="0"/>
              <w:rPr>
                <w:sz w:val="17"/>
                <w:szCs w:val="17"/>
                <w:color w:val="auto"/>
              </w:rPr>
            </w:pPr>
          </w:p>
        </w:tc>
        <w:tc>
          <w:tcPr>
            <w:tcW w:w="6080" w:type="dxa"/>
            <w:vAlign w:val="bottom"/>
          </w:tcPr>
          <w:p>
            <w:pPr>
              <w:ind w:left="194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1080" w:type="dxa"/>
            <w:vAlign w:val="bottom"/>
          </w:tcPr>
          <w:p>
            <w:pPr>
              <w:ind w:left="340"/>
              <w:spacing w:after="0" w:line="196"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402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Section 1350 Certifications</w:t>
              </w:r>
            </w:hyperlink>
          </w:p>
        </w:tc>
        <w:tc>
          <w:tcPr>
            <w:tcW w:w="6080" w:type="dxa"/>
            <w:vAlign w:val="bottom"/>
          </w:tcPr>
          <w:p>
            <w:pPr>
              <w:ind w:left="1940"/>
              <w:spacing w:after="0" w:line="196" w:lineRule="exact"/>
              <w:rPr>
                <w:sz w:val="20"/>
                <w:szCs w:val="20"/>
                <w:color w:val="auto"/>
              </w:rPr>
            </w:pPr>
            <w:r>
              <w:rPr>
                <w:rFonts w:ascii="Arial" w:cs="Arial" w:eastAsia="Arial" w:hAnsi="Arial"/>
                <w:sz w:val="18"/>
                <w:szCs w:val="18"/>
                <w:color w:val="auto"/>
              </w:rPr>
              <w:t>Filed herewith</w:t>
            </w:r>
          </w:p>
        </w:tc>
      </w:tr>
      <w:tr>
        <w:trPr>
          <w:trHeight w:val="222"/>
        </w:trPr>
        <w:tc>
          <w:tcPr>
            <w:tcW w:w="1080" w:type="dxa"/>
            <w:vAlign w:val="bottom"/>
          </w:tcPr>
          <w:p>
            <w:pPr>
              <w:ind w:left="340"/>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19"/>
                <w:szCs w:val="19"/>
                <w:color w:val="auto"/>
              </w:rPr>
            </w:pPr>
          </w:p>
        </w:tc>
        <w:tc>
          <w:tcPr>
            <w:tcW w:w="196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3"/>
              </w:rPr>
              <w:t>XBRL Instance Document</w:t>
            </w:r>
          </w:p>
        </w:tc>
        <w:tc>
          <w:tcPr>
            <w:tcW w:w="2060" w:type="dxa"/>
            <w:vAlign w:val="bottom"/>
            <w:gridSpan w:val="3"/>
          </w:tcPr>
          <w:p>
            <w:pPr>
              <w:spacing w:after="0"/>
              <w:rPr>
                <w:sz w:val="19"/>
                <w:szCs w:val="19"/>
                <w:color w:val="auto"/>
              </w:rPr>
            </w:pPr>
          </w:p>
        </w:tc>
        <w:tc>
          <w:tcPr>
            <w:tcW w:w="6080" w:type="dxa"/>
            <w:vAlign w:val="bottom"/>
          </w:tcPr>
          <w:p>
            <w:pPr>
              <w:spacing w:after="0"/>
              <w:rPr>
                <w:sz w:val="19"/>
                <w:szCs w:val="19"/>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w w:val="98"/>
              </w:rPr>
              <w:t>101.SCH</w:t>
            </w:r>
          </w:p>
        </w:tc>
        <w:tc>
          <w:tcPr>
            <w:tcW w:w="2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6080" w:type="dxa"/>
            <w:vAlign w:val="bottom"/>
          </w:tcPr>
          <w:p>
            <w:pPr>
              <w:spacing w:after="0"/>
              <w:rPr>
                <w:sz w:val="18"/>
                <w:szCs w:val="18"/>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XBRL Taxonomy Calculation Linkbase Document</w:t>
            </w:r>
          </w:p>
        </w:tc>
        <w:tc>
          <w:tcPr>
            <w:tcW w:w="6080" w:type="dxa"/>
            <w:vAlign w:val="bottom"/>
          </w:tcPr>
          <w:p>
            <w:pPr>
              <w:spacing w:after="0"/>
              <w:rPr>
                <w:sz w:val="18"/>
                <w:szCs w:val="18"/>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XBRL Taxonomy Label Linkbase Document</w:t>
            </w:r>
          </w:p>
        </w:tc>
        <w:tc>
          <w:tcPr>
            <w:tcW w:w="6080" w:type="dxa"/>
            <w:vAlign w:val="bottom"/>
          </w:tcPr>
          <w:p>
            <w:pPr>
              <w:spacing w:after="0"/>
              <w:rPr>
                <w:sz w:val="18"/>
                <w:szCs w:val="18"/>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w w:val="99"/>
              </w:rPr>
              <w:t>101.PRE</w:t>
            </w:r>
          </w:p>
        </w:tc>
        <w:tc>
          <w:tcPr>
            <w:tcW w:w="2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w w:val="98"/>
              </w:rPr>
              <w:t>XBRL Taxonomy Presentation Linkbase Document</w:t>
            </w:r>
          </w:p>
        </w:tc>
        <w:tc>
          <w:tcPr>
            <w:tcW w:w="6080" w:type="dxa"/>
            <w:vAlign w:val="bottom"/>
          </w:tcPr>
          <w:p>
            <w:pPr>
              <w:spacing w:after="0"/>
              <w:rPr>
                <w:sz w:val="18"/>
                <w:szCs w:val="18"/>
                <w:color w:val="auto"/>
              </w:rPr>
            </w:pPr>
          </w:p>
        </w:tc>
      </w:tr>
      <w:tr>
        <w:trPr>
          <w:trHeight w:val="230"/>
        </w:trPr>
        <w:tc>
          <w:tcPr>
            <w:tcW w:w="1080" w:type="dxa"/>
            <w:vAlign w:val="bottom"/>
          </w:tcPr>
          <w:p>
            <w:pPr>
              <w:ind w:left="340"/>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0"/>
                <w:szCs w:val="20"/>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XBRL Taxonomy Definition Document</w:t>
            </w:r>
          </w:p>
        </w:tc>
        <w:tc>
          <w:tcPr>
            <w:tcW w:w="608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24</w:t>
            </w:r>
          </w:p>
        </w:tc>
      </w:tr>
      <w:tr>
        <w:trPr>
          <w:trHeight w:val="115"/>
        </w:trPr>
        <w:tc>
          <w:tcPr>
            <w:tcW w:w="1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5"/>
          </w:tcPr>
          <w:p>
            <w:pPr>
              <w:spacing w:after="0"/>
              <w:rPr>
                <w:sz w:val="20"/>
                <w:szCs w:val="20"/>
                <w:color w:val="auto"/>
              </w:rPr>
            </w:pPr>
            <w:r>
              <w:rPr>
                <w:rFonts w:ascii="Arial" w:cs="Arial" w:eastAsia="Arial" w:hAnsi="Arial"/>
                <w:sz w:val="18"/>
                <w:szCs w:val="18"/>
                <w:b w:val="1"/>
                <w:bCs w:val="1"/>
                <w:color w:val="auto"/>
              </w:rPr>
              <w:t>ULTRALIFE CORPORATION</w:t>
            </w:r>
          </w:p>
        </w:tc>
      </w:tr>
      <w:tr>
        <w:trPr>
          <w:trHeight w:val="237"/>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3"/>
          </w:tcPr>
          <w:p>
            <w:pPr>
              <w:ind w:left="680"/>
              <w:spacing w:after="0"/>
              <w:rPr>
                <w:sz w:val="20"/>
                <w:szCs w:val="20"/>
                <w:color w:val="auto"/>
              </w:rPr>
            </w:pPr>
            <w:r>
              <w:rPr>
                <w:rFonts w:ascii="Arial" w:cs="Arial" w:eastAsia="Arial" w:hAnsi="Arial"/>
                <w:sz w:val="18"/>
                <w:szCs w:val="18"/>
                <w:color w:val="auto"/>
              </w:rPr>
              <w:t>(Registrant)</w:t>
            </w:r>
          </w:p>
        </w:tc>
        <w:tc>
          <w:tcPr>
            <w:tcW w:w="3120" w:type="dxa"/>
            <w:vAlign w:val="bottom"/>
          </w:tcPr>
          <w:p>
            <w:pPr>
              <w:spacing w:after="0"/>
              <w:rPr>
                <w:sz w:val="20"/>
                <w:szCs w:val="20"/>
                <w:color w:val="auto"/>
              </w:rPr>
            </w:pPr>
          </w:p>
        </w:tc>
      </w:tr>
      <w:tr>
        <w:trPr>
          <w:trHeight w:val="392"/>
        </w:trPr>
        <w:tc>
          <w:tcPr>
            <w:tcW w:w="3480" w:type="dxa"/>
            <w:vAlign w:val="bottom"/>
            <w:gridSpan w:val="3"/>
          </w:tcPr>
          <w:p>
            <w:pPr>
              <w:ind w:left="240"/>
              <w:spacing w:after="0"/>
              <w:rPr>
                <w:sz w:val="20"/>
                <w:szCs w:val="20"/>
                <w:color w:val="auto"/>
              </w:rPr>
            </w:pPr>
            <w:r>
              <w:rPr>
                <w:rFonts w:ascii="Arial" w:cs="Arial" w:eastAsia="Arial" w:hAnsi="Arial"/>
                <w:sz w:val="18"/>
                <w:szCs w:val="18"/>
                <w:color w:val="auto"/>
              </w:rPr>
              <w:t>Date: May 3, 2018</w:t>
            </w:r>
          </w:p>
        </w:tc>
        <w:tc>
          <w:tcPr>
            <w:tcW w:w="2300" w:type="dxa"/>
            <w:vAlign w:val="bottom"/>
          </w:tcPr>
          <w:p>
            <w:pPr>
              <w:ind w:left="1900"/>
              <w:spacing w:after="0"/>
              <w:rPr>
                <w:sz w:val="20"/>
                <w:szCs w:val="20"/>
                <w:color w:val="auto"/>
              </w:rPr>
            </w:pPr>
            <w:r>
              <w:rPr>
                <w:rFonts w:ascii="Arial" w:cs="Arial" w:eastAsia="Arial" w:hAnsi="Arial"/>
                <w:sz w:val="18"/>
                <w:szCs w:val="18"/>
                <w:color w:val="auto"/>
              </w:rPr>
              <w:t>By:</w:t>
            </w:r>
          </w:p>
        </w:tc>
        <w:tc>
          <w:tcPr>
            <w:tcW w:w="200" w:type="dxa"/>
            <w:vAlign w:val="bottom"/>
            <w:gridSpan w:val="2"/>
          </w:tcPr>
          <w:p>
            <w:pPr>
              <w:spacing w:after="0"/>
              <w:rPr>
                <w:sz w:val="20"/>
                <w:szCs w:val="20"/>
                <w:color w:val="auto"/>
              </w:rPr>
            </w:pPr>
            <w:r>
              <w:rPr>
                <w:rFonts w:ascii="Arial" w:cs="Arial" w:eastAsia="Arial" w:hAnsi="Arial"/>
                <w:sz w:val="18"/>
                <w:szCs w:val="18"/>
                <w:color w:val="auto"/>
                <w:w w:val="94"/>
              </w:rPr>
              <w:t>/s/</w:t>
            </w:r>
          </w:p>
        </w:tc>
        <w:tc>
          <w:tcPr>
            <w:tcW w:w="5440" w:type="dxa"/>
            <w:vAlign w:val="bottom"/>
            <w:gridSpan w:val="4"/>
          </w:tcPr>
          <w:p>
            <w:pPr>
              <w:ind w:left="100"/>
              <w:spacing w:after="0"/>
              <w:rPr>
                <w:sz w:val="20"/>
                <w:szCs w:val="20"/>
                <w:color w:val="auto"/>
              </w:rPr>
            </w:pPr>
            <w:r>
              <w:rPr>
                <w:rFonts w:ascii="Arial" w:cs="Arial" w:eastAsia="Arial" w:hAnsi="Arial"/>
                <w:sz w:val="18"/>
                <w:szCs w:val="18"/>
                <w:color w:val="auto"/>
              </w:rPr>
              <w:t>Michael D. Popielec</w:t>
            </w:r>
          </w:p>
        </w:tc>
      </w:tr>
      <w:tr>
        <w:trPr>
          <w:trHeight w:val="222"/>
        </w:trPr>
        <w:tc>
          <w:tcPr>
            <w:tcW w:w="6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9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Michael D. Popielec</w:t>
            </w:r>
          </w:p>
        </w:tc>
        <w:tc>
          <w:tcPr>
            <w:tcW w:w="3460" w:type="dxa"/>
            <w:vAlign w:val="bottom"/>
            <w:gridSpan w:val="3"/>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gridSpan w:val="4"/>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40" w:type="dxa"/>
            <w:vAlign w:val="bottom"/>
            <w:gridSpan w:val="4"/>
          </w:tcPr>
          <w:p>
            <w:pPr>
              <w:ind w:left="60"/>
              <w:spacing w:after="0"/>
              <w:rPr>
                <w:sz w:val="20"/>
                <w:szCs w:val="20"/>
                <w:color w:val="auto"/>
              </w:rPr>
            </w:pPr>
            <w:r>
              <w:rPr>
                <w:rFonts w:ascii="Arial" w:cs="Arial" w:eastAsia="Arial" w:hAnsi="Arial"/>
                <w:sz w:val="18"/>
                <w:szCs w:val="18"/>
                <w:color w:val="auto"/>
              </w:rPr>
              <w:t>(Principal Executive Officer)</w:t>
            </w:r>
          </w:p>
        </w:tc>
      </w:tr>
      <w:tr>
        <w:trPr>
          <w:trHeight w:val="412"/>
        </w:trPr>
        <w:tc>
          <w:tcPr>
            <w:tcW w:w="3480" w:type="dxa"/>
            <w:vAlign w:val="bottom"/>
            <w:gridSpan w:val="3"/>
          </w:tcPr>
          <w:p>
            <w:pPr>
              <w:ind w:left="240"/>
              <w:spacing w:after="0"/>
              <w:rPr>
                <w:sz w:val="20"/>
                <w:szCs w:val="20"/>
                <w:color w:val="auto"/>
              </w:rPr>
            </w:pPr>
            <w:r>
              <w:rPr>
                <w:rFonts w:ascii="Arial" w:cs="Arial" w:eastAsia="Arial" w:hAnsi="Arial"/>
                <w:sz w:val="18"/>
                <w:szCs w:val="18"/>
                <w:color w:val="auto"/>
              </w:rPr>
              <w:t>Date: May 3, 2018</w:t>
            </w:r>
          </w:p>
        </w:tc>
        <w:tc>
          <w:tcPr>
            <w:tcW w:w="2300" w:type="dxa"/>
            <w:vAlign w:val="bottom"/>
          </w:tcPr>
          <w:p>
            <w:pPr>
              <w:ind w:left="1900"/>
              <w:spacing w:after="0"/>
              <w:rPr>
                <w:sz w:val="20"/>
                <w:szCs w:val="20"/>
                <w:color w:val="auto"/>
              </w:rPr>
            </w:pPr>
            <w:r>
              <w:rPr>
                <w:rFonts w:ascii="Arial" w:cs="Arial" w:eastAsia="Arial" w:hAnsi="Arial"/>
                <w:sz w:val="18"/>
                <w:szCs w:val="18"/>
                <w:color w:val="auto"/>
              </w:rPr>
              <w:t>By:</w:t>
            </w:r>
          </w:p>
        </w:tc>
        <w:tc>
          <w:tcPr>
            <w:tcW w:w="200" w:type="dxa"/>
            <w:vAlign w:val="bottom"/>
            <w:gridSpan w:val="2"/>
          </w:tcPr>
          <w:p>
            <w:pPr>
              <w:spacing w:after="0"/>
              <w:rPr>
                <w:sz w:val="20"/>
                <w:szCs w:val="20"/>
                <w:color w:val="auto"/>
              </w:rPr>
            </w:pPr>
            <w:r>
              <w:rPr>
                <w:rFonts w:ascii="Arial" w:cs="Arial" w:eastAsia="Arial" w:hAnsi="Arial"/>
                <w:sz w:val="18"/>
                <w:szCs w:val="18"/>
                <w:color w:val="auto"/>
                <w:w w:val="94"/>
              </w:rPr>
              <w:t>/s/</w:t>
            </w:r>
          </w:p>
        </w:tc>
        <w:tc>
          <w:tcPr>
            <w:tcW w:w="5440" w:type="dxa"/>
            <w:vAlign w:val="bottom"/>
            <w:gridSpan w:val="4"/>
          </w:tcPr>
          <w:p>
            <w:pPr>
              <w:ind w:left="100"/>
              <w:spacing w:after="0"/>
              <w:rPr>
                <w:sz w:val="20"/>
                <w:szCs w:val="20"/>
                <w:color w:val="auto"/>
              </w:rPr>
            </w:pPr>
            <w:r>
              <w:rPr>
                <w:rFonts w:ascii="Arial" w:cs="Arial" w:eastAsia="Arial" w:hAnsi="Arial"/>
                <w:sz w:val="18"/>
                <w:szCs w:val="18"/>
                <w:color w:val="auto"/>
              </w:rPr>
              <w:t>Philip A. Fain</w:t>
            </w:r>
          </w:p>
        </w:tc>
      </w:tr>
      <w:tr>
        <w:trPr>
          <w:trHeight w:val="202"/>
        </w:trPr>
        <w:tc>
          <w:tcPr>
            <w:tcW w:w="6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Philip A. Fain</w:t>
            </w:r>
          </w:p>
        </w:tc>
        <w:tc>
          <w:tcPr>
            <w:tcW w:w="3420" w:type="dxa"/>
            <w:vAlign w:val="bottom"/>
            <w:gridSpan w:val="2"/>
          </w:tcPr>
          <w:p>
            <w:pPr>
              <w:spacing w:after="0"/>
              <w:rPr>
                <w:sz w:val="17"/>
                <w:szCs w:val="17"/>
                <w:color w:val="auto"/>
              </w:rPr>
            </w:pP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gridSpan w:val="4"/>
          </w:tcPr>
          <w:p>
            <w:pPr>
              <w:ind w:left="6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gridSpan w:val="4"/>
          </w:tcPr>
          <w:p>
            <w:pPr>
              <w:ind w:left="6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40" w:type="dxa"/>
            <w:vAlign w:val="bottom"/>
            <w:gridSpan w:val="4"/>
          </w:tcPr>
          <w:p>
            <w:pPr>
              <w:ind w:left="240"/>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600" w:type="dxa"/>
            <w:vAlign w:val="bottom"/>
          </w:tcPr>
          <w:p>
            <w:pPr>
              <w:ind w:left="358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r>
        <w:trPr>
          <w:trHeight w:val="432"/>
        </w:trPr>
        <w:tc>
          <w:tcPr>
            <w:tcW w:w="820" w:type="dxa"/>
            <w:vAlign w:val="bottom"/>
          </w:tcPr>
          <w:p>
            <w:pPr>
              <w:spacing w:after="0"/>
              <w:rPr>
                <w:sz w:val="24"/>
                <w:szCs w:val="24"/>
                <w:color w:val="auto"/>
              </w:rPr>
            </w:pPr>
          </w:p>
        </w:tc>
        <w:tc>
          <w:tcPr>
            <w:tcW w:w="9600" w:type="dxa"/>
            <w:vAlign w:val="bottom"/>
          </w:tcPr>
          <w:p>
            <w:pPr>
              <w:ind w:left="414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0420"/>
          </w:cols>
          <w:pgMar w:left="900" w:top="580" w:right="579" w:bottom="1440" w:gutter="0" w:footer="0" w:header="0"/>
        </w:sectPr>
      </w:pPr>
    </w:p>
    <w:bookmarkStart w:id="26" w:name="page27"/>
    <w:bookmarkEnd w:id="26"/>
    <w:p>
      <w:pPr>
        <w:ind w:left="1048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760" w:type="dxa"/>
            <w:vAlign w:val="bottom"/>
            <w:gridSpan w:val="3"/>
          </w:tcPr>
          <w:p>
            <w:pPr>
              <w:spacing w:after="0"/>
              <w:rPr>
                <w:sz w:val="20"/>
                <w:szCs w:val="20"/>
                <w:color w:val="auto"/>
              </w:rPr>
            </w:pPr>
            <w:r>
              <w:rPr>
                <w:rFonts w:ascii="Arial" w:cs="Arial" w:eastAsia="Arial" w:hAnsi="Arial"/>
                <w:sz w:val="18"/>
                <w:szCs w:val="18"/>
                <w:color w:val="auto"/>
              </w:rPr>
              <w:t>Date: May 3, 2018</w:t>
            </w:r>
          </w:p>
        </w:tc>
        <w:tc>
          <w:tcPr>
            <w:tcW w:w="4900" w:type="dxa"/>
            <w:vAlign w:val="bottom"/>
            <w:gridSpan w:val="2"/>
          </w:tcPr>
          <w:p>
            <w:pPr>
              <w:ind w:left="1420"/>
              <w:spacing w:after="0"/>
              <w:rPr>
                <w:sz w:val="20"/>
                <w:szCs w:val="20"/>
                <w:color w:val="auto"/>
              </w:rPr>
            </w:pPr>
            <w:r>
              <w:rPr>
                <w:rFonts w:ascii="Arial" w:cs="Arial" w:eastAsia="Arial" w:hAnsi="Arial"/>
                <w:sz w:val="18"/>
                <w:szCs w:val="18"/>
                <w:color w:val="auto"/>
              </w:rPr>
              <w:t>By:  /s/  Michael D. Popielec</w:t>
            </w:r>
          </w:p>
        </w:tc>
      </w:tr>
      <w:tr>
        <w:trPr>
          <w:trHeight w:val="222"/>
        </w:trPr>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Michael D. Popielec</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3"/>
              </w:rPr>
              <w:t>President and Chief Executive Officer</w:t>
            </w:r>
          </w:p>
        </w:tc>
      </w:tr>
    </w:tbl>
    <w:p>
      <w:pPr>
        <w:sectPr>
          <w:pgSz w:w="11900" w:h="16838" w:orient="portrait"/>
          <w:cols w:equalWidth="0" w:num="1">
            <w:col w:w="11420"/>
          </w:cols>
          <w:pgMar w:left="240" w:top="121" w:right="239" w:bottom="1440" w:gutter="0" w:footer="0" w:header="0"/>
        </w:sectPr>
      </w:pPr>
    </w:p>
    <w:bookmarkStart w:id="27" w:name="page28"/>
    <w:bookmarkEnd w:id="27"/>
    <w:p>
      <w:pPr>
        <w:ind w:left="1048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27"/>
        </w:trPr>
        <w:tc>
          <w:tcPr>
            <w:tcW w:w="2760" w:type="dxa"/>
            <w:vAlign w:val="bottom"/>
            <w:gridSpan w:val="3"/>
          </w:tcPr>
          <w:p>
            <w:pPr>
              <w:spacing w:after="0"/>
              <w:rPr>
                <w:sz w:val="20"/>
                <w:szCs w:val="20"/>
                <w:color w:val="auto"/>
              </w:rPr>
            </w:pPr>
            <w:r>
              <w:rPr>
                <w:rFonts w:ascii="Arial" w:cs="Arial" w:eastAsia="Arial" w:hAnsi="Arial"/>
                <w:sz w:val="18"/>
                <w:szCs w:val="18"/>
                <w:color w:val="auto"/>
              </w:rPr>
              <w:t>Date: May 3, 2018</w:t>
            </w:r>
          </w:p>
        </w:tc>
        <w:tc>
          <w:tcPr>
            <w:tcW w:w="4860" w:type="dxa"/>
            <w:vAlign w:val="bottom"/>
            <w:gridSpan w:val="2"/>
          </w:tcPr>
          <w:p>
            <w:pPr>
              <w:ind w:left="1420"/>
              <w:spacing w:after="0"/>
              <w:rPr>
                <w:sz w:val="20"/>
                <w:szCs w:val="20"/>
                <w:color w:val="auto"/>
              </w:rPr>
            </w:pPr>
            <w:r>
              <w:rPr>
                <w:rFonts w:ascii="Arial" w:cs="Arial" w:eastAsia="Arial" w:hAnsi="Arial"/>
                <w:sz w:val="18"/>
                <w:szCs w:val="18"/>
                <w:color w:val="auto"/>
              </w:rPr>
              <w:t>By:  /s/  Philip A. Fain</w:t>
            </w:r>
          </w:p>
        </w:tc>
      </w:tr>
      <w:tr>
        <w:trPr>
          <w:trHeight w:val="202"/>
        </w:trPr>
        <w:tc>
          <w:tcPr>
            <w:tcW w:w="4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040" w:type="dxa"/>
            <w:vAlign w:val="bottom"/>
            <w:tcBorders>
              <w:top w:val="single" w:sz="8" w:color="auto"/>
            </w:tcBorders>
          </w:tcPr>
          <w:p>
            <w:pPr>
              <w:ind w:left="260"/>
              <w:spacing w:after="0" w:line="202" w:lineRule="exact"/>
              <w:rPr>
                <w:sz w:val="20"/>
                <w:szCs w:val="20"/>
                <w:color w:val="auto"/>
              </w:rPr>
            </w:pPr>
            <w:r>
              <w:rPr>
                <w:rFonts w:ascii="Arial" w:cs="Arial" w:eastAsia="Arial" w:hAnsi="Arial"/>
                <w:sz w:val="18"/>
                <w:szCs w:val="18"/>
                <w:color w:val="auto"/>
              </w:rPr>
              <w:t>Philip A. Fain</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40" w:type="dxa"/>
            <w:vAlign w:val="bottom"/>
          </w:tcPr>
          <w:p>
            <w:pPr>
              <w:ind w:left="260"/>
              <w:spacing w:after="0"/>
              <w:rPr>
                <w:sz w:val="20"/>
                <w:szCs w:val="20"/>
                <w:color w:val="auto"/>
              </w:rPr>
            </w:pPr>
            <w:r>
              <w:rPr>
                <w:rFonts w:ascii="Arial" w:cs="Arial" w:eastAsia="Arial" w:hAnsi="Arial"/>
                <w:sz w:val="18"/>
                <w:szCs w:val="18"/>
                <w:color w:val="auto"/>
                <w:w w:val="93"/>
              </w:rPr>
              <w:t>Chief Financial Officer and Treasurer</w:t>
            </w:r>
          </w:p>
        </w:tc>
      </w:tr>
    </w:tbl>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April 1, 2018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760" w:type="dxa"/>
            <w:vAlign w:val="bottom"/>
            <w:gridSpan w:val="3"/>
          </w:tcPr>
          <w:p>
            <w:pPr>
              <w:spacing w:after="0"/>
              <w:rPr>
                <w:sz w:val="20"/>
                <w:szCs w:val="20"/>
                <w:color w:val="auto"/>
              </w:rPr>
            </w:pPr>
            <w:r>
              <w:rPr>
                <w:rFonts w:ascii="Arial" w:cs="Arial" w:eastAsia="Arial" w:hAnsi="Arial"/>
                <w:sz w:val="18"/>
                <w:szCs w:val="18"/>
                <w:color w:val="auto"/>
              </w:rPr>
              <w:t>Date: May 3, 2018</w:t>
            </w:r>
          </w:p>
        </w:tc>
        <w:tc>
          <w:tcPr>
            <w:tcW w:w="1760" w:type="dxa"/>
            <w:vAlign w:val="bottom"/>
          </w:tcPr>
          <w:p>
            <w:pPr>
              <w:ind w:left="1420"/>
              <w:spacing w:after="0"/>
              <w:rPr>
                <w:sz w:val="20"/>
                <w:szCs w:val="20"/>
                <w:color w:val="auto"/>
              </w:rPr>
            </w:pPr>
            <w:r>
              <w:rPr>
                <w:rFonts w:ascii="Arial" w:cs="Arial" w:eastAsia="Arial" w:hAnsi="Arial"/>
                <w:sz w:val="18"/>
                <w:szCs w:val="18"/>
                <w:color w:val="auto"/>
              </w:rPr>
              <w:t>By:</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/s/</w:t>
            </w:r>
          </w:p>
        </w:tc>
        <w:tc>
          <w:tcPr>
            <w:tcW w:w="2780" w:type="dxa"/>
            <w:vAlign w:val="bottom"/>
            <w:gridSpan w:val="3"/>
          </w:tcPr>
          <w:p>
            <w:pPr>
              <w:ind w:left="80"/>
              <w:spacing w:after="0"/>
              <w:rPr>
                <w:sz w:val="20"/>
                <w:szCs w:val="20"/>
                <w:color w:val="auto"/>
              </w:rPr>
            </w:pPr>
            <w:r>
              <w:rPr>
                <w:rFonts w:ascii="Arial" w:cs="Arial" w:eastAsia="Arial" w:hAnsi="Arial"/>
                <w:sz w:val="18"/>
                <w:szCs w:val="18"/>
                <w:color w:val="auto"/>
              </w:rPr>
              <w:t>Michael D. Popielec</w:t>
            </w:r>
          </w:p>
        </w:tc>
      </w:tr>
      <w:tr>
        <w:trPr>
          <w:trHeight w:val="222"/>
        </w:trPr>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Michael D. Popielec</w:t>
            </w:r>
          </w:p>
        </w:tc>
        <w:tc>
          <w:tcPr>
            <w:tcW w:w="40" w:type="dxa"/>
            <w:vAlign w:val="bottom"/>
            <w:gridSpan w:val="2"/>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3"/>
          </w:tcPr>
          <w:p>
            <w:pPr>
              <w:ind w:left="40"/>
              <w:spacing w:after="0"/>
              <w:rPr>
                <w:sz w:val="20"/>
                <w:szCs w:val="20"/>
                <w:color w:val="auto"/>
              </w:rPr>
            </w:pPr>
            <w:r>
              <w:rPr>
                <w:rFonts w:ascii="Arial" w:cs="Arial" w:eastAsia="Arial" w:hAnsi="Arial"/>
                <w:sz w:val="18"/>
                <w:szCs w:val="18"/>
                <w:color w:val="auto"/>
                <w:w w:val="90"/>
              </w:rPr>
              <w:t>President and Chief Executive Officer</w:t>
            </w:r>
          </w:p>
        </w:tc>
      </w:tr>
      <w:tr>
        <w:trPr>
          <w:trHeight w:val="392"/>
        </w:trPr>
        <w:tc>
          <w:tcPr>
            <w:tcW w:w="2760" w:type="dxa"/>
            <w:vAlign w:val="bottom"/>
            <w:gridSpan w:val="3"/>
          </w:tcPr>
          <w:p>
            <w:pPr>
              <w:spacing w:after="0"/>
              <w:rPr>
                <w:sz w:val="20"/>
                <w:szCs w:val="20"/>
                <w:color w:val="auto"/>
              </w:rPr>
            </w:pPr>
            <w:r>
              <w:rPr>
                <w:rFonts w:ascii="Arial" w:cs="Arial" w:eastAsia="Arial" w:hAnsi="Arial"/>
                <w:sz w:val="18"/>
                <w:szCs w:val="18"/>
                <w:color w:val="auto"/>
              </w:rPr>
              <w:t>Date: May 3, 2018</w:t>
            </w:r>
          </w:p>
        </w:tc>
        <w:tc>
          <w:tcPr>
            <w:tcW w:w="1760" w:type="dxa"/>
            <w:vAlign w:val="bottom"/>
          </w:tcPr>
          <w:p>
            <w:pPr>
              <w:ind w:left="1420"/>
              <w:spacing w:after="0"/>
              <w:rPr>
                <w:sz w:val="20"/>
                <w:szCs w:val="20"/>
                <w:color w:val="auto"/>
              </w:rPr>
            </w:pPr>
            <w:r>
              <w:rPr>
                <w:rFonts w:ascii="Arial" w:cs="Arial" w:eastAsia="Arial" w:hAnsi="Arial"/>
                <w:sz w:val="18"/>
                <w:szCs w:val="18"/>
                <w:color w:val="auto"/>
              </w:rPr>
              <w:t>By:</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/s/</w:t>
            </w:r>
          </w:p>
        </w:tc>
        <w:tc>
          <w:tcPr>
            <w:tcW w:w="2780" w:type="dxa"/>
            <w:vAlign w:val="bottom"/>
            <w:gridSpan w:val="3"/>
          </w:tcPr>
          <w:p>
            <w:pPr>
              <w:ind w:left="80"/>
              <w:spacing w:after="0"/>
              <w:rPr>
                <w:sz w:val="20"/>
                <w:szCs w:val="20"/>
                <w:color w:val="auto"/>
              </w:rPr>
            </w:pPr>
            <w:r>
              <w:rPr>
                <w:rFonts w:ascii="Arial" w:cs="Arial" w:eastAsia="Arial" w:hAnsi="Arial"/>
                <w:sz w:val="18"/>
                <w:szCs w:val="18"/>
                <w:color w:val="auto"/>
              </w:rPr>
              <w:t>Philip A. Fain</w:t>
            </w:r>
          </w:p>
        </w:tc>
      </w:tr>
      <w:tr>
        <w:trPr>
          <w:trHeight w:val="222"/>
        </w:trPr>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Philip A. Fain</w:t>
            </w:r>
          </w:p>
        </w:tc>
        <w:tc>
          <w:tcPr>
            <w:tcW w:w="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3"/>
          </w:tcPr>
          <w:p>
            <w:pPr>
              <w:ind w:left="40"/>
              <w:spacing w:after="0"/>
              <w:rPr>
                <w:sz w:val="20"/>
                <w:szCs w:val="20"/>
                <w:color w:val="auto"/>
              </w:rPr>
            </w:pPr>
            <w:r>
              <w:rPr>
                <w:rFonts w:ascii="Arial" w:cs="Arial" w:eastAsia="Arial" w:hAnsi="Arial"/>
                <w:sz w:val="18"/>
                <w:szCs w:val="18"/>
                <w:color w:val="auto"/>
                <w:w w:val="92"/>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decimal"/>
      <w:start w:val="12"/>
    </w:lvl>
  </w:abstractNum>
  <w:abstractNum w:abstractNumId="11">
    <w:nsid w:val="DED7263"/>
    <w:multiLevelType w:val="hybridMultilevel"/>
    <w:lvl w:ilvl="0">
      <w:lvlJc w:val="left"/>
      <w:lvlText w:val="1"/>
      <w:numFmt w:val="bullet"/>
      <w:start w:val="1"/>
    </w:lvl>
  </w:abstractNum>
  <w:abstractNum w:abstractNumId="12">
    <w:nsid w:val="7FDCC233"/>
    <w:multiLevelType w:val="hybridMultilevel"/>
    <w:lvl w:ilvl="0">
      <w:lvlJc w:val="left"/>
      <w:lvlText w:val="%1."/>
      <w:numFmt w:val="decimal"/>
      <w:start w:val="13"/>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2019-12-28T22:48:38Z</dcterms:created>
  <dcterms:modified xsi:type="dcterms:W3CDTF">2019-12-28T22:48:38Z</dcterms:modified>
</cp:coreProperties>
</file>