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lbi20260630_10q.htm"/>
      <w:bookmarkStart w:id="1" w:name="ksulbi20260630_10q"/>
      <w:bookmarkEnd w:id="0"/>
      <w:bookmarkEnd w:id="1"/>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                                    </w:t>
      </w:r>
    </w:p>
    <w:tbl>
      <w:tblPr>
        <w:tblW w:w="9595" w:type="dxa"/>
        <w:jc w:val="left"/>
        <w:tblInd w:w="0" w:type="dxa"/>
        <w:tblLayout w:type="fixed"/>
        <w:tblCellMar>
          <w:top w:w="0" w:type="dxa"/>
          <w:left w:w="0" w:type="dxa"/>
          <w:bottom w:w="0" w:type="dxa"/>
          <w:right w:w="0" w:type="dxa"/>
        </w:tblCellMar>
      </w:tblPr>
      <w:tblGrid>
        <w:gridCol w:w="230"/>
        <w:gridCol w:w="9365"/>
      </w:tblGrid>
      <w:tr>
        <w:trPr/>
        <w:tc>
          <w:tcPr>
            <w:tcW w:w="230" w:type="dxa"/>
            <w:tcBorders/>
            <w:vAlign w:val="center"/>
          </w:tcPr>
          <w:p>
            <w:pPr>
              <w:pStyle w:val="TableContents"/>
              <w:bidi w:val="0"/>
              <w:spacing w:before="0" w:after="0"/>
              <w:ind w:left="0" w:right="0" w:hanging="0"/>
              <w:jc w:val="left"/>
              <w:rPr/>
            </w:pPr>
            <w:r>
              <w:rPr/>
              <w:t>☒</w:t>
            </w:r>
          </w:p>
        </w:tc>
        <w:tc>
          <w:tcPr>
            <w:tcW w:w="93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tbl>
      <w:tblPr>
        <w:tblW w:w="9565" w:type="dxa"/>
        <w:jc w:val="left"/>
        <w:tblInd w:w="0" w:type="dxa"/>
        <w:tblLayout w:type="fixed"/>
        <w:tblCellMar>
          <w:top w:w="0" w:type="dxa"/>
          <w:left w:w="0" w:type="dxa"/>
          <w:bottom w:w="0" w:type="dxa"/>
          <w:right w:w="0" w:type="dxa"/>
        </w:tblCellMar>
      </w:tblPr>
      <w:tblGrid>
        <w:gridCol w:w="230"/>
        <w:gridCol w:w="9335"/>
      </w:tblGrid>
      <w:tr>
        <w:trPr/>
        <w:tc>
          <w:tcPr>
            <w:tcW w:w="230" w:type="dxa"/>
            <w:tcBorders/>
            <w:vAlign w:val="center"/>
          </w:tcPr>
          <w:p>
            <w:pPr>
              <w:pStyle w:val="TableContents"/>
              <w:bidi w:val="0"/>
              <w:spacing w:before="0" w:after="0"/>
              <w:ind w:left="0" w:right="0" w:hanging="0"/>
              <w:jc w:val="left"/>
              <w:rPr/>
            </w:pPr>
            <w:r>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 to ____________</w:t>
      </w:r>
    </w:p>
    <w:p>
      <w:pPr>
        <w:pStyle w:val="TextBody"/>
        <w:bidi w:val="0"/>
        <w:spacing w:before="0" w:after="0"/>
        <w:ind w:left="180" w:right="180" w:hanging="0"/>
        <w:jc w:val="center"/>
        <w:rPr>
          <w:caps w:val="false"/>
          <w:smallCaps w:val="false"/>
        </w:rPr>
      </w:pPr>
      <w:r>
        <w:rPr>
          <w:caps w:val="false"/>
          <w:smallCaps w:val="false"/>
        </w:rPr>
        <w:t> </w:t>
      </w:r>
    </w:p>
    <w:p>
      <w:pPr>
        <w:pStyle w:val="TextBody"/>
        <w:bidi w:val="0"/>
        <w:spacing w:before="0" w:after="0"/>
        <w:ind w:left="180" w:right="18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0-20852</w:t>
      </w:r>
    </w:p>
    <w:p>
      <w:pPr>
        <w:pStyle w:val="TextBody"/>
        <w:bidi w:val="0"/>
        <w:spacing w:before="0" w:after="0"/>
        <w:ind w:left="180" w:right="18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ULTRALIFE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4865"/>
        <w:gridCol w:w="4325"/>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2000 Technology Parkway Newark, New York 14513</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tc>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16-1387013</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(315) 332-7100</w:t>
            </w:r>
            <w:r>
              <w:rPr>
                <w:rFonts w:ascii="Times New Roman" w:hAnsi="Times New Roman"/>
                <w:caps w:val="false"/>
                <w:smallCaps w:val="false"/>
                <w:sz w:val="20"/>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0" w:type="dxa"/>
        <w:tblLayout w:type="fixed"/>
        <w:tblCellMar>
          <w:top w:w="0" w:type="dxa"/>
          <w:left w:w="0" w:type="dxa"/>
          <w:bottom w:w="0" w:type="dxa"/>
          <w:right w:w="0" w:type="dxa"/>
        </w:tblCellMar>
      </w:tblPr>
      <w:tblGrid>
        <w:gridCol w:w="3050"/>
        <w:gridCol w:w="1460"/>
        <w:gridCol w:w="2795"/>
      </w:tblGrid>
      <w:tr>
        <w:trPr/>
        <w:tc>
          <w:tcPr>
            <w:tcW w:w="30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$0.10 par value per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w:t>
            </w:r>
          </w:p>
        </w:tc>
        <w:tc>
          <w:tcPr>
            <w:tcW w:w="146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ULBI</w:t>
            </w:r>
          </w:p>
        </w:tc>
        <w:tc>
          <w:tcPr>
            <w:tcW w:w="27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NASDAQ</w:t>
            </w:r>
          </w:p>
        </w:tc>
      </w:tr>
      <w:tr>
        <w:trPr/>
        <w:tc>
          <w:tcPr>
            <w:tcW w:w="30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4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w:t>
            </w:r>
          </w:p>
        </w:tc>
        <w:tc>
          <w:tcPr>
            <w:tcW w:w="27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registered)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2045"/>
        <w:gridCol w:w="2525"/>
      </w:tblGrid>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5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5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3, 2026, the registrant had 16,663,269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980"/>
        <w:jc w:val="left"/>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724"/>
        <w:gridCol w:w="9040"/>
        <w:gridCol w:w="441"/>
      </w:tblGrid>
      <w:tr>
        <w:trPr/>
        <w:tc>
          <w:tcPr>
            <w:tcW w:w="724"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72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INFORMATION</w:t>
            </w:r>
          </w:p>
        </w:tc>
        <w:tc>
          <w:tcPr>
            <w:tcW w:w="441" w:type="dxa"/>
            <w:tcBorders/>
            <w:shd w:fill="CCEEFF" w:val="clear"/>
            <w:vAlign w:val="center"/>
          </w:tcPr>
          <w:p>
            <w:pPr>
              <w:pStyle w:val="TableContents"/>
              <w:bidi w:val="0"/>
              <w:spacing w:before="0" w:after="283"/>
              <w:jc w:val="left"/>
              <w:rPr/>
            </w:pPr>
            <w:r>
              <w:rPr/>
              <w:t> </w:t>
            </w:r>
          </w:p>
        </w:tc>
      </w:tr>
      <w:tr>
        <w:trPr/>
        <w:tc>
          <w:tcPr>
            <w:tcW w:w="724"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Financial Statements (unaudited):</w:t>
            </w:r>
          </w:p>
        </w:tc>
        <w:tc>
          <w:tcPr>
            <w:tcW w:w="441" w:type="dxa"/>
            <w:tcBorders/>
            <w:shd w:fill="CCEEFF" w:val="clear"/>
            <w:vAlign w:val="center"/>
          </w:tcPr>
          <w:p>
            <w:pPr>
              <w:pStyle w:val="TableContents"/>
              <w:bidi w:val="0"/>
              <w:spacing w:before="0" w:after="283"/>
              <w:jc w:val="left"/>
              <w:rPr/>
            </w:pPr>
            <w:r>
              <w:rPr/>
              <w:t> </w:t>
            </w:r>
          </w:p>
        </w:tc>
      </w:tr>
      <w:tr>
        <w:trPr/>
        <w:tc>
          <w:tcPr>
            <w:tcW w:w="724"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283"/>
              <w:jc w:val="left"/>
              <w:rPr/>
            </w:pPr>
            <w:r>
              <w:rPr/>
              <w:t> </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Balance Sheets as of June 30, 2026 and December 31, 2025</w:t>
            </w:r>
          </w:p>
        </w:tc>
        <w:tc>
          <w:tcPr>
            <w:tcW w:w="44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r>
      <w:tr>
        <w:trPr/>
        <w:tc>
          <w:tcPr>
            <w:tcW w:w="724"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283"/>
              <w:jc w:val="left"/>
              <w:rPr/>
            </w:pPr>
            <w:r>
              <w:rPr/>
              <w:t> </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Income and Comprehensive Income for the Three and Six-Month Periods Ended June 30, 2026 and June 30, 2025</w:t>
            </w:r>
          </w:p>
        </w:tc>
        <w:tc>
          <w:tcPr>
            <w:tcW w:w="44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r>
      <w:tr>
        <w:trPr/>
        <w:tc>
          <w:tcPr>
            <w:tcW w:w="724"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283"/>
              <w:jc w:val="left"/>
              <w:rPr/>
            </w:pPr>
            <w:r>
              <w:rPr/>
              <w:t> </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Cash Flows for the Six-Month Periods Ended June 30, 2026 and June 30, 2025</w:t>
            </w:r>
          </w:p>
        </w:tc>
        <w:tc>
          <w:tcPr>
            <w:tcW w:w="44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tc>
      </w:tr>
      <w:tr>
        <w:trPr/>
        <w:tc>
          <w:tcPr>
            <w:tcW w:w="724"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283"/>
              <w:jc w:val="left"/>
              <w:rPr/>
            </w:pPr>
            <w:r>
              <w:rPr/>
              <w:t> </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Consolidated Statements of Changes in Stockholders’ Equity for the Three and Six-Month Periods Ended June 30, 2026 and June 30, 2025</w:t>
            </w:r>
          </w:p>
        </w:tc>
        <w:tc>
          <w:tcPr>
            <w:tcW w:w="44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r>
      <w:tr>
        <w:trPr/>
        <w:tc>
          <w:tcPr>
            <w:tcW w:w="724"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283"/>
              <w:jc w:val="left"/>
              <w:rPr/>
            </w:pPr>
            <w:r>
              <w:rPr/>
              <w:t> </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to Consolidated Financial Statements (unaudited)</w:t>
            </w:r>
          </w:p>
        </w:tc>
        <w:tc>
          <w:tcPr>
            <w:tcW w:w="44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r>
      <w:tr>
        <w:trPr/>
        <w:tc>
          <w:tcPr>
            <w:tcW w:w="724"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Management’s Discussion and Analysis of Financial Condition and Results of Operations</w:t>
            </w:r>
          </w:p>
        </w:tc>
        <w:tc>
          <w:tcPr>
            <w:tcW w:w="44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tc>
      </w:tr>
      <w:tr>
        <w:trPr/>
        <w:tc>
          <w:tcPr>
            <w:tcW w:w="724"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Controls and Procedures</w:t>
            </w:r>
          </w:p>
        </w:tc>
        <w:tc>
          <w:tcPr>
            <w:tcW w:w="44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tc>
      </w:tr>
      <w:tr>
        <w:trPr/>
        <w:tc>
          <w:tcPr>
            <w:tcW w:w="724"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INFORMATION</w:t>
            </w:r>
          </w:p>
        </w:tc>
        <w:tc>
          <w:tcPr>
            <w:tcW w:w="441" w:type="dxa"/>
            <w:tcBorders/>
            <w:shd w:fill="CCEEFF" w:val="clear"/>
            <w:vAlign w:val="center"/>
          </w:tcPr>
          <w:p>
            <w:pPr>
              <w:pStyle w:val="TableContents"/>
              <w:bidi w:val="0"/>
              <w:spacing w:before="0" w:after="283"/>
              <w:jc w:val="left"/>
              <w:rPr/>
            </w:pPr>
            <w:r>
              <w:rPr/>
              <w:t> </w:t>
            </w:r>
          </w:p>
        </w:tc>
      </w:tr>
      <w:tr>
        <w:trPr/>
        <w:tc>
          <w:tcPr>
            <w:tcW w:w="724"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w:t>
            </w:r>
          </w:p>
        </w:tc>
        <w:tc>
          <w:tcPr>
            <w:tcW w:w="44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tc>
      </w:tr>
      <w:tr>
        <w:trPr/>
        <w:tc>
          <w:tcPr>
            <w:tcW w:w="724" w:type="dxa"/>
            <w:tcBorders/>
            <w:shd w:fill="FFFFFF" w:val="clear"/>
            <w:vAlign w:val="center"/>
          </w:tcPr>
          <w:p>
            <w:pPr>
              <w:pStyle w:val="TableContents"/>
              <w:bidi w:val="0"/>
              <w:spacing w:before="0" w:after="283"/>
              <w:jc w:val="left"/>
              <w:rPr/>
            </w:pPr>
            <w:r>
              <w:rPr/>
              <w:t> </w:t>
            </w:r>
          </w:p>
        </w:tc>
        <w:tc>
          <w:tcPr>
            <w:tcW w:w="9040"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r>
      <w:tr>
        <w:trPr/>
        <w:tc>
          <w:tcPr>
            <w:tcW w:w="724" w:type="dxa"/>
            <w:tcBorders/>
            <w:shd w:fill="CCEEFF" w:val="clear"/>
            <w:vAlign w:val="center"/>
          </w:tcPr>
          <w:p>
            <w:pPr>
              <w:pStyle w:val="TableContents"/>
              <w:bidi w:val="0"/>
              <w:spacing w:before="0" w:after="283"/>
              <w:jc w:val="left"/>
              <w:rPr/>
            </w:pPr>
            <w:r>
              <w:rPr/>
              <w:t> </w:t>
            </w:r>
          </w:p>
        </w:tc>
        <w:tc>
          <w:tcPr>
            <w:tcW w:w="9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Signatures</w:t>
            </w:r>
          </w:p>
        </w:tc>
        <w:tc>
          <w:tcPr>
            <w:tcW w:w="44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4505"/>
      </w:tblGrid>
      <w:tr>
        <w:trPr/>
        <w:tc>
          <w:tcPr>
            <w:tcW w:w="45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111"/>
        <w:gridCol w:w="60"/>
        <w:gridCol w:w="125"/>
        <w:gridCol w:w="695"/>
        <w:gridCol w:w="80"/>
        <w:gridCol w:w="60"/>
        <w:gridCol w:w="150"/>
        <w:gridCol w:w="842"/>
        <w:gridCol w:w="82"/>
      </w:tblGrid>
      <w:tr>
        <w:trPr/>
        <w:tc>
          <w:tcPr>
            <w:tcW w:w="8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vAlign w:val="center"/>
          </w:tcPr>
          <w:p>
            <w:pPr>
              <w:pStyle w:val="TableContents"/>
              <w:bidi w:val="0"/>
              <w:spacing w:before="0" w:after="283"/>
              <w:jc w:val="left"/>
              <w:rPr/>
            </w:pPr>
            <w:r>
              <w:rPr/>
              <w:t> </w:t>
            </w:r>
          </w:p>
        </w:tc>
      </w:tr>
      <w:tr>
        <w:trPr/>
        <w:tc>
          <w:tcPr>
            <w:tcW w:w="10123" w:type="dxa"/>
            <w:gridSpan w:val="8"/>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ASSETS</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9,345</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 of allowance for expected credit losses of $462 and $457,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33,948</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54,008</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105,801</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40,397</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45,376</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10,933</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10,494</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3,911</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216,912</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10123" w:type="dxa"/>
            <w:gridSpan w:val="8"/>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17,423</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related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13,031</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37,333</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45,526</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2,919</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86,778</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 par value $.10 per share; authorized 1,000,000 shares; none issued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 par value $.10 per share; authorized 40,000,000 shares; issued – 21,099,383 shares at June 30, 2026 and 21,092,617 shares at December 31, 2025; outstanding – 16,663,269 shares at June 30, 2026 and 16,656,503 shares at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2,109</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in excess of par value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192,859</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8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(40,340</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1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1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 at cost; 4,436,114 shares at June 30, 2026 and 4,436,114 shares at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(21,492</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111"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Ultralife Corporation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8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129,995</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130,134</w:t>
            </w:r>
          </w:p>
        </w:tc>
        <w:tc>
          <w:tcPr>
            <w:tcW w:w="82" w:type="dxa"/>
            <w:tcBorders/>
            <w:shd w:fill="FFFFFF" w:val="clear"/>
            <w:vAlign w:val="center"/>
          </w:tcPr>
          <w:p>
            <w:pPr>
              <w:pStyle w:val="TableContents"/>
              <w:bidi w:val="0"/>
              <w:spacing w:before="0" w:after="283"/>
              <w:jc w:val="left"/>
              <w:rPr/>
            </w:pPr>
            <w:r>
              <w:rPr/>
              <w:t> </w:t>
            </w:r>
          </w:p>
        </w:tc>
      </w:tr>
      <w:tr>
        <w:trPr/>
        <w:tc>
          <w:tcPr>
            <w:tcW w:w="8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111"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216,912</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INCOME AND COMPREHENSIVE INCOME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06"/>
        <w:gridCol w:w="60"/>
        <w:gridCol w:w="172"/>
        <w:gridCol w:w="817"/>
        <w:gridCol w:w="110"/>
        <w:gridCol w:w="82"/>
        <w:gridCol w:w="172"/>
        <w:gridCol w:w="817"/>
        <w:gridCol w:w="80"/>
        <w:gridCol w:w="60"/>
        <w:gridCol w:w="156"/>
        <w:gridCol w:w="738"/>
        <w:gridCol w:w="99"/>
        <w:gridCol w:w="74"/>
        <w:gridCol w:w="156"/>
        <w:gridCol w:w="738"/>
        <w:gridCol w:w="68"/>
      </w:tblGrid>
      <w:tr>
        <w:trPr/>
        <w:tc>
          <w:tcPr>
            <w:tcW w:w="58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Three-month period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6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Six-month period ended</w:t>
            </w:r>
          </w:p>
        </w:tc>
        <w:tc>
          <w:tcPr>
            <w:tcW w:w="68" w:type="dxa"/>
            <w:tcBorders/>
            <w:vAlign w:val="center"/>
          </w:tcPr>
          <w:p>
            <w:pPr>
              <w:pStyle w:val="TableContents"/>
              <w:bidi w:val="0"/>
              <w:spacing w:before="0" w:after="283"/>
              <w:jc w:val="left"/>
              <w:rPr/>
            </w:pPr>
            <w:r>
              <w:rPr/>
              <w:t> </w:t>
            </w:r>
          </w:p>
        </w:tc>
      </w:tr>
      <w:tr>
        <w:trPr/>
        <w:tc>
          <w:tcPr>
            <w:tcW w:w="58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8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8" w:type="dxa"/>
            <w:tcBorders/>
            <w:vAlign w:val="center"/>
          </w:tcPr>
          <w:p>
            <w:pPr>
              <w:pStyle w:val="TableContents"/>
              <w:bidi w:val="0"/>
              <w:spacing w:before="0" w:after="283"/>
              <w:jc w:val="left"/>
              <w:rPr/>
            </w:pPr>
            <w:r>
              <w:rPr/>
              <w:t> </w:t>
            </w:r>
          </w:p>
        </w:tc>
      </w:tr>
      <w:tr>
        <w:trPr/>
        <w:tc>
          <w:tcPr>
            <w:tcW w:w="58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81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47,943</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95,388</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99,307</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34,077</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71,412</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74,961</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36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13,866</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23,976</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24,346</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6,186</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4,722</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7,204</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14,568</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13,969</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10,429</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20,754</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18,691</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3,437</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3,222</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5,655</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financing expense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2,024</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Miscellaneous (income) expense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3,559</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2,047</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2,749</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attributable to Ultralife Corporation</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7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income attributable to Ultralife Corporation</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2,755</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3,930</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Net income per share attributable to Ultralife common stockholders </w:t>
            </w:r>
            <w:r>
              <w:rPr>
                <w:rFonts w:ascii="Times New Roman;Times;serif" w:hAnsi="Times New Roman;Times;serif"/>
                <w:sz w:val="20"/>
              </w:rPr>
              <w:t xml:space="preserve">– </w:t>
            </w:r>
            <w:r>
              <w:rPr>
                <w:rFonts w:ascii="Times New Roman;Times;serif" w:hAnsi="Times New Roman;Times;serif"/>
                <w:b/>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Net income per share attributable to Ultralife common stockholders </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Weighted average shares outstanding </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16,659</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16,658</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7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16,634</w:t>
            </w:r>
          </w:p>
        </w:tc>
        <w:tc>
          <w:tcPr>
            <w:tcW w:w="68" w:type="dxa"/>
            <w:tcBorders/>
            <w:shd w:fill="CCEEFF" w:val="clear"/>
            <w:vAlign w:val="center"/>
          </w:tcPr>
          <w:p>
            <w:pPr>
              <w:pStyle w:val="TableContents"/>
              <w:bidi w:val="0"/>
              <w:spacing w:before="0" w:after="283"/>
              <w:jc w:val="left"/>
              <w:rPr/>
            </w:pPr>
            <w:r>
              <w:rPr/>
              <w:t> </w:t>
            </w:r>
          </w:p>
        </w:tc>
      </w:tr>
      <w:tr>
        <w:trPr/>
        <w:tc>
          <w:tcPr>
            <w:tcW w:w="580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common shares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8" w:type="dxa"/>
            <w:tcBorders/>
            <w:shd w:fill="FFFFFF" w:val="clear"/>
            <w:vAlign w:val="center"/>
          </w:tcPr>
          <w:p>
            <w:pPr>
              <w:pStyle w:val="TableContents"/>
              <w:bidi w:val="0"/>
              <w:spacing w:before="0" w:after="283"/>
              <w:jc w:val="left"/>
              <w:rPr/>
            </w:pPr>
            <w:r>
              <w:rPr/>
              <w:t> </w:t>
            </w:r>
          </w:p>
        </w:tc>
      </w:tr>
      <w:tr>
        <w:trPr/>
        <w:tc>
          <w:tcPr>
            <w:tcW w:w="580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16,714</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16,703</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16,671</w:t>
            </w:r>
          </w:p>
        </w:tc>
        <w:tc>
          <w:tcPr>
            <w:tcW w:w="6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655" w:type="dxa"/>
        <w:jc w:val="left"/>
        <w:tblInd w:w="0" w:type="dxa"/>
        <w:tblLayout w:type="fixed"/>
        <w:tblCellMar>
          <w:top w:w="0" w:type="dxa"/>
          <w:left w:w="0" w:type="dxa"/>
          <w:bottom w:w="0" w:type="dxa"/>
          <w:right w:w="0" w:type="dxa"/>
        </w:tblCellMar>
      </w:tblPr>
      <w:tblGrid>
        <w:gridCol w:w="4595"/>
        <w:gridCol w:w="60"/>
      </w:tblGrid>
      <w:tr>
        <w:trPr/>
        <w:tc>
          <w:tcPr>
            <w:tcW w:w="45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ULTRALIFE CORPORATION AND SUBSIDIARIES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CONSOLIDATED STATEMENTS OF CASH FLOWS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(Dollars in Thousands)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787" w:type="dxa"/>
        <w:jc w:val="left"/>
        <w:tblInd w:w="0" w:type="dxa"/>
        <w:tblLayout w:type="fixed"/>
        <w:tblCellMar>
          <w:top w:w="0" w:type="dxa"/>
          <w:left w:w="0" w:type="dxa"/>
          <w:bottom w:w="0" w:type="dxa"/>
          <w:right w:w="0" w:type="dxa"/>
        </w:tblCellMar>
      </w:tblPr>
      <w:tblGrid>
        <w:gridCol w:w="6620"/>
        <w:gridCol w:w="60"/>
        <w:gridCol w:w="166"/>
        <w:gridCol w:w="725"/>
        <w:gridCol w:w="106"/>
        <w:gridCol w:w="79"/>
        <w:gridCol w:w="166"/>
        <w:gridCol w:w="785"/>
        <w:gridCol w:w="80"/>
      </w:tblGrid>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Six-month period ended</w:t>
            </w:r>
          </w:p>
        </w:tc>
        <w:tc>
          <w:tcPr>
            <w:tcW w:w="80" w:type="dxa"/>
            <w:tcBorders/>
            <w:vAlign w:val="center"/>
          </w:tcPr>
          <w:p>
            <w:pPr>
              <w:pStyle w:val="TableContents"/>
              <w:bidi w:val="0"/>
              <w:spacing w:before="0" w:after="283"/>
              <w:jc w:val="left"/>
              <w:rPr/>
            </w:pPr>
            <w:r>
              <w:rPr/>
              <w:t> </w:t>
            </w:r>
          </w:p>
        </w:tc>
      </w:tr>
      <w:tr>
        <w:trPr/>
        <w:tc>
          <w:tcPr>
            <w:tcW w:w="6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6"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9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2,047</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financing fees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(4,732</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2,124</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3,444</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9,303</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credit facilities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(5,125</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7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Debt issuance costs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(5,089</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(DECREASE) INCREASE IN CASH</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7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4,087</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Beginning of period</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9,345</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6,854</w:t>
            </w:r>
          </w:p>
        </w:tc>
        <w:tc>
          <w:tcPr>
            <w:tcW w:w="80" w:type="dxa"/>
            <w:tcBorders/>
            <w:shd w:fill="FFFFFF" w:val="clear"/>
            <w:vAlign w:val="center"/>
          </w:tcPr>
          <w:p>
            <w:pPr>
              <w:pStyle w:val="TableContents"/>
              <w:bidi w:val="0"/>
              <w:spacing w:before="0" w:after="283"/>
              <w:jc w:val="left"/>
              <w:rPr/>
            </w:pPr>
            <w:r>
              <w:rPr/>
              <w:t> </w:t>
            </w:r>
          </w:p>
        </w:tc>
      </w:tr>
      <w:tr>
        <w:trPr/>
        <w:tc>
          <w:tcPr>
            <w:tcW w:w="6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6,663</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100" w:type="dxa"/>
        <w:jc w:val="left"/>
        <w:tblInd w:w="0" w:type="dxa"/>
        <w:tblLayout w:type="fixed"/>
        <w:tblCellMar>
          <w:top w:w="0" w:type="dxa"/>
          <w:left w:w="0" w:type="dxa"/>
          <w:bottom w:w="0" w:type="dxa"/>
          <w:right w:w="0" w:type="dxa"/>
        </w:tblCellMar>
      </w:tblPr>
      <w:tblGrid>
        <w:gridCol w:w="7100"/>
      </w:tblGrid>
      <w:tr>
        <w:trPr/>
        <w:tc>
          <w:tcPr>
            <w:tcW w:w="7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tc>
      </w:tr>
      <w:tr>
        <w:trPr/>
        <w:tc>
          <w:tcPr>
            <w:tcW w:w="70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CHANGES IN STOCKHOLDERS</w:t>
            </w:r>
            <w:r>
              <w:rPr>
                <w:rFonts w:ascii="Times New Roman" w:hAnsi="Times New Roman"/>
                <w:caps w:val="false"/>
                <w:smallCaps w:val="false"/>
                <w:sz w:val="20"/>
              </w:rPr>
              <w:t>’ </w:t>
            </w:r>
            <w:r>
              <w:rPr>
                <w:rFonts w:ascii="Times New Roman" w:hAnsi="Times New Roman"/>
                <w:b/>
                <w:caps w:val="false"/>
                <w:smallCaps w:val="false"/>
                <w:sz w:val="20"/>
              </w:rPr>
              <w:t>EQUITY</w:t>
            </w:r>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545"/>
        <w:gridCol w:w="60"/>
        <w:gridCol w:w="60"/>
        <w:gridCol w:w="830"/>
        <w:gridCol w:w="60"/>
        <w:gridCol w:w="60"/>
        <w:gridCol w:w="124"/>
        <w:gridCol w:w="481"/>
        <w:gridCol w:w="60"/>
        <w:gridCol w:w="60"/>
        <w:gridCol w:w="110"/>
        <w:gridCol w:w="605"/>
        <w:gridCol w:w="80"/>
        <w:gridCol w:w="60"/>
        <w:gridCol w:w="208"/>
        <w:gridCol w:w="922"/>
        <w:gridCol w:w="80"/>
        <w:gridCol w:w="60"/>
        <w:gridCol w:w="154"/>
        <w:gridCol w:w="811"/>
        <w:gridCol w:w="80"/>
        <w:gridCol w:w="60"/>
        <w:gridCol w:w="110"/>
        <w:gridCol w:w="575"/>
        <w:gridCol w:w="80"/>
        <w:gridCol w:w="60"/>
        <w:gridCol w:w="236"/>
        <w:gridCol w:w="624"/>
        <w:gridCol w:w="80"/>
        <w:gridCol w:w="60"/>
        <w:gridCol w:w="110"/>
        <w:gridCol w:w="605"/>
        <w:gridCol w:w="95"/>
      </w:tblGrid>
      <w:tr>
        <w:trPr/>
        <w:tc>
          <w:tcPr>
            <w:tcW w:w="2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 Excess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of Par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Value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Interest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6"/>
              </w:rPr>
            </w:pPr>
            <w:r>
              <w:rPr>
                <w:rFonts w:ascii="Times New Roman;Times;serif" w:hAnsi="Times New Roman;Times;serif"/>
                <w:b/>
                <w:caps w:val="false"/>
                <w:smallCaps w:val="false"/>
                <w:sz w:val="16"/>
              </w:rPr>
              <w:t>Total</w:t>
            </w:r>
          </w:p>
        </w:tc>
        <w:tc>
          <w:tcPr>
            <w:tcW w:w="95" w:type="dxa"/>
            <w:tcBorders/>
            <w:vAlign w:val="center"/>
          </w:tcPr>
          <w:p>
            <w:pPr>
              <w:pStyle w:val="TableContents"/>
              <w:bidi w:val="0"/>
              <w:spacing w:before="0" w:after="283"/>
              <w:jc w:val="left"/>
              <w:rPr/>
            </w:pPr>
            <w:r>
              <w:rPr/>
              <w:t> </w:t>
            </w:r>
          </w:p>
        </w:tc>
      </w:tr>
      <w:tr>
        <w:trPr/>
        <w:tc>
          <w:tcPr>
            <w:tcW w:w="2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4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21,069,079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191,828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(4,006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(34,442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134,187</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2,749</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 exercises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378</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1,186</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21,078,446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(31,698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138,645</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21,092,617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(3,141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130,134</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2,047</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 exercises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w:t>
            </w:r>
          </w:p>
        </w:tc>
        <w:tc>
          <w:tcPr>
            <w:tcW w:w="95"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21,099,383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(2,846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(38,248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132,601</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21,069,079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192,055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(3,695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(32,577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136,604</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870</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 exercises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190</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875</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21,078,446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(2,820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(31,698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138,645</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21,092,617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192,858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(3,058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(40,791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129,745</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811"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2,518</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 option exercises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48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 stock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1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w:t>
            </w:r>
          </w:p>
        </w:tc>
        <w:tc>
          <w:tcPr>
            <w:tcW w:w="95" w:type="dxa"/>
            <w:tcBorders/>
            <w:shd w:fill="CCEEFF" w:val="clear"/>
            <w:vAlign w:val="center"/>
          </w:tcPr>
          <w:p>
            <w:pPr>
              <w:pStyle w:val="TableContents"/>
              <w:bidi w:val="0"/>
              <w:spacing w:before="0" w:after="283"/>
              <w:jc w:val="left"/>
              <w:rPr/>
            </w:pPr>
            <w:r>
              <w:rPr/>
              <w:t> </w:t>
            </w:r>
          </w:p>
        </w:tc>
      </w:tr>
      <w:tr>
        <w:trPr/>
        <w:tc>
          <w:tcPr>
            <w:tcW w:w="25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48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95" w:type="dxa"/>
            <w:tcBorders/>
            <w:shd w:fill="FFFFFF" w:val="clear"/>
            <w:vAlign w:val="center"/>
          </w:tcPr>
          <w:p>
            <w:pPr>
              <w:pStyle w:val="TableContents"/>
              <w:bidi w:val="0"/>
              <w:spacing w:before="0" w:after="283"/>
              <w:jc w:val="left"/>
              <w:rPr/>
            </w:pPr>
            <w:r>
              <w:rPr/>
              <w:t> </w:t>
            </w:r>
          </w:p>
        </w:tc>
      </w:tr>
      <w:tr>
        <w:trPr/>
        <w:tc>
          <w:tcPr>
            <w:tcW w:w="25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6"/>
              </w:rPr>
            </w:pPr>
            <w:r>
              <w:rPr>
                <w:rFonts w:ascii="Times New Roman;Times;serif" w:hAnsi="Times New Roman;Times;serif"/>
                <w:b/>
                <w:caps w:val="false"/>
                <w:smallCaps w:val="false"/>
                <w:sz w:val="16"/>
              </w:rPr>
              <w:t xml:space="preserve">Balance </w:t>
            </w:r>
            <w:r>
              <w:rPr>
                <w:rFonts w:ascii="Times New Roman;Times;serif" w:hAnsi="Times New Roman;Times;serif"/>
                <w:caps w:val="false"/>
                <w:smallCaps w:val="false"/>
                <w:sz w:val="16"/>
              </w:rPr>
              <w:t xml:space="preserve">– </w:t>
            </w:r>
            <w:r>
              <w:rPr>
                <w:rFonts w:ascii="Times New Roman;Times;serif" w:hAnsi="Times New Roman;Times;serif"/>
                <w:b/>
                <w:caps w:val="false"/>
                <w:smallCaps w:val="false"/>
                <w:sz w:val="16"/>
              </w:rPr>
              <w:t>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21,099,383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192,983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(2,846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(38,248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(21,492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132,601</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w:t>
            </w:r>
          </w:p>
        </w:tc>
        <w:tc>
          <w:tcPr>
            <w:tcW w:w="242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December 31, 2025 consolidated balance sheet information referenced herein was derived from audited financial statements but does not include all disclosures required by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items previously reported in specific financial statement captions have been reclassified to conform to the current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Business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importation of certain raw materials and components used in the manufacture of its products, the Company previously paid tariffs imposed pursuant to the International Emergency Economic Powers Act ("IEEPA"). Such tariff costs were included in inventory and recognized in cost of products sold as the related inventory was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second quarter of 2026, the Company received cash refunds of previously paid IEEPA tariffs following legal developments related to the validity of certain IEEPA tariffs and the implementation of refund procedures by U.S. Customs and Border Protection. The Company accounts for IEEPA tariff refunds as gain contingencies and recognizes such amounts only when the related contingencies have been resolved and the amounts are realized or realizable. Accordingly, during the three- and six-month periods ended June 30, 2026, the Company recognized a net refund of $1,102 as a reduction of cost of products sold, representing the recovery of tariff costs previously recognized in earnings. The tariff costs related to the refund recognized as a reduction of cost of products sold were not charged to customers and therefore not payable to customers. Additional refunds received related to tariff costs capitalized in inventory on hand at June 30, 2026 were recorded as a reduction of inventory and will be recognized in cost of products sold as the related inventory is sold in future periods. The refund was received in cash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continues to evaluate potential claims for additional IEEPA tariff refunds. Additional recoveries remain subject to governmental review, claim validation, administrative processing and ongoing legal proceedings. Accordingly, as of June 30, 2026, the Company had not recorded a receivable or recognized any amounts related to potential future IEEPA tariff recoveries as realization of such amounts is not considered sufficiently probable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Recent Accounting Guidance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2024, the FASB issued ASU 2024-03 “Income Statement—Reporting Comprehensive Income—Expense Disaggregation Disclosures (Subtopic 220-40): Disaggregation of Income Statement Expenses” which requires public entities to disclose specified information about certain costs and expenses. ASU 2024-03 is effective for the Company’s annual reporting period beginning January 1, 2027, and interim reporting periods beginning January 1, 2028, with early adoption permitted. The Company is currently evaluating the impact that ASU 2024-03 will have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15" w:type="dxa"/>
        <w:jc w:val="left"/>
        <w:tblInd w:w="0" w:type="dxa"/>
        <w:tblLayout w:type="fixed"/>
        <w:tblCellMar>
          <w:top w:w="0" w:type="dxa"/>
          <w:left w:w="0" w:type="dxa"/>
          <w:bottom w:w="0" w:type="dxa"/>
          <w:right w:w="0" w:type="dxa"/>
        </w:tblCellMar>
      </w:tblPr>
      <w:tblGrid>
        <w:gridCol w:w="170"/>
        <w:gridCol w:w="54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w:t>
            </w:r>
          </w:p>
        </w:tc>
        <w:tc>
          <w:tcPr>
            <w:tcW w:w="54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31, 2024, Ultralife, SWE, CLB, Excell USA, and Electrochem, as borrowers, and certain other subsidiaries of the Company, entered into a new Credit and Security Agreement with KeyBank National Association (“KeyBank” or the “Bank”), as lender and administrative agent (the “New Credit Agreement”). The proceeds of the loans under the New Credit Agreement were used, in part, to repay outstanding indebtedness under the Company’s then existing Credit and Security Agreement with KeyBank (the “Amended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New Credit Agreement, among other things, provides in its term loan provisions for a 5-year, $55 million senior secured term loan (the “Term Loan” or “Term Loan Facility”). The Term Loan is subject to repayment in quarterly installments commencing March 31, 2025, in amounts as set forth in the New Credit Agreement. Interest is payable on the unpaid principal outstanding under the Term Loan. All amounts of unpaid principal and accrued and unpaid interest remaining due under the Term Loan are scheduled to be paid in full October 31,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closing of the acquisition of all issued and outstanding shares of Electrochem on October 31, 2024, the Company borrowed the full amount of the Term Loan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had $45,125 outstanding principal on the Term Loan, $1,750 of which is included in current portion of long-term debt on the consolidated balance sheets, and no amounts outstanding on the Revolving Credit Facility. As of June 30, 2026, unamortized debt issuance costs associated with the Term Loan of $521 are classified on the consolidated balance sheets as a reduction of long-term debt, and unamortized debt issuance costs associated with the Revolving Credit Facility of $360 are classified on the consolidated balance sheets as other noncurrent assets. Debt issuance costs include lender fees and certain costs paid to third parties, including legal and accountant fees, and are amortized to interest expense over the term of the New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New Credit Agreement also provides under its revolving credit provisions for revolving loans, letters of credit, and swing loans (“Revolving Credit Facility”). Upon the effectiveness of the New Credit Agreement, any amounts outstanding under letters of credit issued pursuant to the Amended Credit Agreement became issued under the New Credit Agreement. The availability under the Revolving Credit Facility is subject to certain borrowing base limits based on trade receivables and inventories. All unpaid principal and accrued and unpaid interest with respect to the Revolving Credit Facility is due and payable in full on October 31,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may voluntarily prepay principal amounts outstanding under the New Credit Agreement at any time subject to certain advance notifications and other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customary affirmative and negative covenants, the Company must maintain a consolidated fixed charge coverage ratio, as defined in the New Credit Agreement, of equal to or greater than 1.15 to 1.00 for the fiscal quarter ending March 31, 2025, and for each fiscal quarter thereafter, as calculated for the four (4) consecutive fiscal quarters ending on such date, and a consolidated senior leverage ratio, as defined in the New Credit Agreement, not to exceed (i) 3.50 to 1.00 for the fiscal quarters ending March 31, 2025 through December 31, 2025, (ii) 3.25 to 1.00 for the fiscal quarters ending March 31, 2026 through December 31, 2026, (iii) 3.00 to 1.00 for the fiscal quarter ending March 31, 2027 and on the last day of each fiscal quarter thereafter, for the remaining term of the New Credit Agreement. The Company was in full compliance with its covenants under the New Credit Agreement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Borrowings under the New Credit Agreement are secured by substantially all the assets of the Company and certain of its present and future subsidiaries who are or become parties to, or guarantors under the New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will accrue on outstanding indebtedness under the Term Loan Facility and Revolving Credit Facilities at a variable rate of interest based on designated interest rate benchmarks plus a varying margin determined by reference to the consolidated senior leverage ratio in effect from time to time. Our borrowing rate was 6.11%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must pay a fee of twenty, twenty-five or thirty basis points (depending on the consolidated senior leverage ratio in effect from time to time) based on the average daily unused availability under the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must make payments to the extent borrowings exceed the maximum amount then permitted to be borrowed and from the proceeds of certain transactions. Upon the occurrence of an event of default, the outstanding obligations may be accelerated, and the Bank will have other customary remedies including resort to the security interest the Company provided to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Future minimum principal repayment obligations on our New Credit Agreement as of June 30, 2026 are as follows:</w:t>
      </w:r>
    </w:p>
    <w:p>
      <w:pPr>
        <w:pStyle w:val="TextBody"/>
        <w:bidi w:val="0"/>
        <w:spacing w:before="0" w:after="0"/>
        <w:ind w:left="0" w:right="0" w:hanging="0"/>
        <w:jc w:val="left"/>
        <w:rPr>
          <w:caps w:val="false"/>
          <w:smallCaps w:val="false"/>
        </w:rPr>
      </w:pPr>
      <w:r>
        <w:rPr>
          <w:caps w:val="false"/>
          <w:smallCaps w:val="false"/>
        </w:rPr>
        <w:t> </w:t>
      </w:r>
    </w:p>
    <w:tbl>
      <w:tblPr>
        <w:tblW w:w="1290" w:type="dxa"/>
        <w:jc w:val="left"/>
        <w:tblInd w:w="0" w:type="dxa"/>
        <w:tblLayout w:type="fixed"/>
        <w:tblCellMar>
          <w:top w:w="0" w:type="dxa"/>
          <w:left w:w="0" w:type="dxa"/>
          <w:bottom w:w="0" w:type="dxa"/>
          <w:right w:w="0" w:type="dxa"/>
        </w:tblCellMar>
      </w:tblPr>
      <w:tblGrid>
        <w:gridCol w:w="455"/>
        <w:gridCol w:w="60"/>
        <w:gridCol w:w="125"/>
        <w:gridCol w:w="590"/>
        <w:gridCol w:w="60"/>
      </w:tblGrid>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60" w:type="dxa"/>
            <w:tcBorders/>
            <w:shd w:fill="CCEEFF" w:val="clear"/>
            <w:vAlign w:val="center"/>
          </w:tcPr>
          <w:p>
            <w:pPr>
              <w:pStyle w:val="TableContents"/>
              <w:bidi w:val="0"/>
              <w:spacing w:before="0" w:after="283"/>
              <w:jc w:val="left"/>
              <w:rPr/>
            </w:pPr>
            <w:r>
              <w:rPr/>
              <w:t> </w:t>
            </w:r>
          </w:p>
        </w:tc>
      </w:tr>
      <w:tr>
        <w:trPr/>
        <w:tc>
          <w:tcPr>
            <w:tcW w:w="4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35,125</w:t>
            </w:r>
          </w:p>
        </w:tc>
        <w:tc>
          <w:tcPr>
            <w:tcW w:w="60" w:type="dxa"/>
            <w:tcBorders/>
            <w:shd w:fill="FFFFFF" w:val="clear"/>
            <w:vAlign w:val="center"/>
          </w:tcPr>
          <w:p>
            <w:pPr>
              <w:pStyle w:val="TableContents"/>
              <w:bidi w:val="0"/>
              <w:spacing w:before="0" w:after="283"/>
              <w:jc w:val="left"/>
              <w:rPr/>
            </w:pPr>
            <w:r>
              <w:rPr/>
              <w:t> </w:t>
            </w:r>
          </w:p>
        </w:tc>
      </w:tr>
      <w:tr>
        <w:trPr/>
        <w:tc>
          <w:tcPr>
            <w:tcW w:w="4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45,125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w:t>
            </w:r>
          </w:p>
        </w:tc>
        <w:tc>
          <w:tcPr>
            <w:tcW w:w="215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(loss) per share (“EPS”) is computed by dividing net income (loss) attributable to Ultralife by the weighted average shares outstanding during the period. Diluted EPS includes the dilutive effect of securities when the average market price exceeds the exercise price of the securities, if any, and is calculated using the treasury stock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three-month period ended June 30, 2026, there were 295,455 outstanding stock options and 19,543 unvested restricted stock awards included in the calculation of diluted weighted average shares outstanding, as such securities were dilutive, resulting in 55,268 potential common shares included in the calculation of diluted EPS. For the comparable three-month period ended June 30, 2025, there were 214,971 outstanding stock options and 35,486 unvested restricted stock awards included in the calculation of diluted weighted average shares outstanding, as such securities were dilutive, resulting in 21,856 potential common shares included in the calculation of diluted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649,990 outstanding stock options for the three-month period ended June 30, 2026, and 783,093 outstanding stock options for the comparable three-month period ended June 30, 2025, that were not included in the calculation of diluted weighted average shares outstanding as the effect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six-month period ended June 30, 2026, there were 203,705 outstanding stock options and 19,543 unvested restricted stock awards included in the calculation of diluted weighted average shares outstanding, resulting in 44,992 potential common shares included in the calculation of diluted EPS. For the comparable six-month period ended June 30, 2025, there were 214,971 outstanding stock options and 35,486 unvested restricted stock awards included in the calculation of diluted weighted average shares outstanding, resulting in 37,237 potential common shares included in the calculation of diluted EPS.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741,740 and 783,093 outstanding stock options for the six-month periods ended June 30, 2026 and 2025, respectively, not included in the calculation of diluted weighted average shares outstanding as the effect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170"/>
        <w:gridCol w:w="46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w:t>
            </w:r>
          </w:p>
        </w:tc>
        <w:tc>
          <w:tcPr>
            <w:tcW w:w="468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SUPPLEMENTAL BALANCE SHEET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Measurements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financial instruments approximated their carrying values at June 30, 2026, and December 31, 2025. The fair value of cash, accounts receivable, accounts payable, accrued liabilities, and the current portion of long-term debt approximates carrying value due to the short-term nature of these instruments. The carrying value of long-term debt approximates fair value, as the variable interest rates approximate current market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are stated at the lower of cost or net realizable value, net of obsolescence reserves, with cost determined under the first-in, first-out (FIFO) method. The composition of inventories, net was:</w:t>
      </w:r>
    </w:p>
    <w:p>
      <w:pPr>
        <w:pStyle w:val="TextBody"/>
        <w:bidi w:val="0"/>
        <w:spacing w:before="0" w:after="0"/>
        <w:ind w:left="0" w:right="0" w:hanging="0"/>
        <w:jc w:val="left"/>
        <w:rPr>
          <w:caps w:val="false"/>
          <w:smallCaps w:val="false"/>
        </w:rPr>
      </w:pPr>
      <w:r>
        <w:rPr>
          <w:caps w:val="false"/>
          <w:smallCaps w:val="false"/>
        </w:rPr>
        <w:t> </w:t>
      </w:r>
    </w:p>
    <w:tbl>
      <w:tblPr>
        <w:tblW w:w="3463" w:type="dxa"/>
        <w:jc w:val="left"/>
        <w:tblInd w:w="0" w:type="dxa"/>
        <w:tblLayout w:type="fixed"/>
        <w:tblCellMar>
          <w:top w:w="0" w:type="dxa"/>
          <w:left w:w="0" w:type="dxa"/>
          <w:bottom w:w="0" w:type="dxa"/>
          <w:right w:w="0" w:type="dxa"/>
        </w:tblCellMar>
      </w:tblPr>
      <w:tblGrid>
        <w:gridCol w:w="1325"/>
        <w:gridCol w:w="60"/>
        <w:gridCol w:w="126"/>
        <w:gridCol w:w="598"/>
        <w:gridCol w:w="60"/>
        <w:gridCol w:w="60"/>
        <w:gridCol w:w="204"/>
        <w:gridCol w:w="970"/>
        <w:gridCol w:w="60"/>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42,150</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4,045</w:t>
            </w:r>
          </w:p>
        </w:tc>
        <w:tc>
          <w:tcPr>
            <w:tcW w:w="60"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7,813</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Property, Plant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Major classes of property, plant and equipment consisted of the following:</w:t>
      </w:r>
    </w:p>
    <w:p>
      <w:pPr>
        <w:pStyle w:val="TextBody"/>
        <w:bidi w:val="0"/>
        <w:spacing w:before="0" w:after="0"/>
        <w:ind w:left="0" w:right="0" w:firstLine="180"/>
        <w:jc w:val="left"/>
        <w:rPr>
          <w:caps w:val="false"/>
          <w:smallCaps w:val="false"/>
        </w:rPr>
      </w:pPr>
      <w:r>
        <w:rPr>
          <w:caps w:val="false"/>
          <w:smallCaps w:val="false"/>
        </w:rPr>
        <w:t> </w:t>
      </w:r>
    </w:p>
    <w:tbl>
      <w:tblPr>
        <w:tblW w:w="5474" w:type="dxa"/>
        <w:jc w:val="left"/>
        <w:tblInd w:w="0" w:type="dxa"/>
        <w:tblLayout w:type="fixed"/>
        <w:tblCellMar>
          <w:top w:w="0" w:type="dxa"/>
          <w:left w:w="0" w:type="dxa"/>
          <w:bottom w:w="0" w:type="dxa"/>
          <w:right w:w="0" w:type="dxa"/>
        </w:tblCellMar>
      </w:tblPr>
      <w:tblGrid>
        <w:gridCol w:w="3200"/>
        <w:gridCol w:w="60"/>
        <w:gridCol w:w="125"/>
        <w:gridCol w:w="695"/>
        <w:gridCol w:w="80"/>
        <w:gridCol w:w="60"/>
        <w:gridCol w:w="178"/>
        <w:gridCol w:w="996"/>
        <w:gridCol w:w="80"/>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4,693</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leasehold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30,179</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63,556</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3,195</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hardware and software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8,164</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process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w:t>
            </w:r>
          </w:p>
        </w:tc>
        <w:tc>
          <w:tcPr>
            <w:tcW w:w="8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112,916</w:t>
            </w:r>
          </w:p>
        </w:tc>
        <w:tc>
          <w:tcPr>
            <w:tcW w:w="8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(72,519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40,397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expense for property, plant and equipment was as follows:</w:t>
      </w:r>
    </w:p>
    <w:p>
      <w:pPr>
        <w:pStyle w:val="TextBody"/>
        <w:bidi w:val="0"/>
        <w:spacing w:before="0" w:after="0"/>
        <w:ind w:left="0" w:right="0" w:hanging="0"/>
        <w:jc w:val="left"/>
        <w:rPr>
          <w:caps w:val="false"/>
          <w:smallCaps w:val="false"/>
        </w:rPr>
      </w:pPr>
      <w:r>
        <w:rPr>
          <w:caps w:val="false"/>
          <w:smallCaps w:val="false"/>
        </w:rPr>
        <w:t> </w:t>
      </w:r>
    </w:p>
    <w:tbl>
      <w:tblPr>
        <w:tblW w:w="6307" w:type="dxa"/>
        <w:jc w:val="left"/>
        <w:tblInd w:w="0" w:type="dxa"/>
        <w:tblLayout w:type="fixed"/>
        <w:tblCellMar>
          <w:top w:w="0" w:type="dxa"/>
          <w:left w:w="0" w:type="dxa"/>
          <w:bottom w:w="0" w:type="dxa"/>
          <w:right w:w="0" w:type="dxa"/>
        </w:tblCellMar>
      </w:tblPr>
      <w:tblGrid>
        <w:gridCol w:w="1775"/>
        <w:gridCol w:w="60"/>
        <w:gridCol w:w="211"/>
        <w:gridCol w:w="821"/>
        <w:gridCol w:w="101"/>
        <w:gridCol w:w="101"/>
        <w:gridCol w:w="211"/>
        <w:gridCol w:w="821"/>
        <w:gridCol w:w="60"/>
        <w:gridCol w:w="60"/>
        <w:gridCol w:w="189"/>
        <w:gridCol w:w="734"/>
        <w:gridCol w:w="90"/>
        <w:gridCol w:w="90"/>
        <w:gridCol w:w="189"/>
        <w:gridCol w:w="734"/>
        <w:gridCol w:w="60"/>
      </w:tblGrid>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Three-month period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Six-month period ended</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0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1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0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goodwill activity by segment for the six-month period ended June 30, 2026:</w:t>
      </w:r>
    </w:p>
    <w:p>
      <w:pPr>
        <w:pStyle w:val="TextBody"/>
        <w:bidi w:val="0"/>
        <w:spacing w:before="0" w:after="0"/>
        <w:ind w:left="0" w:right="0" w:hanging="0"/>
        <w:jc w:val="both"/>
        <w:rPr>
          <w:caps w:val="false"/>
          <w:smallCaps w:val="false"/>
        </w:rPr>
      </w:pPr>
      <w:r>
        <w:rPr>
          <w:caps w:val="false"/>
          <w:smallCaps w:val="false"/>
        </w:rPr>
        <w:t> </w:t>
      </w:r>
    </w:p>
    <w:tbl>
      <w:tblPr>
        <w:tblW w:w="6499" w:type="dxa"/>
        <w:jc w:val="left"/>
        <w:tblInd w:w="0" w:type="dxa"/>
        <w:tblLayout w:type="fixed"/>
        <w:tblCellMar>
          <w:top w:w="0" w:type="dxa"/>
          <w:left w:w="0" w:type="dxa"/>
          <w:bottom w:w="0" w:type="dxa"/>
          <w:right w:w="0" w:type="dxa"/>
        </w:tblCellMar>
      </w:tblPr>
      <w:tblGrid>
        <w:gridCol w:w="3005"/>
        <w:gridCol w:w="60"/>
        <w:gridCol w:w="160"/>
        <w:gridCol w:w="759"/>
        <w:gridCol w:w="80"/>
        <w:gridCol w:w="60"/>
        <w:gridCol w:w="255"/>
        <w:gridCol w:w="1205"/>
        <w:gridCol w:w="60"/>
        <w:gridCol w:w="60"/>
        <w:gridCol w:w="125"/>
        <w:gridCol w:w="590"/>
        <w:gridCol w:w="8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vAlign w:val="center"/>
          </w:tcPr>
          <w:p>
            <w:pPr>
              <w:pStyle w:val="TableContents"/>
              <w:bidi w:val="0"/>
              <w:jc w:val="center"/>
              <w:rPr>
                <w:rFonts w:ascii="Times New Roman;Times;serif" w:hAnsi="Times New Roman;Times;serif"/>
                <w:sz w:val="20"/>
              </w:rPr>
            </w:pPr>
            <w:r>
              <w:rPr>
                <w:rFonts w:ascii="Times New Roman;Times;serif" w:hAnsi="Times New Roman;Times;serif"/>
                <w:b/>
                <w:sz w:val="20"/>
              </w:rPr>
              <w:t>Battery &amp;</w:t>
            </w:r>
            <w:r>
              <w:rPr>
                <w:rFonts w:ascii="Times New Roman;Times;serif" w:hAnsi="Times New Roman;Times;serif"/>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Energy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Communications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Systems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45,376</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currency translation</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45,369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composition of other intangible assets was:</w:t>
      </w:r>
    </w:p>
    <w:p>
      <w:pPr>
        <w:pStyle w:val="TextBody"/>
        <w:bidi w:val="0"/>
        <w:spacing w:before="0" w:after="0"/>
        <w:ind w:left="0" w:right="0" w:hanging="0"/>
        <w:jc w:val="both"/>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2315"/>
        <w:gridCol w:w="60"/>
        <w:gridCol w:w="125"/>
        <w:gridCol w:w="590"/>
        <w:gridCol w:w="60"/>
        <w:gridCol w:w="60"/>
        <w:gridCol w:w="202"/>
        <w:gridCol w:w="958"/>
        <w:gridCol w:w="60"/>
        <w:gridCol w:w="60"/>
        <w:gridCol w:w="125"/>
        <w:gridCol w:w="590"/>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3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at June 30, 2026</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tc>
        <w:tc>
          <w:tcPr>
            <w:tcW w:w="6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9,482</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technology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795</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65" w:type="dxa"/>
        <w:jc w:val="left"/>
        <w:tblInd w:w="0" w:type="dxa"/>
        <w:tblLayout w:type="fixed"/>
        <w:tblCellMar>
          <w:top w:w="0" w:type="dxa"/>
          <w:left w:w="0" w:type="dxa"/>
          <w:bottom w:w="0" w:type="dxa"/>
          <w:right w:w="0" w:type="dxa"/>
        </w:tblCellMar>
      </w:tblPr>
      <w:tblGrid>
        <w:gridCol w:w="2315"/>
        <w:gridCol w:w="60"/>
        <w:gridCol w:w="125"/>
        <w:gridCol w:w="590"/>
        <w:gridCol w:w="60"/>
        <w:gridCol w:w="60"/>
        <w:gridCol w:w="202"/>
        <w:gridCol w:w="958"/>
        <w:gridCol w:w="60"/>
        <w:gridCol w:w="60"/>
        <w:gridCol w:w="125"/>
        <w:gridCol w:w="590"/>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3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at December 31, 2025</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tc>
        <w:tc>
          <w:tcPr>
            <w:tcW w:w="60"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9,973</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technology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change in the cost of total intangible assets from December 31, 2025, to June 30, 2026, is the effect of foreign currency translations.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Amortization expense for other intangible assets was as follows:</w:t>
      </w:r>
    </w:p>
    <w:p>
      <w:pPr>
        <w:pStyle w:val="TextBody"/>
        <w:bidi w:val="0"/>
        <w:spacing w:before="0" w:after="0"/>
        <w:ind w:left="0" w:right="0" w:hanging="0"/>
        <w:jc w:val="left"/>
        <w:rPr>
          <w:caps w:val="false"/>
          <w:smallCaps w:val="false"/>
        </w:rPr>
      </w:pPr>
      <w:r>
        <w:rPr>
          <w:caps w:val="false"/>
          <w:smallCaps w:val="false"/>
        </w:rPr>
        <w:t> </w:t>
      </w:r>
    </w:p>
    <w:tbl>
      <w:tblPr>
        <w:tblW w:w="7389" w:type="dxa"/>
        <w:jc w:val="left"/>
        <w:tblInd w:w="0" w:type="dxa"/>
        <w:tblLayout w:type="fixed"/>
        <w:tblCellMar>
          <w:top w:w="0" w:type="dxa"/>
          <w:left w:w="0" w:type="dxa"/>
          <w:bottom w:w="0" w:type="dxa"/>
          <w:right w:w="0" w:type="dxa"/>
        </w:tblCellMar>
      </w:tblPr>
      <w:tblGrid>
        <w:gridCol w:w="2855"/>
        <w:gridCol w:w="60"/>
        <w:gridCol w:w="271"/>
        <w:gridCol w:w="729"/>
        <w:gridCol w:w="130"/>
        <w:gridCol w:w="130"/>
        <w:gridCol w:w="271"/>
        <w:gridCol w:w="737"/>
        <w:gridCol w:w="60"/>
        <w:gridCol w:w="60"/>
        <w:gridCol w:w="243"/>
        <w:gridCol w:w="653"/>
        <w:gridCol w:w="117"/>
        <w:gridCol w:w="117"/>
        <w:gridCol w:w="243"/>
        <w:gridCol w:w="653"/>
        <w:gridCol w:w="60"/>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Three-month period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Six-month period ended</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100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ind w:left="0" w:right="0" w:hanging="0"/>
              <w:jc w:val="left"/>
              <w:rPr/>
            </w:pPr>
            <w:r>
              <w:rPr/>
              <w:t> </w:t>
            </w:r>
          </w:p>
        </w:tc>
        <w:tc>
          <w:tcPr>
            <w:tcW w:w="89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10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7"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included in:</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both"/>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both"/>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2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w:t>
            </w:r>
          </w:p>
        </w:tc>
        <w:tc>
          <w:tcPr>
            <w:tcW w:w="6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115" w:type="dxa"/>
        <w:jc w:val="left"/>
        <w:tblInd w:w="0" w:type="dxa"/>
        <w:tblLayout w:type="fixed"/>
        <w:tblCellMar>
          <w:top w:w="0" w:type="dxa"/>
          <w:left w:w="0" w:type="dxa"/>
          <w:bottom w:w="0" w:type="dxa"/>
          <w:right w:w="0" w:type="dxa"/>
        </w:tblCellMar>
      </w:tblPr>
      <w:tblGrid>
        <w:gridCol w:w="170"/>
        <w:gridCol w:w="294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w:t>
            </w:r>
          </w:p>
        </w:tc>
        <w:tc>
          <w:tcPr>
            <w:tcW w:w="294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recorded non-cash stock compensation expense in each period as follows:</w:t>
      </w:r>
    </w:p>
    <w:p>
      <w:pPr>
        <w:pStyle w:val="TextBody"/>
        <w:bidi w:val="0"/>
        <w:spacing w:before="0" w:after="0"/>
        <w:ind w:left="0" w:right="0" w:hanging="0"/>
        <w:jc w:val="left"/>
        <w:rPr>
          <w:caps w:val="false"/>
          <w:smallCaps w:val="false"/>
        </w:rPr>
      </w:pPr>
      <w:r>
        <w:rPr>
          <w:caps w:val="false"/>
          <w:smallCaps w:val="false"/>
        </w:rPr>
        <w:t> </w:t>
      </w:r>
    </w:p>
    <w:tbl>
      <w:tblPr>
        <w:tblW w:w="5859" w:type="dxa"/>
        <w:jc w:val="left"/>
        <w:tblInd w:w="0" w:type="dxa"/>
        <w:tblLayout w:type="fixed"/>
        <w:tblCellMar>
          <w:top w:w="0" w:type="dxa"/>
          <w:left w:w="0" w:type="dxa"/>
          <w:bottom w:w="0" w:type="dxa"/>
          <w:right w:w="0" w:type="dxa"/>
        </w:tblCellMar>
      </w:tblPr>
      <w:tblGrid>
        <w:gridCol w:w="1325"/>
        <w:gridCol w:w="60"/>
        <w:gridCol w:w="303"/>
        <w:gridCol w:w="556"/>
        <w:gridCol w:w="144"/>
        <w:gridCol w:w="144"/>
        <w:gridCol w:w="303"/>
        <w:gridCol w:w="817"/>
        <w:gridCol w:w="60"/>
        <w:gridCol w:w="60"/>
        <w:gridCol w:w="239"/>
        <w:gridCol w:w="641"/>
        <w:gridCol w:w="153"/>
        <w:gridCol w:w="114"/>
        <w:gridCol w:w="239"/>
        <w:gridCol w:w="641"/>
        <w:gridCol w:w="60"/>
      </w:tblGrid>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6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Three-month period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Six-month period ended</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53"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4"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ind w:left="0" w:right="0" w:hanging="0"/>
              <w:jc w:val="left"/>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3"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3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5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 w:type="dxa"/>
            <w:tcBorders/>
            <w:shd w:fill="FFFFFF" w:val="clear"/>
            <w:vAlign w:val="center"/>
          </w:tcPr>
          <w:p>
            <w:pPr>
              <w:pStyle w:val="TableContents"/>
              <w:bidi w:val="0"/>
              <w:spacing w:before="0" w:after="283"/>
              <w:jc w:val="left"/>
              <w:rPr/>
            </w:pPr>
            <w:r>
              <w:rPr/>
              <w:t> </w:t>
            </w:r>
          </w:p>
        </w:tc>
        <w:tc>
          <w:tcPr>
            <w:tcW w:w="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60"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44"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53"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stock options outstanding from various stock-based employee compensation plans for which we record compensation cost relating to share-based payment transactions in our financial statements. As of June 30, 2026, there was $232 of total unrecognized compensation cost related to outstanding stock options, which is expected to be recognized over a weighted average period of 0.8 years.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stock option activity for the six-month period ended June 30, 2026:</w:t>
      </w:r>
    </w:p>
    <w:p>
      <w:pPr>
        <w:pStyle w:val="TextBody"/>
        <w:bidi w:val="0"/>
        <w:spacing w:before="0" w:after="0"/>
        <w:ind w:left="0" w:right="0" w:hanging="0"/>
        <w:jc w:val="left"/>
        <w:rPr>
          <w:caps w:val="false"/>
          <w:smallCaps w:val="false"/>
        </w:rPr>
      </w:pPr>
      <w:r>
        <w:rPr>
          <w:caps w:val="false"/>
          <w:smallCaps w:val="false"/>
        </w:rPr>
        <w:t> </w:t>
      </w:r>
    </w:p>
    <w:tbl>
      <w:tblPr>
        <w:tblW w:w="8037" w:type="dxa"/>
        <w:jc w:val="left"/>
        <w:tblInd w:w="0" w:type="dxa"/>
        <w:tblLayout w:type="fixed"/>
        <w:tblCellMar>
          <w:top w:w="0" w:type="dxa"/>
          <w:left w:w="0" w:type="dxa"/>
          <w:bottom w:w="0" w:type="dxa"/>
          <w:right w:w="0" w:type="dxa"/>
        </w:tblCellMar>
      </w:tblPr>
      <w:tblGrid>
        <w:gridCol w:w="3665"/>
        <w:gridCol w:w="60"/>
        <w:gridCol w:w="76"/>
        <w:gridCol w:w="888"/>
        <w:gridCol w:w="80"/>
        <w:gridCol w:w="60"/>
        <w:gridCol w:w="216"/>
        <w:gridCol w:w="658"/>
        <w:gridCol w:w="60"/>
        <w:gridCol w:w="60"/>
        <w:gridCol w:w="153"/>
        <w:gridCol w:w="976"/>
        <w:gridCol w:w="60"/>
        <w:gridCol w:w="60"/>
        <w:gridCol w:w="245"/>
        <w:gridCol w:w="660"/>
        <w:gridCol w:w="60"/>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Weighted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Contractual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Intrinsic</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January 1, 2026</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967,351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 or expired</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June 30, 2026</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CCEEFF" w:val="clear"/>
            <w:vAlign w:val="center"/>
          </w:tcPr>
          <w:p>
            <w:pPr>
              <w:pStyle w:val="TableContents"/>
              <w:bidi w:val="0"/>
              <w:spacing w:before="0" w:after="283"/>
              <w:jc w:val="left"/>
              <w:rPr/>
            </w:pPr>
            <w:r>
              <w:rPr/>
              <w:t> </w:t>
            </w:r>
          </w:p>
        </w:tc>
      </w:tr>
      <w:tr>
        <w:trPr/>
        <w:tc>
          <w:tcPr>
            <w:tcW w:w="36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 at June 30, 2026</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892,666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60" w:type="dxa"/>
            <w:tcBorders/>
            <w:shd w:fill="FFFFFF" w:val="clear"/>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Exercisable at June 30, 2026</w:t>
            </w:r>
          </w:p>
        </w:tc>
        <w:tc>
          <w:tcPr>
            <w:tcW w:w="60" w:type="dxa"/>
            <w:tcBorders/>
            <w:shd w:fill="CCEEFF" w:val="clear"/>
            <w:vAlign w:val="center"/>
          </w:tcPr>
          <w:p>
            <w:pPr>
              <w:pStyle w:val="TableContents"/>
              <w:bidi w:val="0"/>
              <w:spacing w:before="0" w:after="283"/>
              <w:jc w:val="left"/>
              <w:rPr/>
            </w:pPr>
            <w:r>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726,427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received from stock option exercises under our stock-based compensation plans for the three-month periods ended June 30, 2026, and June 30, 2025, was $36 and $61, respectively. Cash received from stock option exercises under our stock-based compensation plans for the six-month periods ended June 30, 2026, and June 30, 2025, was $36 and $61,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Restricted stock awards vest in equal annual installments over three (3) years. Unrecognized compensation cost related to unvested restricted shares at June 30, 2026, and 2025, respectively, was $59 and $171.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660" w:type="dxa"/>
        <w:jc w:val="left"/>
        <w:tblInd w:w="0" w:type="dxa"/>
        <w:tblLayout w:type="fixed"/>
        <w:tblCellMar>
          <w:top w:w="0" w:type="dxa"/>
          <w:left w:w="0" w:type="dxa"/>
          <w:bottom w:w="0" w:type="dxa"/>
          <w:right w:w="0" w:type="dxa"/>
        </w:tblCellMar>
      </w:tblPr>
      <w:tblGrid>
        <w:gridCol w:w="170"/>
        <w:gridCol w:w="14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6.</w:t>
            </w:r>
          </w:p>
        </w:tc>
        <w:tc>
          <w:tcPr>
            <w:tcW w:w="149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effective tax rate for the six-month periods ended June 30, 2026, and 2025 was 11.9% and 22.8%, respectively. The period-over-period change was primarily attributable to the geographic mix of our operating results and other income recognized on nontaxable refundable tax credits under the 45X Advanced Manufacturing Production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4, 2025, the One Big Beautiful Bill Act was signed into law in the United States which includes a broad range of tax provisions affecting businesses. The legislation has multiple effective dates, with certain provisions effective in 2025 and others implemented through 2027. The Company has included the estimated impacts of the bill in the consolidated financial statements for the three-month and six-month periods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our federal net operating loss (“NOL”) carryforwards, state net operating loss carryforwards, and federal general business tax credit carryforwards were $8,800, $5,100 and $3,400, respectively. Our domestic net operating loss carryforwards begin to expire in 2031. Our federal general business tax credit carryforwards begin to expire in 2028. As of June 30, 2026, management has concluded it is more likely than not that these domestic NOL and credit carryforwards will be fully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we have not recognized a valuation allowance against our other foreign deferred tax assets, as realization is considered to be more likely than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maintains its assertion that all foreign earnings will be indefinitely reinvested in those operations, other than earnings generated in the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unrecognized tax benefits related to uncertain tax positions at June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our operations, we file income tax returns in various jurisdictions including U.S. federal, U.S. state and foreign jurisdictions. We are routinely subject to examination by taxing authorities in these various jurisdictions. Our U.S. tax matters for 2022 thru 2024 remain subject to IRS examination. Our U.S. tax matters for 2005-2007, 2009, and 2011-2015 also remain subject to IRS examination due to the remaining availability of net operating loss carryforwards generated in those years. Our U.S. tax matters for 2015 thru 2024 remain subject to examination by various state and local tax jurisdictions. Our tax matters for the years 2015 through 2024 remain subject to examination by the respective foreign tax jurisdiction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170"/>
        <w:gridCol w:w="19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w:t>
            </w:r>
          </w:p>
        </w:tc>
        <w:tc>
          <w:tcPr>
            <w:tcW w:w="197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LEASES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operating leases predominantly for operating facilities. As of June 30, 2026, the remaining lease terms on our operating leases range from approximately one (1) year to six (6) years. Lease terms include renewal options reasonably certain of exercise. There is no transfer of title or option to purchase the leased assets upon expiration. There are no residual value guarantees or material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lease expense for the current and prior-year comparative periods were as follows:</w:t>
      </w:r>
    </w:p>
    <w:p>
      <w:pPr>
        <w:pStyle w:val="TextBody"/>
        <w:bidi w:val="0"/>
        <w:spacing w:before="0" w:after="0"/>
        <w:ind w:left="0" w:right="0" w:hanging="0"/>
        <w:jc w:val="left"/>
        <w:rPr>
          <w:caps w:val="false"/>
          <w:smallCaps w:val="false"/>
        </w:rPr>
      </w:pPr>
      <w:r>
        <w:rPr>
          <w:caps w:val="false"/>
          <w:smallCaps w:val="false"/>
        </w:rPr>
        <w:t> </w:t>
      </w:r>
    </w:p>
    <w:tbl>
      <w:tblPr>
        <w:tblW w:w="5346" w:type="dxa"/>
        <w:jc w:val="left"/>
        <w:tblInd w:w="0" w:type="dxa"/>
        <w:tblLayout w:type="fixed"/>
        <w:tblCellMar>
          <w:top w:w="0" w:type="dxa"/>
          <w:left w:w="0" w:type="dxa"/>
          <w:bottom w:w="0" w:type="dxa"/>
          <w:right w:w="0" w:type="dxa"/>
        </w:tblCellMar>
      </w:tblPr>
      <w:tblGrid>
        <w:gridCol w:w="1655"/>
        <w:gridCol w:w="60"/>
        <w:gridCol w:w="208"/>
        <w:gridCol w:w="561"/>
        <w:gridCol w:w="99"/>
        <w:gridCol w:w="99"/>
        <w:gridCol w:w="208"/>
        <w:gridCol w:w="566"/>
        <w:gridCol w:w="60"/>
        <w:gridCol w:w="60"/>
        <w:gridCol w:w="208"/>
        <w:gridCol w:w="561"/>
        <w:gridCol w:w="86"/>
        <w:gridCol w:w="86"/>
        <w:gridCol w:w="208"/>
        <w:gridCol w:w="561"/>
        <w:gridCol w:w="60"/>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Six-months ended</w:t>
            </w:r>
          </w:p>
        </w:tc>
        <w:tc>
          <w:tcPr>
            <w:tcW w:w="60" w:type="dxa"/>
            <w:tcBorders/>
            <w:vAlign w:val="center"/>
          </w:tcPr>
          <w:p>
            <w:pPr>
              <w:pStyle w:val="TableContents"/>
              <w:bidi w:val="0"/>
              <w:spacing w:before="0" w:after="283"/>
              <w:jc w:val="left"/>
              <w:rPr/>
            </w:pPr>
            <w:r>
              <w:rPr/>
              <w:t> </w:t>
            </w:r>
          </w:p>
        </w:tc>
      </w:tr>
      <w:tr>
        <w:trPr/>
        <w:tc>
          <w:tcPr>
            <w:tcW w:w="165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7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60" w:type="dxa"/>
            <w:tcBorders/>
            <w:shd w:fill="CCEEFF" w:val="clear"/>
            <w:vAlign w:val="center"/>
          </w:tcPr>
          <w:p>
            <w:pPr>
              <w:pStyle w:val="TableContents"/>
              <w:bidi w:val="0"/>
              <w:spacing w:before="0" w:after="283"/>
              <w:jc w:val="left"/>
              <w:rPr/>
            </w:pPr>
            <w:r>
              <w:rPr/>
              <w:t> </w:t>
            </w:r>
          </w:p>
        </w:tc>
      </w:tr>
      <w:tr>
        <w:trPr/>
        <w:tc>
          <w:tcPr>
            <w:tcW w:w="16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r>
      <w:tr>
        <w:trPr/>
        <w:tc>
          <w:tcPr>
            <w:tcW w:w="16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663" w:type="dxa"/>
        <w:jc w:val="left"/>
        <w:tblInd w:w="0" w:type="dxa"/>
        <w:tblLayout w:type="fixed"/>
        <w:tblCellMar>
          <w:top w:w="0" w:type="dxa"/>
          <w:left w:w="0" w:type="dxa"/>
          <w:bottom w:w="0" w:type="dxa"/>
          <w:right w:w="0" w:type="dxa"/>
        </w:tblCellMar>
      </w:tblPr>
      <w:tblGrid>
        <w:gridCol w:w="5765"/>
        <w:gridCol w:w="60"/>
        <w:gridCol w:w="334"/>
        <w:gridCol w:w="895"/>
        <w:gridCol w:w="160"/>
        <w:gridCol w:w="160"/>
        <w:gridCol w:w="334"/>
        <w:gridCol w:w="895"/>
        <w:gridCol w:w="6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7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Six-month period ended June 30,</w:t>
            </w:r>
          </w:p>
        </w:tc>
        <w:tc>
          <w:tcPr>
            <w:tcW w:w="6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ind w:left="0" w:right="0" w:hanging="0"/>
              <w:jc w:val="left"/>
              <w:rPr/>
            </w:pPr>
            <w:r>
              <w:rPr/>
              <w:t> </w:t>
            </w:r>
          </w:p>
        </w:tc>
        <w:tc>
          <w:tcPr>
            <w:tcW w:w="12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ind w:left="0" w:right="0" w:hanging="0"/>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bottom w:val="single" w:sz="2" w:space="0" w:color="000000"/>
            </w:tcBorders>
            <w:shd w:fill="FFFFFF" w:val="clear"/>
            <w:tcMar>
              <w:bottom w:w="28" w:type="dxa"/>
            </w:tcM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3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7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lease liabilities:</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3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Supplemental consolidated balance sheet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9703" w:type="dxa"/>
        <w:jc w:val="left"/>
        <w:tblInd w:w="0" w:type="dxa"/>
        <w:tblLayout w:type="fixed"/>
        <w:tblCellMar>
          <w:top w:w="0" w:type="dxa"/>
          <w:left w:w="0" w:type="dxa"/>
          <w:bottom w:w="0" w:type="dxa"/>
          <w:right w:w="0" w:type="dxa"/>
        </w:tblCellMar>
      </w:tblPr>
      <w:tblGrid>
        <w:gridCol w:w="3800"/>
        <w:gridCol w:w="3725"/>
        <w:gridCol w:w="60"/>
        <w:gridCol w:w="157"/>
        <w:gridCol w:w="612"/>
        <w:gridCol w:w="185"/>
        <w:gridCol w:w="60"/>
        <w:gridCol w:w="188"/>
        <w:gridCol w:w="731"/>
        <w:gridCol w:w="185"/>
      </w:tblGrid>
      <w:tr>
        <w:trPr/>
        <w:tc>
          <w:tcPr>
            <w:tcW w:w="3800" w:type="dxa"/>
            <w:tcBorders/>
            <w:vAlign w:val="center"/>
          </w:tcPr>
          <w:p>
            <w:pPr>
              <w:pStyle w:val="TableContents"/>
              <w:bidi w:val="0"/>
              <w:spacing w:before="0" w:after="283"/>
              <w:ind w:left="0" w:right="0" w:hanging="0"/>
              <w:jc w:val="left"/>
              <w:rPr/>
            </w:pPr>
            <w:r>
              <w:rPr/>
              <w:t> </w:t>
            </w:r>
          </w:p>
        </w:tc>
        <w:tc>
          <w:tcPr>
            <w:tcW w:w="37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classification</w:t>
            </w:r>
          </w:p>
        </w:tc>
        <w:tc>
          <w:tcPr>
            <w:tcW w:w="60" w:type="dxa"/>
            <w:tcBorders/>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31, 2025</w:t>
            </w:r>
          </w:p>
        </w:tc>
        <w:tc>
          <w:tcPr>
            <w:tcW w:w="185" w:type="dxa"/>
            <w:tcBorders/>
            <w:vAlign w:val="center"/>
          </w:tcPr>
          <w:p>
            <w:pPr>
              <w:pStyle w:val="TableContents"/>
              <w:bidi w:val="0"/>
              <w:spacing w:before="0" w:after="283"/>
              <w:ind w:left="0" w:right="0" w:hanging="0"/>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3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w:t>
            </w:r>
          </w:p>
        </w:tc>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3,344</w:t>
            </w:r>
          </w:p>
        </w:tc>
        <w:tc>
          <w:tcPr>
            <w:tcW w:w="18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 </w:t>
            </w:r>
          </w:p>
        </w:tc>
        <w:tc>
          <w:tcPr>
            <w:tcW w:w="3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731"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liability</w:t>
            </w:r>
          </w:p>
        </w:tc>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current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net of current portion</w:t>
            </w:r>
          </w:p>
        </w:tc>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752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liability</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752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3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752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Future minimum lease payments as of June 30, 2026, are as follows:</w:t>
      </w:r>
    </w:p>
    <w:p>
      <w:pPr>
        <w:pStyle w:val="TextBody"/>
        <w:bidi w:val="0"/>
        <w:spacing w:before="0" w:after="0"/>
        <w:ind w:left="0" w:right="0" w:hanging="0"/>
        <w:jc w:val="left"/>
        <w:rPr>
          <w:caps w:val="false"/>
          <w:smallCaps w:val="false"/>
        </w:rPr>
      </w:pPr>
      <w:r>
        <w:rPr>
          <w:caps w:val="false"/>
          <w:smallCaps w:val="false"/>
        </w:rPr>
        <w:t> </w:t>
      </w:r>
    </w:p>
    <w:tbl>
      <w:tblPr>
        <w:tblW w:w="4205" w:type="dxa"/>
        <w:jc w:val="left"/>
        <w:tblInd w:w="0" w:type="dxa"/>
        <w:tblLayout w:type="fixed"/>
        <w:tblCellMar>
          <w:top w:w="0" w:type="dxa"/>
          <w:left w:w="0" w:type="dxa"/>
          <w:bottom w:w="28" w:type="dxa"/>
          <w:right w:w="0" w:type="dxa"/>
        </w:tblCellMar>
      </w:tblPr>
      <w:tblGrid>
        <w:gridCol w:w="3455"/>
        <w:gridCol w:w="60"/>
        <w:gridCol w:w="125"/>
        <w:gridCol w:w="485"/>
        <w:gridCol w:w="80"/>
      </w:tblGrid>
      <w:tr>
        <w:trPr/>
        <w:tc>
          <w:tcPr>
            <w:tcW w:w="3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Maturity of operating lease liabilities</w:t>
            </w:r>
          </w:p>
        </w:tc>
        <w:tc>
          <w:tcPr>
            <w:tcW w:w="60" w:type="dxa"/>
            <w:tcBorders>
              <w:bottom w:val="single" w:sz="2" w:space="0" w:color="000000"/>
            </w:tcBorders>
            <w:vAlign w:val="center"/>
          </w:tcPr>
          <w:p>
            <w:pPr>
              <w:pStyle w:val="TableContents"/>
              <w:bidi w:val="0"/>
              <w:spacing w:before="0" w:after="283"/>
              <w:jc w:val="left"/>
              <w:rPr/>
            </w:pPr>
            <w:r>
              <w:rPr/>
              <w:t> </w:t>
            </w:r>
          </w:p>
        </w:tc>
        <w:tc>
          <w:tcPr>
            <w:tcW w:w="125" w:type="dxa"/>
            <w:tcBorders>
              <w:bottom w:val="single" w:sz="2" w:space="0" w:color="000000"/>
            </w:tcBorders>
            <w:vAlign w:val="center"/>
          </w:tcPr>
          <w:p>
            <w:pPr>
              <w:pStyle w:val="TableContents"/>
              <w:bidi w:val="0"/>
              <w:spacing w:before="0" w:after="283"/>
              <w:jc w:val="left"/>
              <w:rPr/>
            </w:pPr>
            <w:r>
              <w:rPr/>
              <w:t> </w:t>
            </w:r>
          </w:p>
        </w:tc>
        <w:tc>
          <w:tcPr>
            <w:tcW w:w="485" w:type="dxa"/>
            <w:tcBorders>
              <w:bottom w:val="single" w:sz="2" w:space="0" w:color="000000"/>
            </w:tcBorders>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4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remaining lease payments</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2,906</w:t>
            </w:r>
          </w:p>
        </w:tc>
        <w:tc>
          <w:tcPr>
            <w:tcW w:w="8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170"/>
        <w:gridCol w:w="360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8.</w:t>
            </w:r>
          </w:p>
        </w:tc>
        <w:tc>
          <w:tcPr>
            <w:tcW w:w="360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Purchase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we have made commitments to purchase approximately $301 of production machinery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Product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six months of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6372" w:type="dxa"/>
        <w:jc w:val="left"/>
        <w:tblInd w:w="0" w:type="dxa"/>
        <w:tblLayout w:type="fixed"/>
        <w:tblCellMar>
          <w:top w:w="0" w:type="dxa"/>
          <w:left w:w="0" w:type="dxa"/>
          <w:bottom w:w="0" w:type="dxa"/>
          <w:right w:w="0" w:type="dxa"/>
        </w:tblCellMar>
      </w:tblPr>
      <w:tblGrid>
        <w:gridCol w:w="3455"/>
        <w:gridCol w:w="60"/>
        <w:gridCol w:w="273"/>
        <w:gridCol w:w="1061"/>
        <w:gridCol w:w="175"/>
        <w:gridCol w:w="131"/>
        <w:gridCol w:w="273"/>
        <w:gridCol w:w="864"/>
        <w:gridCol w:w="8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Six-month period ended June 30,</w:t>
            </w:r>
          </w:p>
        </w:tc>
        <w:tc>
          <w:tcPr>
            <w:tcW w:w="8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warranty obligations – beginning</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p>
        </w:tc>
        <w:tc>
          <w:tcPr>
            <w:tcW w:w="17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Accruals for warranties issued</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10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 made</w:t>
            </w:r>
          </w:p>
        </w:tc>
        <w:tc>
          <w:tcPr>
            <w:tcW w:w="60"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rPr/>
            </w:pPr>
            <w:r>
              <w:rPr/>
              <w:t> </w:t>
            </w:r>
          </w:p>
        </w:tc>
        <w:tc>
          <w:tcPr>
            <w:tcW w:w="2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warranty obligations – ending</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w:t>
            </w:r>
          </w:p>
        </w:tc>
        <w:tc>
          <w:tcPr>
            <w:tcW w:w="175"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Contingencies and 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170"/>
        <w:gridCol w:w="236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9.</w:t>
            </w:r>
          </w:p>
        </w:tc>
        <w:tc>
          <w:tcPr>
            <w:tcW w:w="236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sheets. For the three-month and six-month periods ended June 30, 2026, revenue recognized on extended warranties was $75 and $149,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there was deferred revenue on extended warranty contracts of $706, comprised of $298expected to be recognized as revenue within one (1) year and classified as accrued expenses and other current liabilities on our consolidated balance sheets, and $408 expected to be recognized as revenue over the remaining duration of the respective contracts and classified as other noncurrent liabilities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there was deferred revenue on extended warranty contracts of $855, comprised of $298 expected to be recognized as revenue within one (1) year and classified as accrued expenses and other current liabilities on our consolidated balance sheets, and $557 expected to be recognized as revenue over the remaining duration of the respective contracts and classified as other noncurrent liabilities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and December 31, 2025,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275"/>
        <w:gridCol w:w="338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w:t>
            </w:r>
          </w:p>
        </w:tc>
        <w:tc>
          <w:tcPr>
            <w:tcW w:w="338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segments represent a component of the Company that engages in business activities from which it may recognize revenues and incur expenses whose operating results are regularly reviewed by the public entity’s chief operating decision maker (“CODM”) to make decisions about resources to be allocated to the segment and assess its performance, and for which discrete financial information is available. Upon identification of operating segments, the Company determines which of those operating segments are required to be presented as reportable segments based on the quantitative thresholds.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structure our operations primarily around the products we sell and report our financial results in the following two reportable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CODM is Mike Manna, President &amp; Chief Executive Officer. Both of our operating segments are regularly reviewed by the CODM through weekly revenue, gross margin and consolidated financial forecast updates, bi-weekly business and financial reviews to assess business performance, top priorities, utilization of resources and to regularly communicate with segment management, who are part of the CODM’s executive leadership team, and monthly meetings with the executive leadership team. In his role as CODM, Mr. Manna is deeply involved in business operations through daily updates by the segment management and ongoing financial, revenue and operations discussions.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primary financial measures used by the CODM to monitor and evaluate resource allocation and the performance of the operating segments is segment contribution, as defined by gross profit less direct selling, general and administrative (“SG&amp;A”) and research and development expenses. This metric is used as a consistent benchmark for comparison across reporting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significant segment expenses regularly reviewed by the CODM and included in segment contribution are cost of products sold and direct R&amp;D and SG&amp;A expenses. There are no other segment items included in segment contribution beyond the significant expenses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Corporate general and administrative (“G&amp;A”) expenses, including costs associated with our acquisitions, include corporate functions including board of directors, executive officers, accounting &amp; finance, human resources, legal, information technology and their related functional expenses. These costs are not directly allocable to the operating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CODM does not review segment assets at a level other than that presented in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Three-month period ended June 30, 2026:</w:t>
      </w:r>
    </w:p>
    <w:p>
      <w:pPr>
        <w:pStyle w:val="TextBody"/>
        <w:bidi w:val="0"/>
        <w:spacing w:before="0" w:after="0"/>
        <w:ind w:left="0" w:right="0" w:hanging="0"/>
        <w:jc w:val="left"/>
        <w:rPr>
          <w:caps w:val="false"/>
          <w:smallCaps w:val="false"/>
        </w:rPr>
      </w:pPr>
      <w:r>
        <w:rPr>
          <w:caps w:val="false"/>
          <w:smallCaps w:val="false"/>
        </w:rPr>
        <w:t> </w:t>
      </w:r>
    </w:p>
    <w:tbl>
      <w:tblPr>
        <w:tblW w:w="8764" w:type="dxa"/>
        <w:jc w:val="left"/>
        <w:tblInd w:w="0" w:type="dxa"/>
        <w:tblLayout w:type="fixed"/>
        <w:tblCellMar>
          <w:top w:w="0" w:type="dxa"/>
          <w:left w:w="0" w:type="dxa"/>
          <w:bottom w:w="0" w:type="dxa"/>
          <w:right w:w="0" w:type="dxa"/>
        </w:tblCellMar>
      </w:tblPr>
      <w:tblGrid>
        <w:gridCol w:w="4100"/>
        <w:gridCol w:w="60"/>
        <w:gridCol w:w="140"/>
        <w:gridCol w:w="779"/>
        <w:gridCol w:w="80"/>
        <w:gridCol w:w="60"/>
        <w:gridCol w:w="255"/>
        <w:gridCol w:w="1205"/>
        <w:gridCol w:w="80"/>
        <w:gridCol w:w="60"/>
        <w:gridCol w:w="158"/>
        <w:gridCol w:w="747"/>
        <w:gridCol w:w="80"/>
        <w:gridCol w:w="60"/>
        <w:gridCol w:w="125"/>
        <w:gridCol w:w="695"/>
        <w:gridCol w:w="8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Battery &amp;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Energy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Communications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Systems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47,943</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13,866</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SG&amp;A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contribution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5,936</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G&amp;A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3,437</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Ultralife Corporation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216,157</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of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Three-month period ended June 30, 2025:</w:t>
      </w:r>
    </w:p>
    <w:p>
      <w:pPr>
        <w:pStyle w:val="TextBody"/>
        <w:bidi w:val="0"/>
        <w:spacing w:before="0" w:after="0"/>
        <w:ind w:left="0" w:right="0" w:hanging="0"/>
        <w:jc w:val="left"/>
        <w:rPr>
          <w:caps w:val="false"/>
          <w:smallCaps w:val="false"/>
        </w:rPr>
      </w:pPr>
      <w:r>
        <w:rPr>
          <w:caps w:val="false"/>
          <w:smallCaps w:val="false"/>
        </w:rPr>
        <w:t> </w:t>
      </w:r>
    </w:p>
    <w:tbl>
      <w:tblPr>
        <w:tblW w:w="8719" w:type="dxa"/>
        <w:jc w:val="left"/>
        <w:tblInd w:w="0" w:type="dxa"/>
        <w:tblLayout w:type="fixed"/>
        <w:tblCellMar>
          <w:top w:w="0" w:type="dxa"/>
          <w:left w:w="0" w:type="dxa"/>
          <w:bottom w:w="0" w:type="dxa"/>
          <w:right w:w="0" w:type="dxa"/>
        </w:tblCellMar>
      </w:tblPr>
      <w:tblGrid>
        <w:gridCol w:w="4100"/>
        <w:gridCol w:w="60"/>
        <w:gridCol w:w="133"/>
        <w:gridCol w:w="741"/>
        <w:gridCol w:w="80"/>
        <w:gridCol w:w="60"/>
        <w:gridCol w:w="255"/>
        <w:gridCol w:w="1205"/>
        <w:gridCol w:w="80"/>
        <w:gridCol w:w="60"/>
        <w:gridCol w:w="158"/>
        <w:gridCol w:w="747"/>
        <w:gridCol w:w="80"/>
        <w:gridCol w:w="60"/>
        <w:gridCol w:w="125"/>
        <w:gridCol w:w="695"/>
        <w:gridCol w:w="8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Battery &amp;</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Energy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Communications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Systems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48,561</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11,601</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SG&amp;A expenses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contribution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4,875</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G&amp;A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Ultralife Corporation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220,961</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of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Six-month period ended June 30, 2026:</w:t>
      </w:r>
    </w:p>
    <w:p>
      <w:pPr>
        <w:pStyle w:val="TextBody"/>
        <w:bidi w:val="0"/>
        <w:spacing w:before="0" w:after="0"/>
        <w:ind w:left="0" w:right="0" w:hanging="0"/>
        <w:jc w:val="left"/>
        <w:rPr>
          <w:caps w:val="false"/>
          <w:smallCaps w:val="false"/>
        </w:rPr>
      </w:pPr>
      <w:r>
        <w:rPr>
          <w:caps w:val="false"/>
          <w:smallCaps w:val="false"/>
        </w:rPr>
        <w:t> </w:t>
      </w:r>
    </w:p>
    <w:tbl>
      <w:tblPr>
        <w:tblW w:w="8719" w:type="dxa"/>
        <w:jc w:val="left"/>
        <w:tblInd w:w="0" w:type="dxa"/>
        <w:tblLayout w:type="fixed"/>
        <w:tblCellMar>
          <w:top w:w="0" w:type="dxa"/>
          <w:left w:w="0" w:type="dxa"/>
          <w:bottom w:w="0" w:type="dxa"/>
          <w:right w:w="0" w:type="dxa"/>
        </w:tblCellMar>
      </w:tblPr>
      <w:tblGrid>
        <w:gridCol w:w="4100"/>
        <w:gridCol w:w="60"/>
        <w:gridCol w:w="133"/>
        <w:gridCol w:w="741"/>
        <w:gridCol w:w="80"/>
        <w:gridCol w:w="60"/>
        <w:gridCol w:w="255"/>
        <w:gridCol w:w="1205"/>
        <w:gridCol w:w="80"/>
        <w:gridCol w:w="60"/>
        <w:gridCol w:w="158"/>
        <w:gridCol w:w="747"/>
        <w:gridCol w:w="80"/>
        <w:gridCol w:w="60"/>
        <w:gridCol w:w="125"/>
        <w:gridCol w:w="695"/>
        <w:gridCol w:w="8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Battery &amp;</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Energy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Communications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Systems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95,388</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23,976</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SG&amp;A expenses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contribution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8,625</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G&amp;A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3,222</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Ultralife Corporation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216,157</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of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Six-month period ended June 30, 2025:</w:t>
      </w:r>
    </w:p>
    <w:p>
      <w:pPr>
        <w:pStyle w:val="TextBody"/>
        <w:bidi w:val="0"/>
        <w:spacing w:before="0" w:after="0"/>
        <w:ind w:left="0" w:right="0" w:hanging="0"/>
        <w:jc w:val="left"/>
        <w:rPr>
          <w:caps w:val="false"/>
          <w:smallCaps w:val="false"/>
        </w:rPr>
      </w:pPr>
      <w:r>
        <w:rPr>
          <w:caps w:val="false"/>
          <w:smallCaps w:val="false"/>
        </w:rPr>
        <w:t> </w:t>
      </w:r>
    </w:p>
    <w:tbl>
      <w:tblPr>
        <w:tblW w:w="8719" w:type="dxa"/>
        <w:jc w:val="left"/>
        <w:tblInd w:w="0" w:type="dxa"/>
        <w:tblLayout w:type="fixed"/>
        <w:tblCellMar>
          <w:top w:w="0" w:type="dxa"/>
          <w:left w:w="0" w:type="dxa"/>
          <w:bottom w:w="0" w:type="dxa"/>
          <w:right w:w="0" w:type="dxa"/>
        </w:tblCellMar>
      </w:tblPr>
      <w:tblGrid>
        <w:gridCol w:w="4100"/>
        <w:gridCol w:w="60"/>
        <w:gridCol w:w="133"/>
        <w:gridCol w:w="741"/>
        <w:gridCol w:w="80"/>
        <w:gridCol w:w="60"/>
        <w:gridCol w:w="255"/>
        <w:gridCol w:w="1205"/>
        <w:gridCol w:w="80"/>
        <w:gridCol w:w="60"/>
        <w:gridCol w:w="158"/>
        <w:gridCol w:w="747"/>
        <w:gridCol w:w="80"/>
        <w:gridCol w:w="60"/>
        <w:gridCol w:w="125"/>
        <w:gridCol w:w="695"/>
        <w:gridCol w:w="80"/>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Battery &amp;</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Energy</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Products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Communications</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Systems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Corporate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99,307</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products sold</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24,346</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SG&amp;A expenses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contribution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10,985</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G&amp;A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5,655</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Ultralife Corporation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220,961</w:t>
            </w:r>
          </w:p>
        </w:tc>
        <w:tc>
          <w:tcPr>
            <w:tcW w:w="80"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of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disaggregate our business segment revenues by major source and geography.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Commercial and Government/Defense Revenue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Three-month period ended June 30, 2026:</w:t>
      </w:r>
    </w:p>
    <w:p>
      <w:pPr>
        <w:pStyle w:val="TextBody"/>
        <w:bidi w:val="0"/>
        <w:spacing w:before="0" w:after="0"/>
        <w:ind w:left="0" w:right="0" w:firstLine="180"/>
        <w:jc w:val="both"/>
        <w:rPr>
          <w:caps w:val="false"/>
          <w:smallCaps w:val="false"/>
        </w:rPr>
      </w:pPr>
      <w:r>
        <w:rPr>
          <w:caps w:val="false"/>
          <w:smallCaps w:val="false"/>
        </w:rPr>
        <w:t> </w:t>
      </w:r>
    </w:p>
    <w:tbl>
      <w:tblPr>
        <w:tblW w:w="5669" w:type="dxa"/>
        <w:jc w:val="left"/>
        <w:tblInd w:w="0" w:type="dxa"/>
        <w:tblLayout w:type="fixed"/>
        <w:tblCellMar>
          <w:top w:w="0" w:type="dxa"/>
          <w:left w:w="0" w:type="dxa"/>
          <w:bottom w:w="0" w:type="dxa"/>
          <w:right w:w="0" w:type="dxa"/>
        </w:tblCellMar>
      </w:tblPr>
      <w:tblGrid>
        <w:gridCol w:w="2210"/>
        <w:gridCol w:w="60"/>
        <w:gridCol w:w="129"/>
        <w:gridCol w:w="611"/>
        <w:gridCol w:w="60"/>
        <w:gridCol w:w="60"/>
        <w:gridCol w:w="176"/>
        <w:gridCol w:w="834"/>
        <w:gridCol w:w="185"/>
        <w:gridCol w:w="60"/>
        <w:gridCol w:w="189"/>
        <w:gridCol w:w="895"/>
        <w:gridCol w:w="200"/>
      </w:tblGrid>
      <w:tr>
        <w:trPr/>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Defense</w:t>
            </w:r>
          </w:p>
        </w:tc>
        <w:tc>
          <w:tcPr>
            <w:tcW w:w="20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14,329</w:t>
            </w:r>
          </w:p>
        </w:tc>
        <w:tc>
          <w:tcPr>
            <w:tcW w:w="20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3,754</w:t>
            </w:r>
          </w:p>
        </w:tc>
        <w:tc>
          <w:tcPr>
            <w:tcW w:w="20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18,083</w:t>
            </w:r>
          </w:p>
        </w:tc>
        <w:tc>
          <w:tcPr>
            <w:tcW w:w="20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00"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Three-month period ended June 30, 2025:</w:t>
      </w:r>
    </w:p>
    <w:p>
      <w:pPr>
        <w:pStyle w:val="TextBody"/>
        <w:bidi w:val="0"/>
        <w:spacing w:before="0" w:after="0"/>
        <w:ind w:left="0" w:right="0" w:firstLine="180"/>
        <w:jc w:val="both"/>
        <w:rPr>
          <w:caps w:val="false"/>
          <w:smallCaps w:val="false"/>
        </w:rPr>
      </w:pPr>
      <w:r>
        <w:rPr>
          <w:caps w:val="false"/>
          <w:smallCaps w:val="false"/>
        </w:rPr>
        <w:t> </w:t>
      </w:r>
    </w:p>
    <w:tbl>
      <w:tblPr>
        <w:tblW w:w="5639" w:type="dxa"/>
        <w:jc w:val="left"/>
        <w:tblInd w:w="0" w:type="dxa"/>
        <w:tblLayout w:type="fixed"/>
        <w:tblCellMar>
          <w:top w:w="0" w:type="dxa"/>
          <w:left w:w="0" w:type="dxa"/>
          <w:bottom w:w="0" w:type="dxa"/>
          <w:right w:w="0" w:type="dxa"/>
        </w:tblCellMar>
      </w:tblPr>
      <w:tblGrid>
        <w:gridCol w:w="2195"/>
        <w:gridCol w:w="60"/>
        <w:gridCol w:w="129"/>
        <w:gridCol w:w="611"/>
        <w:gridCol w:w="60"/>
        <w:gridCol w:w="60"/>
        <w:gridCol w:w="176"/>
        <w:gridCol w:w="834"/>
        <w:gridCol w:w="185"/>
        <w:gridCol w:w="60"/>
        <w:gridCol w:w="189"/>
        <w:gridCol w:w="895"/>
        <w:gridCol w:w="18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Defense</w:t>
            </w:r>
          </w:p>
        </w:tc>
        <w:tc>
          <w:tcPr>
            <w:tcW w:w="18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14,534</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w:t>
            </w:r>
          </w:p>
        </w:tc>
        <w:tc>
          <w:tcPr>
            <w:tcW w:w="18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17,228</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Six-month period ended June 30, 2026:</w:t>
      </w:r>
    </w:p>
    <w:p>
      <w:pPr>
        <w:pStyle w:val="TextBody"/>
        <w:bidi w:val="0"/>
        <w:spacing w:before="0" w:after="0"/>
        <w:ind w:left="0" w:right="0" w:firstLine="180"/>
        <w:jc w:val="both"/>
        <w:rPr>
          <w:caps w:val="false"/>
          <w:smallCaps w:val="false"/>
        </w:rPr>
      </w:pPr>
      <w:r>
        <w:rPr>
          <w:caps w:val="false"/>
          <w:smallCaps w:val="false"/>
        </w:rPr>
        <w:t> </w:t>
      </w:r>
    </w:p>
    <w:tbl>
      <w:tblPr>
        <w:tblW w:w="5639" w:type="dxa"/>
        <w:jc w:val="left"/>
        <w:tblInd w:w="0" w:type="dxa"/>
        <w:tblLayout w:type="fixed"/>
        <w:tblCellMar>
          <w:top w:w="0" w:type="dxa"/>
          <w:left w:w="0" w:type="dxa"/>
          <w:bottom w:w="0" w:type="dxa"/>
          <w:right w:w="0" w:type="dxa"/>
        </w:tblCellMar>
      </w:tblPr>
      <w:tblGrid>
        <w:gridCol w:w="2195"/>
        <w:gridCol w:w="60"/>
        <w:gridCol w:w="129"/>
        <w:gridCol w:w="611"/>
        <w:gridCol w:w="60"/>
        <w:gridCol w:w="60"/>
        <w:gridCol w:w="176"/>
        <w:gridCol w:w="834"/>
        <w:gridCol w:w="185"/>
        <w:gridCol w:w="60"/>
        <w:gridCol w:w="189"/>
        <w:gridCol w:w="895"/>
        <w:gridCol w:w="18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Defense</w:t>
            </w:r>
          </w:p>
        </w:tc>
        <w:tc>
          <w:tcPr>
            <w:tcW w:w="18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60,361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27,983</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7,044</w:t>
            </w:r>
          </w:p>
        </w:tc>
        <w:tc>
          <w:tcPr>
            <w:tcW w:w="18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60,361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35,027</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Six-month period ended June 30, 2025:</w:t>
      </w:r>
    </w:p>
    <w:p>
      <w:pPr>
        <w:pStyle w:val="TextBody"/>
        <w:bidi w:val="0"/>
        <w:spacing w:before="0" w:after="0"/>
        <w:ind w:left="0" w:right="0" w:firstLine="180"/>
        <w:jc w:val="both"/>
        <w:rPr>
          <w:caps w:val="false"/>
          <w:smallCaps w:val="false"/>
        </w:rPr>
      </w:pPr>
      <w:r>
        <w:rPr>
          <w:caps w:val="false"/>
          <w:smallCaps w:val="false"/>
        </w:rPr>
        <w:t> </w:t>
      </w:r>
    </w:p>
    <w:tbl>
      <w:tblPr>
        <w:tblW w:w="5639" w:type="dxa"/>
        <w:jc w:val="left"/>
        <w:tblInd w:w="0" w:type="dxa"/>
        <w:tblLayout w:type="fixed"/>
        <w:tblCellMar>
          <w:top w:w="0" w:type="dxa"/>
          <w:left w:w="0" w:type="dxa"/>
          <w:bottom w:w="0" w:type="dxa"/>
          <w:right w:w="0" w:type="dxa"/>
        </w:tblCellMar>
      </w:tblPr>
      <w:tblGrid>
        <w:gridCol w:w="2195"/>
        <w:gridCol w:w="60"/>
        <w:gridCol w:w="129"/>
        <w:gridCol w:w="611"/>
        <w:gridCol w:w="60"/>
        <w:gridCol w:w="60"/>
        <w:gridCol w:w="176"/>
        <w:gridCol w:w="834"/>
        <w:gridCol w:w="185"/>
        <w:gridCol w:w="60"/>
        <w:gridCol w:w="189"/>
        <w:gridCol w:w="895"/>
        <w:gridCol w:w="18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Defense</w:t>
            </w:r>
          </w:p>
        </w:tc>
        <w:tc>
          <w:tcPr>
            <w:tcW w:w="18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28,568</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7,119</w:t>
            </w:r>
          </w:p>
        </w:tc>
        <w:tc>
          <w:tcPr>
            <w:tcW w:w="18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63,620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35,687</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8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U.S. and Non-U.S. Revenue Information1: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Three-month period ended June 30, 2026:</w:t>
      </w:r>
    </w:p>
    <w:p>
      <w:pPr>
        <w:pStyle w:val="TextBody"/>
        <w:bidi w:val="0"/>
        <w:spacing w:before="0" w:after="0"/>
        <w:ind w:left="0" w:right="0" w:firstLine="180"/>
        <w:jc w:val="both"/>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2195"/>
        <w:gridCol w:w="60"/>
        <w:gridCol w:w="129"/>
        <w:gridCol w:w="611"/>
        <w:gridCol w:w="60"/>
        <w:gridCol w:w="60"/>
        <w:gridCol w:w="125"/>
        <w:gridCol w:w="590"/>
        <w:gridCol w:w="185"/>
        <w:gridCol w:w="60"/>
        <w:gridCol w:w="171"/>
        <w:gridCol w:w="809"/>
        <w:gridCol w:w="18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18,132</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18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19,289</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Three-month period ended June 30, 2025:</w:t>
      </w:r>
    </w:p>
    <w:p>
      <w:pPr>
        <w:pStyle w:val="TextBody"/>
        <w:bidi w:val="0"/>
        <w:spacing w:before="0" w:after="0"/>
        <w:ind w:left="0" w:right="0" w:firstLine="180"/>
        <w:jc w:val="both"/>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2195"/>
        <w:gridCol w:w="60"/>
        <w:gridCol w:w="129"/>
        <w:gridCol w:w="611"/>
        <w:gridCol w:w="60"/>
        <w:gridCol w:w="60"/>
        <w:gridCol w:w="125"/>
        <w:gridCol w:w="590"/>
        <w:gridCol w:w="185"/>
        <w:gridCol w:w="60"/>
        <w:gridCol w:w="171"/>
        <w:gridCol w:w="809"/>
        <w:gridCol w:w="18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12,567</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18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35,364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13,197</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Six-month period ended June 30, 2026:</w:t>
      </w:r>
    </w:p>
    <w:p>
      <w:pPr>
        <w:pStyle w:val="TextBody"/>
        <w:bidi w:val="0"/>
        <w:spacing w:before="0" w:after="0"/>
        <w:ind w:left="0" w:right="0" w:firstLine="180"/>
        <w:jc w:val="both"/>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2195"/>
        <w:gridCol w:w="60"/>
        <w:gridCol w:w="129"/>
        <w:gridCol w:w="611"/>
        <w:gridCol w:w="60"/>
        <w:gridCol w:w="60"/>
        <w:gridCol w:w="125"/>
        <w:gridCol w:w="590"/>
        <w:gridCol w:w="185"/>
        <w:gridCol w:w="60"/>
        <w:gridCol w:w="171"/>
        <w:gridCol w:w="809"/>
        <w:gridCol w:w="18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33,343</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2,140</w:t>
            </w:r>
          </w:p>
        </w:tc>
        <w:tc>
          <w:tcPr>
            <w:tcW w:w="18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35,483</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Six-month period ended June 30, 2025:</w:t>
      </w:r>
    </w:p>
    <w:p>
      <w:pPr>
        <w:pStyle w:val="TextBody"/>
        <w:bidi w:val="0"/>
        <w:spacing w:before="0" w:after="0"/>
        <w:ind w:left="0" w:right="0" w:firstLine="180"/>
        <w:jc w:val="both"/>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2195"/>
        <w:gridCol w:w="60"/>
        <w:gridCol w:w="129"/>
        <w:gridCol w:w="611"/>
        <w:gridCol w:w="60"/>
        <w:gridCol w:w="60"/>
        <w:gridCol w:w="125"/>
        <w:gridCol w:w="590"/>
        <w:gridCol w:w="185"/>
        <w:gridCol w:w="60"/>
        <w:gridCol w:w="171"/>
        <w:gridCol w:w="809"/>
        <w:gridCol w:w="18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Non-United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States</w:t>
            </w:r>
          </w:p>
        </w:tc>
        <w:tc>
          <w:tcPr>
            <w:tcW w:w="18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23,706</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18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74,833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24,474</w:t>
            </w:r>
          </w:p>
        </w:tc>
        <w:tc>
          <w:tcPr>
            <w:tcW w:w="18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Sales classified to U.S. include shipments to U.S.-based prime contractors which in some cases may serve non-U.S.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Private Securities Litigation Reform Act of 1995 provides a “safe harbor” for forward-looking statements. This report contains certain forward-looking statements and information that are based on the beliefs of management as well as assumptions made by management and information currently available to management. The statements contained in this report relating to matters that are not historical facts are forward-looking statements that involve risks and uncertainties, including, but not limited to, uncertain global economic conditions including the impact of inflation, tariffs, interest rates and supply chain disruptions affecting our business, revenues and earnings adversely; our reliance on certain key customers for a significant portion of our revenues; reductions or delays in U.S. and foreign military spending; our efforts to develop new products or new commercial applications for our products could be prolonged; potential disruptions or delays in our supply of raw materials and components or material increases in their costs due to business conditions, new or additional tariffs, global conflicts, weather, sourcing requirements or other factors not under our control; our resources being overwhelmed by our growth; our ability to recruit and retain top management and key personnel; breaches in information systems security and other disruptions in our information technology systems; fluctuations in the price of oil and the resulting impact on the demand for downhole drilling; the unique risks associated with our China operations; possible future declines in demand for the products that use our batteries or communications systems; safety risks, including the risk of fire inherent in the manufacture, use and transportation of Lithium batteries; variability in our quarterly and annual results and the price of our common stock; purchases by our customers of product quantities not meeting the volume expectations in our supply agreements; rising interest rates increasing the cost of our variable borrowings; our inability to comply with changes to the regulations for the shipment of our products; our entrance into new end-markets which could lead to additional financial exposure; litigation or claims resulting in negative optics in the markets we serve and increased costs; the potential of future pandemics that may arise, causing delays in the manufacture and delivery of our mission critical products to end customers; potential costs attributable to the warranties we supply with our products and services; negative publicity concerning Lithium-ion batteries; rules and procedures regarding contracting with the U.S. and foreign governments; our exposure to foreign currency fluctuations; our ability to utilize our net operating loss carryforwards; the risk that we are unable to protect our proprietary and intellectual property; our ability to comply with government regulations including the use of “conflict minerals”; possible impairments of our goodwill and other intangible assets; known and unknown environmental matters; possible audits of our contracts by the U.S. and foreign governments and their respective defense agencies; exposure to possible violations of the U.S. Foreign Corrupt Practices Act, the U.K. Bribery Act or other anti-corruption laws;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“foresee,” “could,” “likely,” or words of similar import are intended to identify forward-looking statements. For further discussion of certain of the matters described above and other risks and uncertainties, see Item 1A, “Risk Factors”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base these forward-looking statements on assumptions that we believe are reasonable when made, we caution you that forward-looking statements do not guarantee future performance and that our actual results of operations, financial condition and liquidity and developments in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document, those results or developments may not be indicative of results or developments in subsequent periods. Given these risks and uncertainties, you are cautioned not to place undue reliance on these forward-looking statements. Any forward-looking statements that we make herein speak only as of the date of those statements, and we undertake no obligation to update those statements or to publicly announce the results of any revisions to any of those statements to reflect future events or developments. Comparisons of results for current and any prior periods are not intended to express any future trends or indications of future performance, unless expressed as such, and should only be viewed as historical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Undue reliance should not be placed on our forward-looking statements. Except as required by law, we disclaim any obligation to update any risk factors or to publicly announce the results of any revisions to any of the forward-looking statements to reflect new information or risks, future events or other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information in this MD&amp;A is presented in thousands of dollars, except for share and per share amounts, unless otherwise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and seeking opportunities to expand through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sell our products worldwide through a variety of trade channels, including original equipment manufacturers (“OEMs”), industrial and defense supply distributors, and directly to U.S. and foreign defense departments. Historically, we utilized the following brands, tradenames and trademarks (“sub-brands”) to promote our products in the markets we serve:  Ultralife®, Ultralife Thin Cell®, Ultralife HiRate®, Ultralife &amp; design®, LithiumPower®, LithiumPower &amp; Design®, SMART CIRCUIT®, SMARTCIRCUIT®, SMART CIRCUIT &amp; design®, SODIUMPOWER®, SODIUMPOWER (design)®, WE. ARE. POWER®, AMTI®, ABLE™, ACCUTRONICS™, ACCUPRO™, ENTELLION™, McDowell Research®, SWE DRILL-DATA®, SWE SEASAFE (&amp; DESIGN)®, SWE SEASAFE DIRECT®, SWE SOUTHWEST ELECTRONIC ENERGY CORP®, SWE Southwest Electronic Energy Group®, Excell Battery Group™ and Criterion Gauge™, POW-R BMS®, POW-R TOTE® and Electrochem®. As explained below, our rebranding initiative will eliminate or de-emphasize our reference to the sub-brands going forward. We have sales, operations and product development facilities in North America, Europe and 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our strategic evolution, in October 2025, Ultralife decided to undergo a comprehensive rebranding initiative that consolidates all sub-brands under a singular, unified master brand – Ultralife. This move reflects our commitment to clarity, consistency and amplified brand equity across all markets. By streamlining our global identity, we aim to strengthen customer recognition, enhance operational efficiency and better align to our customers’ needs with a singular, powerful brand narrative. To this end, the Accutronics, Southwest Electronic Energy, Excell Battery, McDowell Research and AMTI brands will no longer be emphasized. The Electrochem brand will remain, but as a product brand on select primary cells. We believe this transformation will position Ultralife for ongoing growth and stronger market impact as we continue to lead in mission critical battery and RF power solutions. This rebranding initiative had a non-cash impact of $12,181 to reduce the value of our tradename and trademark intangible assets recorded during our 2025 fourth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segment contribution, defined as gross profit less direct selling, general and administrative (“SG&amp;A”) and research and development expenses, is the best indicator of segment performance. As such, we report segment results at the segment contribution level. (See Note 10 in the notes to consolidated financial statements contained in Item 1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website address is www.ultralifecorporation.com. We make available free of charge via a hyperlink on our website (see Investors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revenues of $47,943 for the three-month period ended June 30, 2026, decreased by $618 or 1.3%, from $48,561 for the three-month period ended June 30, 2025, reflecting a 4.7% decline in commercial sales partially offset by a 5.0% increase in government/defense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was $13,866, or 28.9% of revenue, for the three-month period ended June 30, 2026, compared to $11,601, or 23.9% of revenue, for the same quarter a year ago. The 500-basis point increase primarily resulted from favorable sales product mix and the net refund of IEEPA tariffs which had been recognized as net costs in previous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expenses were $10,429 for the three-month period ending June 30, 2026, compared to $9,345 for the three-month period ended June 30, 2025, reflecting an increase in new product development costs related to continued investment in our product offering and certain one-time, non-recurring costs which amounted to $884 for the current period which represents a $558 increase over the non-recurring costs incurred in the prior year. Operating expenses for the 2026 period were 21.8% of revenue compared to 19.2% of revenue for the year-earlier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for the three-month period ended June 30, 2026, was $3,437, or 7.2% of revenues, compared to $2,256, or 4.6% of revenues, for the year-earlier period. The increase in operating income primarily resulted from the favorable product mix for our Battery &amp; Energy Products and Communications Systems segments and the net refund of IEEPA tariffs previously paid and recognized as costs in prior periods, partially offset by an increase in one-time, non-recurring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 for the second quarter of 2026 was $451 compared to $1,143 for the year-earlier quarter. The decrease for the 2026 period primarily reflects lower interest expense for the financing of our Electrochem acquisition with the continued paydown of the related term loan, the current period estimated portion of a refundable tax credit for certain qualifying battery cells and packs we manufacture under the 45X Advanced Manufacturing Production Tax Credit, established by the Inflation Reduction Act and running through 2032, and more favorable foreign currency rates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attributable to Ultralife Corporation was $2,543, or $0.15 per share – basic and diluted, for the three-month period ended June 30, 2026, compared to $879, or $0.05 per share – basic and diluted, for the three-month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defined as net income attributable to Ultralife Corporation before net interest expense, provision (benefit) for income taxes, depreciation and amortization, and stock-based compensation expense, plus/minus expenses/income that we do not consider reflective of our ongoing operations, amounted to $6,148, or 12.8% of revenues, for the second quarter of 2026, compared to $4,113, or 8.5% of revenues, for the second quarter of 2025. See the section “Adjusted EBITDA” on page 26 for a reconciliation of adjusted EBITDA to net income attributable to Ultralife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remain intently focused on converting our long-term new product development efforts into revenue, maintaining a strong focus on operational efficiency initiatives to improve our gross margins and advancing vertical integration in the oil &amp; gas segment. We believe these improvements, along with execution and replenishment of our backlog, position Ultralife to deliver sustainable profitable growth generating incremental cash flow for 2026 to further reduce debt, support strategic capital expenditures, continue our investment in new product development and maximize the value of our global brand.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Three-Month Periods Ended June 30, 2026, and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Revenues.</w:t>
      </w:r>
      <w:r>
        <w:rPr>
          <w:rFonts w:ascii="Times New Roman" w:hAnsi="Times New Roman"/>
          <w:caps w:val="false"/>
          <w:smallCaps w:val="false"/>
          <w:sz w:val="20"/>
        </w:rPr>
        <w:t xml:space="preserve"> Consolidated revenues for the three-month period ending June 30, 2026, were $47,943, a decrease of $618, or 1.3%, from $48,561 for the three-month period ended June 30, 2025. Overall, commercial sales decreased 4.7% and government/defense sales increased 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Battery &amp; Energy Products revenues decreased $1,678, or 3.7%, from $45,867 for the three-month period ended June 30, 2025, to $44,189 for the three-month period ended June 30, 2026. The revenue decline was primarily attributable to a 4.7% decrease in commercial sales due to an 8.7% decrease in oil &amp; gas and industrial sales, offsetting a 7.2% increase in medical battery sales, and a 1.4% decline in government/defense sales due to the shipment of a very large order for an allied country last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Communications Systems sales increased $1,060, or 39.3%, from $2,694 for the three-month period ended June 30, 2025, to $3,754 for the three-month period ended June 30, 2026, due primarily to the timing of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total backlog, which consists of unfilled orders or contracts for shipments in future periods, exiting the second quarter of 2026 was $117.5 million, the highest level in the Company’s history, compared to $115.1 million exiting the first quarter of 2026 and $84.5 million exiting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Cost of Products Sold / Gross Profit.</w:t>
      </w:r>
      <w:r>
        <w:rPr>
          <w:rFonts w:ascii="Times New Roman" w:hAnsi="Times New Roman"/>
          <w:caps w:val="false"/>
          <w:smallCaps w:val="false"/>
          <w:sz w:val="20"/>
        </w:rPr>
        <w:t xml:space="preserve"> Cost of products sold totaled $34,077 for the quarter ended June 30, 2026, a decrease of $2,883, or 7.8%, from the $36,960 reported for the same three-month period a year ago. Consolidated cost of products sold as a percentage of total revenue decreased from 76.1% for the three-month period ended June 30, 2025, to 71.1% for the three-month period ended June 30, 2026. Correspondingly, consolidated gross margin increased from 23.9% for the three-month period ended June 30, 2025, to 28.9% for the three-month period ended June 30, 2026, primarily reflecting favorable sales product mix for both our Battery &amp; Energy Products and Communications Systems segments and the net refund of IEEPA tariffs which had been recognized as net costs in previous periods. The net IEEPA refund in the second quarter of 2026 was $1,102, accounting for 230 basis point of gross margin for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our Battery &amp; Energy Products segment, gross profit for the second quarter of 2026 was $12,503, an increase of $1,668 or 15.4% from gross profit of $10,835 for the second quarter of 2025. Battery &amp; Energy Products’ gross margin of 28.3% increased by 470-basis points from the 23.6% gross margin for the year-earlier period, primarily due to sales mix and the net refund of IEEPA tariffs. The net refund accounted for 250 basis points of the year-over-year increase in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our Communications Systems segment, gross profit for the second quarter of 2026 was $1,363 or 36.3% of revenues, compared to gross profit of $766 or 28.4% of revenues for the second quarter of 2025. The 790-basis point increase in gross margin was primarily due to favorable sales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Operating Expenses.</w:t>
      </w:r>
      <w:r>
        <w:rPr>
          <w:rFonts w:ascii="Times New Roman" w:hAnsi="Times New Roman"/>
          <w:caps w:val="false"/>
          <w:smallCaps w:val="false"/>
          <w:sz w:val="20"/>
        </w:rPr>
        <w:t xml:space="preserve"> Operating expenses for the three-month period ended June 30, 2026, were $10,429, an increase of $1,084 or 11.6% from the $9,345 for the three-month period ended June 30, 2025. The increase is primarily attributable to a 39.1% increase in new product development costs related to continued investment in our product offerings and the completion of certain one-time, non-recurring expenses of $884 primarily related to litigation expenses incurred for our cyber-insurance claim and certain consulting costs to help expedite gross margin improvement at our two largest manufacturing facilities. Non-recurring costs reported for the 2025 second quarter were $326 primarily representing litigation expenses for our cyber insurance claim and acquisition transition costs. Both periods reflected continued tight control over discretionary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operating expenses were 21.8% of revenue for the quarter ending June 30, 2026, compared to 19.2% of revenue for the quarter ended June 30, 2025. Amortization expense associated with intangible assets related to our acquisitions was $268 for the second quarter of 2026 ($263 in selling, general and administrative expenses and $5 in research and development costs), compared with $410 for the second quarter of 2025 ($378 in selling, general, and administrative expenses and $32 in research and development costs). The year-over-year decline in amortization expenses resulted from our decision in the 2025 fourth quarter to undergo a comprehensive rebranding initiative that consolidates all sub-brands under a singular, unified master brand – Ultralife, and the ensuing write-down of tradenames and trademarks associated with our sub-brands during that period. Research and development costs were $3,225 for the three-month period ended June 30, 2026, an increase of $907 or 39.1%, from $2,318 for the three-month period ended June 30, 2025. The increase is attributable to an increase in new product development costs related to continued investment in our product offering as we aggressively pursue both government/defense and commercial opportunities. Selling, general, and administrative expenses were $7,204 for the three-month period ended June 30, 2026, an increase of $177 or 2.5% from $7,027 for the second quarter of 2025. The period-over-period increase was primarily attributable to the inclusion of certain one-time, non-recurring expenses of $884 primarily related to litigation expenses incurred for our cyber-insurance claim and the completion of consulting costs to help expedite gross margin improvement at our two largest manufacturing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Other Expense.</w:t>
      </w:r>
      <w:r>
        <w:rPr>
          <w:rFonts w:ascii="Times New Roman" w:hAnsi="Times New Roman"/>
          <w:caps w:val="false"/>
          <w:smallCaps w:val="false"/>
          <w:sz w:val="20"/>
        </w:rPr>
        <w:t xml:space="preserve"> Other expense totaled $451 for the three-month period ended June 30, 2026, compared to $1,143 for the three-month period ended June 30, 2025. Interest and financing expense decreased $153, or 15.4%, from $992 for the second quarter of 2025 to $839 for the comparable period in 2026 resulting from the continued paydown of the term loan financing of the Electrochem acquisition on October 31, 2024. Miscellaneous (income) expense amounted to ($388) for the second quarter of 2026 compared to $151 for the second quarter of 2025, primarily attributable to refundable tax credits for certain qualifying battery cells and packs we manufacture under the 45X Advanced Manufacturing Production Credit, established by the Inflation Reduction Act which runs through 2032. In addition, both periods reflect foreign exchange gains and losses due to fluctuations in foreign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Income Taxes.</w:t>
      </w:r>
      <w:r>
        <w:rPr>
          <w:rFonts w:ascii="Times New Roman" w:hAnsi="Times New Roman"/>
          <w:caps w:val="false"/>
          <w:smallCaps w:val="false"/>
          <w:sz w:val="20"/>
        </w:rPr>
        <w:t xml:space="preserve"> For the three-month period ended June 30, 2026, Ultralife recognized an income tax provision of $468, comprised of a current tax provision of $47 and a deferred tax provision of $421 which primarily represents non-cash charges for U.S. taxes which we expect will be fully offset by net operating loss carryforwards and other tax credits for the foreseeable future. This compares to a tax provision of $243 comprised of a current tax benefit of $22 and a deferred tax provision of $265 for the three-month period ended June 30, 2025.  Our effective tax rate was 15.7% for the second quarter of 2026 as compared to 21.8% for the second quarter of 2025, primarily attributable to the geographic mix of our operating results and other income recognized on the nontaxable refundable tax credits under the 45X Advanced Manufacturing Production Credit. See Note 6 to the consolidated financial statements in Item 1 of Part I of this Form 10-Q for additional information regarding our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Net Income Attributable to Ultralife Corporation.</w:t>
      </w:r>
      <w:r>
        <w:rPr>
          <w:rFonts w:ascii="Times New Roman" w:hAnsi="Times New Roman"/>
          <w:caps w:val="false"/>
          <w:smallCaps w:val="false"/>
          <w:sz w:val="20"/>
        </w:rPr>
        <w:t xml:space="preserve"> Net income attributable to Ultralife Corporation was $2,543, or $0.15 per share – basic and diluted, for the three-month period ended June 30, 2026, compared to $879, or $0.05 per share – basic and diluted, for the three-month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Weighted average shares outstanding used to compute diluted earnings per share increased from 16,656,408 for the second quarter of 2025 to 16,714,196 for the second quarter of 2026. The increase is attributable to stock option exercises since the second quarter. Dilutive shares of 55,268 were added to basic weighted average shares for the 2026 period compared to 21,856 for the 2025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Six-Month Periods Ended June 30, 2026, and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Revenues.</w:t>
      </w:r>
      <w:r>
        <w:rPr>
          <w:rFonts w:ascii="Times New Roman" w:hAnsi="Times New Roman"/>
          <w:caps w:val="false"/>
          <w:smallCaps w:val="false"/>
          <w:sz w:val="20"/>
        </w:rPr>
        <w:t xml:space="preserve"> Consolidated revenues for the six-month period ended June 30, 2026, were $95,388, a decrease of $3,919 or 3.9%, from $99,307 for the six-month period ended June 30, 2025. Overall, commercial sales decreased $3,259 or 5.1% and government/defense sales decreased $660 or 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Battery &amp; Energy Products revenues decreased $3,844, or 4.2%, from $92,188 for the six-month period ended June 30, 2025, to $88,344 for the six-month period ended June 30, 2026. The decrease is primarily attributable to a $3,259 or 5.1% decline in commercial sales and a $585 or a 2.0% decline in government/defense sales. The decrease in commercial sales was driven by a $2,265 or 12.7% decline in industrial sales and a $2,049 or 6.9% decline in oil &amp; gas sales, partially offset by a $1,055 or 6.5% increase in medical battery sales. The overall decline in commercial sales was in large part a result of lost production days due to the failure of the substation providing power to our Newark, NY facility and winter blizzards and a prolonged shutdown to conduct a comprehensive physical inventory at our Raynham, MA facility during the first quarter of 2026. The government/defense sales decline was due to the shipment of a very large charger order for an allied country in the 2025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Communications Systems revenues decreased $75 or 1.1%, from $7,119 for the six-month period ended June 30, 2025, to $7,044 for the six-month period ended June 30, 2026. The decrease was primarily attributable to shipments in the prior year to a major international defense contractor and the timing of expected orders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Cost of Products Sold / Gross Profit.</w:t>
      </w:r>
      <w:r>
        <w:rPr>
          <w:rFonts w:ascii="Times New Roman" w:hAnsi="Times New Roman"/>
          <w:caps w:val="false"/>
          <w:smallCaps w:val="false"/>
          <w:sz w:val="20"/>
        </w:rPr>
        <w:t xml:space="preserve"> Cost of products sold totaled $71,412 for the six-month period ended June 30, 2026, a decrease of $3,549, or 4.7%, from the $74,961 reported for the same six-month period a year ago. Consolidated cost of products sold as a percentage of total revenue decreased from 75.5% for the six-month period ended June 30, 2025, to 74.9% for the six-month period ended June 30, 2026. Correspondingly, consolidated gross margin increased from 24.5% for the six-month period ended June 30, 2025, to 25.1% for the six-month period ended June 30, 2026, reflecting the net refund of IEEPA tariffs of $1,102 in the second quarter which had been recognized as net costs in previous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our Battery &amp; Energy Products segment, gross profit for the 2026 period was $21,861, a decrease of $414 or 1.9% from gross profit of $22,275 for the 2025 period. Battery &amp; Energy Products’ gross margin of 24.7% increased by 50-basis points from the 24.2% gross margin for the year-earlier period, primarily due to sales mix and the net refund of IEEPA tariffs.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our Communications Systems segment, gross profit for the 2026 period was $2,115 or 30.0% of revenues, compared to gross profit of $2,071 or 29.1% of revenues for the 2025 period. The 90-basis point increase in gross margin was primarily due to favorable sales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Operating Expenses.</w:t>
      </w:r>
      <w:r>
        <w:rPr>
          <w:rFonts w:ascii="Times New Roman" w:hAnsi="Times New Roman"/>
          <w:caps w:val="false"/>
          <w:smallCaps w:val="false"/>
          <w:sz w:val="20"/>
        </w:rPr>
        <w:t xml:space="preserve"> Operating expenses for the six-month period ended June 30, 2026, were $20,754, an increase of $2,063 or 11.0% from the $18,691 for the six-month period ended June 30, 2025. The increase is primarily attributable to a 31.0% increase in new product development costs related to continued investment in our product offerings and the completion of certain one-time, non-recurring expenses of $1,731, compared to $518 for the year-earlier quarter, primarily related to litigation expenses incurred for our cyber-insurance claim and certain consulting costs to help expedite gross margin improvement at our two largest manufacturing facilities.  Both periods reflected continued tight control over discretionary spending.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operating expenses as a percentage of revenues were 21.8% for the six-month period ended June 30, 2026, compared to 18.8% for the six-month period ended June 30, 2025. Amortization expense associated with intangible assets related to our acquisitions was $535 for the first six months of 2026 ($525 in selling, general and administrative expenses and $10 in research and development costs), compared with $815 for the first six months of 2025 ($754 in selling, general, and administrative expenses and $61 in research and development costs). The year-over-year decline in amortization expenses resulted from our decision in the 2025 fourth quarter to undergo a comprehensive rebranding initiative that consolidates all sub-brands under a singular, unified master brand – Ultralife, and the ensuing write-down of tradenames and trademarks associated with out sub-brands during that period. Research and development costs were $6,186 for the six-month period ended June 30, 2026, an increase of $1,464 or 31.0 %, from $4,722 for the six months ended June 30, 2025. Selling, general, and administrative expenses increased $599, or 4.3%, from $13,969 for the first six months of 2025 to $14,568 for the first six months of 2026. The period-over-period increase was primarily attributable to the inclusion of certain one-time, non-recurring expenses primarily related to litigation expenses incurred for our cyber-insurance claim and the completion of consulting costs to help expedite gross margin improvement at our two largest manufacturing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Other Expense.</w:t>
      </w:r>
      <w:r>
        <w:rPr>
          <w:rFonts w:ascii="Times New Roman" w:hAnsi="Times New Roman"/>
          <w:caps w:val="false"/>
          <w:smallCaps w:val="false"/>
          <w:sz w:val="20"/>
        </w:rPr>
        <w:t xml:space="preserve"> Other expense totaled $899 for the six-month period ended June 30, 2026, compared to $2,096 for the six-month period ended June 30, 2025. Interest and financing expense decreased $317, or 15.7%, from $2,024 for the first half of 2025 to $1,707 for the comparable period in 2026 resulting from the continued paydown of the term loan financing of the Electrochem acquisition on October 31, 2024. Miscellaneous (income) expense amounted to ($808) for the first half of 2026 compared to $72 for the first half of 2025, primarily attributable to refundable tax credits for certain qualifying battery cells and packs we manufacture under the 45X Advanced Manufacturing Production Credit, established by the Inflation Reduction Act which runs through 2032. In addition, both periods reflect foreign exchange gains and losses due to fluctuations in foreign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Income Taxes.</w:t>
      </w:r>
      <w:r>
        <w:rPr>
          <w:rFonts w:ascii="Times New Roman" w:hAnsi="Times New Roman"/>
          <w:caps w:val="false"/>
          <w:smallCaps w:val="false"/>
          <w:sz w:val="20"/>
        </w:rPr>
        <w:t xml:space="preserve"> The income tax provision for the 2026 six-month period was $276 compared to $810 for the 2025 six-month period. Our effective tax rate decreased to 11.9% from 22.8% for the 2025 period, primarily attributable to the geographic mix of our operating results and other income recognized on the nontaxable refundable tax credits under the 45X Advanced Manufacturing Production Credit. The income tax provision for the first six months of 2026 is comprised of a $183 current tax provision for taxes expected to be paid on income primarily in foreign jurisdictions and a $93 deferred tax provision which primarily represents non-cash charges for U.S. income taxes that we expect will be fully offset by net operating loss carryforwards and other tax credits for the foreseeable future. For the comparable 2025 period, the income tax provision was comprised of a $201 current provision for taxes expected to be paid on income primarily in foreign jurisdictions and a $609 deferred tax provision which primarily represents non-cash charges for U.S. taxes that we expect will be fully offset by net operating loss carryforwards and other tax credits for the foreseeable future. See Note 6 to the consolidated financial statements in Item 1 of Part I of this Form 10-Q for additional information regarding our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Net Income Attributable to Ultralife.</w:t>
      </w:r>
      <w:r>
        <w:rPr>
          <w:rFonts w:ascii="Times New Roman" w:hAnsi="Times New Roman"/>
          <w:caps w:val="false"/>
          <w:smallCaps w:val="false"/>
          <w:sz w:val="20"/>
        </w:rPr>
        <w:t xml:space="preserve"> Net income attributable to Ultralife was $2,092, or $0.13 per share – basic and diluted for the six-month period ended June 30, 2026, compared to $2,744, or $0.17 per share – basic and diluted, for the six-month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Weighted average shares outstanding used to compute diluted earnings per share increased from 16,671,000 for the first six months of 2025 to 16,702,714 for the first six months of 2026. The increase is attributable to stock option exercises since the second quarter of 2025, a slight increase in the average stock price used to compute diluted shares from $6.36 for the six-month period ended June 30, 2025, to $6.43 for the six-month period ended June 30, 2026. Accordingly diluted shares of 44,992 were added to basic weighted average shares in 2026 compared to 37,237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evaluating our business, we consider and use adjusted EBITDA, a non-GAAP financial measure, as a supplemental measure of our operating performance. We define adjusted EBITDA as net income (loss) attributable to Ultralife Corporation before interest expense, provision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Adjusted EBITDA should not be considered in isolation, as a substitute for, or superior to net income, operating income, cash flows from operating activities or any other measure of financial performance prepared in accordance with GAAP. We also present adjusted EBITDA from operations because we believe it is frequently used by securities analysts, investors and other interested parties as a measure of financial performance. We reconcile adjusted EBITDA to net income (loss) attributable to Ultralife Corporation, the most comparable financial measure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adjusted EBITDA in our decision-making processes relating to the operation of our business together with GAAP financial measures such as operating (loss) income. We believe that adjusted EBITDA permits a comparative assessment of our operating performance, relative to our performance based on our GAAP results, while eliminating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adjusted EBITDA is not defined under GAAP and is not a measure of operating (loss)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Corporation or other consolidated statement of operations data prepared in accordance with GAAP. Some of these limitations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depreciation and amortization are non-cash charges, the assets being depreciated and amortized often will have to be replaced in the future, and adjusted EBITDA from continuing operations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tc>
      </w:tr>
    </w:tbl>
    <w:p>
      <w:pPr>
        <w:pStyle w:val="TextBody"/>
        <w:bidi w:val="0"/>
        <w:spacing w:before="0" w:after="0"/>
        <w:ind w:left="0" w:right="0" w:hanging="0"/>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60"/>
        <w:gridCol w:w="170"/>
        <w:gridCol w:w="98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companies may calculate adjusted EBITDA differently than we do, limiting its usefulness as a comparative measure.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is calculated as follows for the periods presented:</w:t>
      </w:r>
    </w:p>
    <w:p>
      <w:pPr>
        <w:pStyle w:val="TextBody"/>
        <w:bidi w:val="0"/>
        <w:spacing w:before="0" w:after="0"/>
        <w:ind w:left="0" w:right="0" w:hanging="0"/>
        <w:jc w:val="left"/>
        <w:rPr>
          <w:caps w:val="false"/>
          <w:smallCaps w:val="false"/>
        </w:rPr>
      </w:pPr>
      <w:r>
        <w:rPr>
          <w:caps w:val="false"/>
          <w:smallCaps w:val="false"/>
        </w:rPr>
        <w:t> </w:t>
      </w:r>
    </w:p>
    <w:tbl>
      <w:tblPr>
        <w:tblW w:w="8589" w:type="dxa"/>
        <w:jc w:val="left"/>
        <w:tblInd w:w="0" w:type="dxa"/>
        <w:tblLayout w:type="fixed"/>
        <w:tblCellMar>
          <w:top w:w="0" w:type="dxa"/>
          <w:left w:w="0" w:type="dxa"/>
          <w:bottom w:w="0" w:type="dxa"/>
          <w:right w:w="0" w:type="dxa"/>
        </w:tblCellMar>
      </w:tblPr>
      <w:tblGrid>
        <w:gridCol w:w="3905"/>
        <w:gridCol w:w="60"/>
        <w:gridCol w:w="218"/>
        <w:gridCol w:w="848"/>
        <w:gridCol w:w="105"/>
        <w:gridCol w:w="105"/>
        <w:gridCol w:w="218"/>
        <w:gridCol w:w="848"/>
        <w:gridCol w:w="60"/>
        <w:gridCol w:w="60"/>
        <w:gridCol w:w="196"/>
        <w:gridCol w:w="761"/>
        <w:gridCol w:w="94"/>
        <w:gridCol w:w="94"/>
        <w:gridCol w:w="196"/>
        <w:gridCol w:w="761"/>
        <w:gridCol w:w="60"/>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Three-Month Period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Six-Month Period Ended</w:t>
            </w:r>
          </w:p>
        </w:tc>
        <w:tc>
          <w:tcPr>
            <w:tcW w:w="6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0"/>
              <w:jc w:val="left"/>
              <w:rPr/>
            </w:pPr>
            <w:r>
              <w:rPr/>
              <w:t> </w:t>
            </w:r>
          </w:p>
        </w:tc>
        <w:tc>
          <w:tcPr>
            <w:tcW w:w="95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ind w:left="0" w:right="0" w:hanging="0"/>
              <w:jc w:val="left"/>
              <w:rPr/>
            </w:pPr>
            <w:r>
              <w:rPr/>
              <w:t>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ind w:left="0" w:right="0" w:hanging="0"/>
              <w:jc w:val="left"/>
              <w:rPr/>
            </w:pPr>
            <w:r>
              <w:rPr/>
              <w:t> </w:t>
            </w:r>
          </w:p>
        </w:tc>
        <w:tc>
          <w:tcPr>
            <w:tcW w:w="9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Ultralife Corporation</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2,744</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both"/>
              <w:rPr/>
            </w:pPr>
            <w:r>
              <w:rPr/>
              <w:t> </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both"/>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61"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1,958</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expense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non-recurring costs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One-Time events impacting production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cost for plant closure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6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purchase accounting adjustments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6,148</w:t>
            </w:r>
          </w:p>
        </w:tc>
        <w:tc>
          <w:tcPr>
            <w:tcW w:w="105"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9,357</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cash totaled $6,663, as compared to $9,345 at December 31, 2025. The decrease in cash was largely attributable to payments totaling $5,125 against the outstanding principal on our Term Loan during the first half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six-month period ended June 30, 2026, cash generated from operations was $3,444, as compared to $9,303 generated for the six-month period ended June 30, 2025. For the 2026 period, cash generated from operations was comprised of net income of $2,047 plus non-cash items totaling $2,959 for depreciation, amortization, stock-based compensation, and deferred taxes, offset by decrease of $1,562 attributable to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investing activities for the six months ended June 30, 2026, was $1,223 for capital expenditures, primarily reflecting investments in equipment for new products transitioning to higher-volume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financing activities for the six months ended June 30, 2026, was $5,089, representing a $5,125 reduction in our outstanding debt partially offset by $36 of cash generated from employee stock option exercise proceeds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have significant U.S. net operating loss carryforwards available to utilize as an offset to future taxable income. See Note 6 to the consolidated financial statements in Item 1 of Part 1 of this Form 10-Q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Going forward, we expect positive operating cash flow and the availability of borrowings under our Revolving Credit Facility will be sufficient to meet our general funding requirements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provide flexibility in accessing the capital markets, on March 30, 2021, the Company filed a shelf registration statement on Form S-3 (File No. 333-254846) (the “Prior Registration Statement”) registering securities in an aggregate amount of $100,000,000. None of the $100,000,000 of registered securities were sold under the Prior Registration Statement (the “Unsold Securities”). Under the rules of the Securities and Exchange Commission (the “SEC”) the Prior Registration Statement was set to expire on April 2, 2024. Therefore, on March 29, 2024, the Company filed a new shelf registration statement on Form S-3 (File No. 333-278360) (the “New Registration Statement”) to replace the Prior Registration Statement. The New Registration Statement includes all $100,000,000 of the Unsold Securities registered on the Prior Registration Statement. The SEC declared the New Registration Statement effective May 7, 2024. Pursuant to Rule 415(a)(6) under Securities Act of 1933, as amended (the “Securities Act”), the offering of the Unsold Securities under the Prior Registration Statement was deemed terminated as of the date of effectiveness of the New Registration Statement. Upon the filing of an appropriate prospectus supplement or supplements under the New Registration Statement, we may offer and sell our securities from time to time in one or more offerings, at our discretion. We intend to use the net proceeds resulting from any sales of these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 differentiated products for attractive growth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had $45,125 outstanding on the Term Loan and no amounts outstanding on the Revolving Credit Facility. The Company was in full compliance with its debt covenants under the Revolving Credit Facility and Term Loan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we have made commitments to purchase approximately $301 of production machinery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to the consolidated financial statements in our 2025 Annual Report on Form 10-K should be reviewed for a greater understanding of how our financial performance is recorded and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six months of 2026, there were no significant changes in the manner in which our significant accounting policies were applied or in which related assumptions and estimates were developed.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4. </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under the supervision and with the participation of our President and Chief Executive Officer (principal executive officer) and our Chief Financial Officer and Treasurer (principal financial officer), has evaluated the effectiveness of our disclosure controls and procedures (as defined in Rule 13a-15(e) of the Exchange Act) as of the end of the period covered by this quarterly report. Management has concluded that our disclosure control and procedures were not effective as of June 30, 2026, because of the existing material weakness in our internal control over financial reporting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Notwithstanding the material weakness identified, management believes that the Consolidated Financial Statements included in this Quarterly Report on Form 10-Q are fairly stated in all material respects in accordance with U.S. generally accepted accounting principles for each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Material Weakness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conducted an evaluation of the effectiveness of our internal control over financial reporting as of December 31, 2025, using the criteria set forth by the Committee of Sponsoring Organizations of the Treadway Commission (“COSO”) in Internal Control - Integrated Framework (2013). Based on our evaluation, management concluded that there is a material weakness in our internal control over financial reporting. As a result of the material weakness identified, management has concluded that our internal control over financial reporting was not effective as of December 31, 2025. The material weakness was not yet fully remediated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weakness has been identified because remediation efforts initiated during the year ended December 31, 2025, relating to the material weakness identified during the year ended December 31, 2024, attributable to the need for additional personnel to provide a full complement of accounting and reporting expertise had not been in place and adequately documented for a sufficient period of time to allow management to conclude that the related controls were operating effectively. In addition, information technology general controls (ITGC) were not operating effectively to ensure that (i) access to applications and data, including the ability to make changes, was appropriately restricted to authorized personnel, and (ii) the activities of individuals with such access were adequately monitored. As a result, business process controls (automated and manual) that are dependent on the affected ITGCs were also deemed ineffective because they could have been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Remediation Efforts to Address 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 the course of 2025, management implemented a remediation plan designed to address the material weakness identified during the year ended December 31, 2024, attributable to the need for additional personnel to provide a full complement of accounting and reporting expertise commensurate with the growth of the Company. The Company has significantly strengthened its finance and accounting team by adding a new oversight role and hiring additional highly experienced personnel including certified public accountants. The personnel actions taken include the naming of a Chief Accounting Officer with a backfill to the Corporate Controller role and filling the following positions: Director – Internal Audit &amp; SOX Compliance, Manager – Corporate Accounting, Manager – Corporate Reporting &amp; Consolidations, Controller – Electrochem, and Senior Management Accountant – Electrochem.  Significant improvements in the design, execution and documentation of business process controls were implemented across our locations pursuant to our remediation plan during the second half of 2025 once the additional oversight was in place and additional personnel were hired; however, it was determined that certain business process controls were not in place and adequately documented for a sufficient period of time to allow management to conclude that the previously identified material weakness was fully remediated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half of 2026 and through the date of this Quarterly Report on Form 10-Q, management continues to develop and is actively implementing corrective actions to remediate the identified ITGC deficiencies. The Company is conducting a comprehensive risk-based evaluation of user access to our key IT applications to ensure that access is appropriately administered. Access will be restricted to the extent possible, and monitoring or other mitigating controls will be implemented to address instances, if any, where system-level segregation may not be feasible. Steps have been taken to restrict certain user access and to evaluate activity logs through the period that such access was deemed to have not been appropriately restricted. Additionally, we are in the process of formalizing our user access reviews and requiring that they are performed on a more frequent and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Remediation will be deemed complete once all corrective actions are fully implemented and in place for a sufficient period of time and further evaluation is performed, including testing, to conclude that our internal control over financial reporting is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than the remedial actions described above, there were no changes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Limitations of Effectiveness of Controls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including our Chief Executive Officer and Chief Financial Officer, does not expect that the Company’s disclosure controls and procedures or its internal control over financial reporting will prevent or detect all error and all fraud. A control system, no matter how well designed and operated, can provide only reasonable, not absolute, assurance that its objectives will be met. The design of a control system must reflect the fact that there are resource constraints, and the benefits of controls must be considered relative to their costs. Furthermore,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or by the collusion of two or more persons.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II.</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4"/>
        <w:gridCol w:w="60"/>
        <w:gridCol w:w="6832"/>
        <w:gridCol w:w="60"/>
        <w:gridCol w:w="2479"/>
      </w:tblGrid>
      <w:tr>
        <w:trPr/>
        <w:tc>
          <w:tcPr>
            <w:tcW w:w="774"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Index</w:t>
            </w:r>
          </w:p>
        </w:tc>
        <w:tc>
          <w:tcPr>
            <w:tcW w:w="60" w:type="dxa"/>
            <w:tcBorders/>
            <w:tcMar>
              <w:bottom w:w="0" w:type="dxa"/>
            </w:tcMar>
            <w:vAlign w:val="center"/>
          </w:tcPr>
          <w:p>
            <w:pPr>
              <w:pStyle w:val="TableContents"/>
              <w:bidi w:val="0"/>
              <w:spacing w:before="0" w:after="283"/>
              <w:jc w:val="left"/>
              <w:rPr/>
            </w:pPr>
            <w:r>
              <w:rPr/>
              <w:t> </w:t>
            </w:r>
          </w:p>
        </w:tc>
        <w:tc>
          <w:tcPr>
            <w:tcW w:w="683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 Description</w:t>
            </w:r>
          </w:p>
        </w:tc>
        <w:tc>
          <w:tcPr>
            <w:tcW w:w="60" w:type="dxa"/>
            <w:tcBorders/>
            <w:tcMar>
              <w:bottom w:w="0" w:type="dxa"/>
            </w:tcMar>
            <w:vAlign w:val="center"/>
          </w:tcPr>
          <w:p>
            <w:pPr>
              <w:pStyle w:val="TableContents"/>
              <w:bidi w:val="0"/>
              <w:spacing w:before="0" w:after="283"/>
              <w:jc w:val="left"/>
              <w:rPr/>
            </w:pPr>
            <w:r>
              <w:rPr/>
              <w:t> </w:t>
            </w:r>
          </w:p>
        </w:tc>
        <w:tc>
          <w:tcPr>
            <w:tcW w:w="247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from</w:t>
            </w:r>
          </w:p>
        </w:tc>
      </w:tr>
      <w:tr>
        <w:trPr/>
        <w:tc>
          <w:tcPr>
            <w:tcW w:w="774"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6832" w:type="dxa"/>
            <w:tcBorders/>
            <w:tcMar>
              <w:bottom w:w="0" w:type="dxa"/>
            </w:tcMar>
            <w:vAlign w:val="center"/>
          </w:tcPr>
          <w:p>
            <w:pPr>
              <w:pStyle w:val="TableContents"/>
              <w:bidi w:val="0"/>
              <w:spacing w:before="0" w:after="0"/>
              <w:ind w:left="0" w:right="0" w:hanging="0"/>
              <w:jc w:val="left"/>
              <w:rPr/>
            </w:pPr>
            <w:hyperlink w:anchor="ex_996494.htm">
              <w:r>
                <w:rPr>
                  <w:rStyle w:val="InternetLink"/>
                  <w:rFonts w:ascii="Times New Roman;Times;serif" w:hAnsi="Times New Roman;Times;serif"/>
                  <w:caps w:val="false"/>
                  <w:smallCaps w:val="false"/>
                  <w:sz w:val="20"/>
                </w:rPr>
                <w:t>Rule 13a-14(a) / 15d-14(a) CEO Certifications</w:t>
              </w:r>
            </w:hyperlink>
          </w:p>
        </w:tc>
        <w:tc>
          <w:tcPr>
            <w:tcW w:w="60" w:type="dxa"/>
            <w:tcBorders/>
            <w:tcMar>
              <w:bottom w:w="0" w:type="dxa"/>
            </w:tcMar>
            <w:vAlign w:val="center"/>
          </w:tcPr>
          <w:p>
            <w:pPr>
              <w:pStyle w:val="TableContents"/>
              <w:bidi w:val="0"/>
              <w:spacing w:before="0" w:after="283"/>
              <w:jc w:val="left"/>
              <w:rPr/>
            </w:pPr>
            <w:r>
              <w:rPr/>
              <w:t> </w:t>
            </w:r>
          </w:p>
        </w:tc>
        <w:tc>
          <w:tcPr>
            <w:tcW w:w="247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74"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60" w:type="dxa"/>
            <w:tcBorders/>
            <w:tcMar>
              <w:bottom w:w="0" w:type="dxa"/>
            </w:tcMar>
            <w:vAlign w:val="center"/>
          </w:tcPr>
          <w:p>
            <w:pPr>
              <w:pStyle w:val="TableContents"/>
              <w:bidi w:val="0"/>
              <w:spacing w:before="0" w:after="283"/>
              <w:jc w:val="left"/>
              <w:rPr/>
            </w:pPr>
            <w:r>
              <w:rPr/>
              <w:t> </w:t>
            </w:r>
          </w:p>
        </w:tc>
        <w:tc>
          <w:tcPr>
            <w:tcW w:w="6832" w:type="dxa"/>
            <w:tcBorders/>
            <w:tcMar>
              <w:bottom w:w="0" w:type="dxa"/>
            </w:tcMar>
            <w:vAlign w:val="center"/>
          </w:tcPr>
          <w:p>
            <w:pPr>
              <w:pStyle w:val="TableContents"/>
              <w:bidi w:val="0"/>
              <w:spacing w:before="0" w:after="0"/>
              <w:ind w:left="0" w:right="0" w:hanging="0"/>
              <w:jc w:val="left"/>
              <w:rPr/>
            </w:pPr>
            <w:hyperlink w:anchor="ex_996499.htm">
              <w:r>
                <w:rPr>
                  <w:rStyle w:val="InternetLink"/>
                  <w:rFonts w:ascii="Times New Roman;Times;serif" w:hAnsi="Times New Roman;Times;serif"/>
                  <w:caps w:val="false"/>
                  <w:smallCaps w:val="false"/>
                  <w:sz w:val="20"/>
                </w:rPr>
                <w:t>Rule 13a-14(a) / 15d-14(a) CFO Certifications</w:t>
              </w:r>
            </w:hyperlink>
          </w:p>
        </w:tc>
        <w:tc>
          <w:tcPr>
            <w:tcW w:w="60" w:type="dxa"/>
            <w:tcBorders/>
            <w:tcMar>
              <w:bottom w:w="0" w:type="dxa"/>
            </w:tcMar>
            <w:vAlign w:val="center"/>
          </w:tcPr>
          <w:p>
            <w:pPr>
              <w:pStyle w:val="TableContents"/>
              <w:bidi w:val="0"/>
              <w:spacing w:before="0" w:after="283"/>
              <w:jc w:val="left"/>
              <w:rPr/>
            </w:pPr>
            <w:r>
              <w:rPr/>
              <w:t> </w:t>
            </w:r>
          </w:p>
        </w:tc>
        <w:tc>
          <w:tcPr>
            <w:tcW w:w="247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74"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6832" w:type="dxa"/>
            <w:tcBorders/>
            <w:tcMar>
              <w:bottom w:w="0" w:type="dxa"/>
            </w:tcMar>
            <w:vAlign w:val="center"/>
          </w:tcPr>
          <w:p>
            <w:pPr>
              <w:pStyle w:val="TableContents"/>
              <w:bidi w:val="0"/>
              <w:spacing w:before="0" w:after="0"/>
              <w:ind w:left="0" w:right="0" w:hanging="0"/>
              <w:jc w:val="left"/>
              <w:rPr/>
            </w:pPr>
            <w:hyperlink w:anchor="ex_996500.htm">
              <w:r>
                <w:rPr>
                  <w:rStyle w:val="InternetLink"/>
                  <w:rFonts w:ascii="Times New Roman;Times;serif" w:hAnsi="Times New Roman;Times;serif"/>
                  <w:caps w:val="false"/>
                  <w:smallCaps w:val="false"/>
                  <w:sz w:val="20"/>
                </w:rPr>
                <w:t>Section 1350 Certifications</w:t>
              </w:r>
            </w:hyperlink>
          </w:p>
        </w:tc>
        <w:tc>
          <w:tcPr>
            <w:tcW w:w="60" w:type="dxa"/>
            <w:tcBorders/>
            <w:tcMar>
              <w:bottom w:w="0" w:type="dxa"/>
            </w:tcMar>
            <w:vAlign w:val="center"/>
          </w:tcPr>
          <w:p>
            <w:pPr>
              <w:pStyle w:val="TableContents"/>
              <w:bidi w:val="0"/>
              <w:spacing w:before="0" w:after="283"/>
              <w:jc w:val="left"/>
              <w:rPr/>
            </w:pPr>
            <w:r>
              <w:rPr/>
              <w:t> </w:t>
            </w:r>
          </w:p>
        </w:tc>
        <w:tc>
          <w:tcPr>
            <w:tcW w:w="247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Furnished herewith</w:t>
            </w:r>
          </w:p>
        </w:tc>
      </w:tr>
      <w:tr>
        <w:trPr/>
        <w:tc>
          <w:tcPr>
            <w:tcW w:w="774"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683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c>
          <w:tcPr>
            <w:tcW w:w="60" w:type="dxa"/>
            <w:tcBorders/>
            <w:tcMar>
              <w:bottom w:w="0" w:type="dxa"/>
            </w:tcMar>
            <w:vAlign w:val="center"/>
          </w:tcPr>
          <w:p>
            <w:pPr>
              <w:pStyle w:val="TableContents"/>
              <w:bidi w:val="0"/>
              <w:spacing w:before="0" w:after="283"/>
              <w:jc w:val="left"/>
              <w:rPr/>
            </w:pPr>
            <w:r>
              <w:rPr/>
              <w:t> </w:t>
            </w:r>
          </w:p>
        </w:tc>
        <w:tc>
          <w:tcPr>
            <w:tcW w:w="247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74"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683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c>
          <w:tcPr>
            <w:tcW w:w="60" w:type="dxa"/>
            <w:tcBorders/>
            <w:tcMar>
              <w:bottom w:w="0" w:type="dxa"/>
            </w:tcMar>
            <w:vAlign w:val="center"/>
          </w:tcPr>
          <w:p>
            <w:pPr>
              <w:pStyle w:val="TableContents"/>
              <w:bidi w:val="0"/>
              <w:spacing w:before="0" w:after="283"/>
              <w:jc w:val="left"/>
              <w:rPr/>
            </w:pPr>
            <w:r>
              <w:rPr/>
              <w:t> </w:t>
            </w:r>
          </w:p>
        </w:tc>
        <w:tc>
          <w:tcPr>
            <w:tcW w:w="247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74"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683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c>
          <w:tcPr>
            <w:tcW w:w="60" w:type="dxa"/>
            <w:tcBorders/>
            <w:tcMar>
              <w:bottom w:w="0" w:type="dxa"/>
            </w:tcMar>
            <w:vAlign w:val="center"/>
          </w:tcPr>
          <w:p>
            <w:pPr>
              <w:pStyle w:val="TableContents"/>
              <w:bidi w:val="0"/>
              <w:spacing w:before="0" w:after="283"/>
              <w:jc w:val="left"/>
              <w:rPr/>
            </w:pPr>
            <w:r>
              <w:rPr/>
              <w:t> </w:t>
            </w:r>
          </w:p>
        </w:tc>
        <w:tc>
          <w:tcPr>
            <w:tcW w:w="247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74"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683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c>
          <w:tcPr>
            <w:tcW w:w="60" w:type="dxa"/>
            <w:tcBorders/>
            <w:tcMar>
              <w:bottom w:w="0" w:type="dxa"/>
            </w:tcMar>
            <w:vAlign w:val="center"/>
          </w:tcPr>
          <w:p>
            <w:pPr>
              <w:pStyle w:val="TableContents"/>
              <w:bidi w:val="0"/>
              <w:spacing w:before="0" w:after="283"/>
              <w:jc w:val="left"/>
              <w:rPr/>
            </w:pPr>
            <w:r>
              <w:rPr/>
              <w:t> </w:t>
            </w:r>
          </w:p>
        </w:tc>
        <w:tc>
          <w:tcPr>
            <w:tcW w:w="247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74"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683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c>
          <w:tcPr>
            <w:tcW w:w="60" w:type="dxa"/>
            <w:tcBorders/>
            <w:tcMar>
              <w:bottom w:w="0" w:type="dxa"/>
            </w:tcMar>
            <w:vAlign w:val="center"/>
          </w:tcPr>
          <w:p>
            <w:pPr>
              <w:pStyle w:val="TableContents"/>
              <w:bidi w:val="0"/>
              <w:spacing w:before="0" w:after="283"/>
              <w:jc w:val="left"/>
              <w:rPr/>
            </w:pPr>
            <w:r>
              <w:rPr/>
              <w:t> </w:t>
            </w:r>
          </w:p>
        </w:tc>
        <w:tc>
          <w:tcPr>
            <w:tcW w:w="247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74"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683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c>
          <w:tcPr>
            <w:tcW w:w="60" w:type="dxa"/>
            <w:tcBorders/>
            <w:tcMar>
              <w:bottom w:w="0" w:type="dxa"/>
            </w:tcMar>
            <w:vAlign w:val="center"/>
          </w:tcPr>
          <w:p>
            <w:pPr>
              <w:pStyle w:val="TableContents"/>
              <w:bidi w:val="0"/>
              <w:spacing w:before="0" w:after="283"/>
              <w:jc w:val="left"/>
              <w:rPr/>
            </w:pPr>
            <w:r>
              <w:rPr/>
              <w:t> </w:t>
            </w:r>
          </w:p>
        </w:tc>
        <w:tc>
          <w:tcPr>
            <w:tcW w:w="247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74"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83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c>
          <w:tcPr>
            <w:tcW w:w="60" w:type="dxa"/>
            <w:tcBorders/>
            <w:tcMar>
              <w:bottom w:w="0" w:type="dxa"/>
            </w:tcMar>
            <w:vAlign w:val="center"/>
          </w:tcPr>
          <w:p>
            <w:pPr>
              <w:pStyle w:val="TableContents"/>
              <w:bidi w:val="0"/>
              <w:spacing w:before="0" w:after="283"/>
              <w:jc w:val="left"/>
              <w:rPr/>
            </w:pPr>
            <w:r>
              <w:rPr/>
              <w:t> </w:t>
            </w:r>
          </w:p>
        </w:tc>
        <w:tc>
          <w:tcPr>
            <w:tcW w:w="2479"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Attached as Exhibit 101 to this report are the following formatted in iXBRL (Inline eXtensible Business Reporting Language): (i) Consolidated Balance Sheets as of June 30, 2026 and December 31, 2025, (ii) Consolidated Statements of Income and Comprehensive Income for the three and six months ended June 30, 2026 and 2025, (iii) Consolidated Statements of Cash Flows for the six months ended June 30, 2026 and 2025, (iv) Consolidated Statements of Changes in Stockholders’ Equity for the three and six months ended June 30, 2026 and 2025, and (v)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1745"/>
        <w:gridCol w:w="365"/>
        <w:gridCol w:w="3320"/>
        <w:gridCol w:w="60"/>
      </w:tblGrid>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ULTRALIFE CORPORATION</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August 7, 2026</w:t>
            </w:r>
          </w:p>
        </w:tc>
        <w:tc>
          <w:tcPr>
            <w:tcW w:w="365" w:type="dxa"/>
            <w:tcBorders/>
            <w:vAlign w:val="center"/>
          </w:tcPr>
          <w:p>
            <w:pPr>
              <w:pStyle w:val="TableContents"/>
              <w:bidi w:val="0"/>
              <w:spacing w:before="0" w:after="283"/>
              <w:jc w:val="left"/>
              <w:rPr/>
            </w:pPr>
            <w:r>
              <w:rPr/>
              <w:t>By:</w:t>
            </w:r>
          </w:p>
        </w:tc>
        <w:tc>
          <w:tcPr>
            <w:tcW w:w="3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E. Manna</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Michael E. Manna</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President and Chief Executive Officer</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August 7, 2026</w:t>
            </w:r>
          </w:p>
        </w:tc>
        <w:tc>
          <w:tcPr>
            <w:tcW w:w="365" w:type="dxa"/>
            <w:tcBorders/>
            <w:vAlign w:val="center"/>
          </w:tcPr>
          <w:p>
            <w:pPr>
              <w:pStyle w:val="TableContents"/>
              <w:bidi w:val="0"/>
              <w:spacing w:before="0" w:after="283"/>
              <w:jc w:val="left"/>
              <w:rPr/>
            </w:pPr>
            <w:r>
              <w:rPr/>
              <w:t>By:</w:t>
            </w:r>
          </w:p>
        </w:tc>
        <w:tc>
          <w:tcPr>
            <w:tcW w:w="3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Philip A. Fain</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Philip A. Fain</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Chief Financial Officer and Treasurer</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(Principal Financial Officer and</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firstLine="180"/>
              <w:jc w:val="left"/>
              <w:rPr>
                <w:caps w:val="false"/>
                <w:smallCaps w:val="false"/>
              </w:rPr>
            </w:pPr>
            <w:r>
              <w:rPr>
                <w:caps w:val="false"/>
                <w:smallCaps w:val="false"/>
              </w:rPr>
              <w:t>    </w:t>
            </w:r>
            <w:r>
              <w:rPr>
                <w:rFonts w:ascii="Times New Roman" w:hAnsi="Times New Roman"/>
                <w:caps w:val="false"/>
                <w:smallCaps w:val="false"/>
                <w:sz w:val="20"/>
              </w:rPr>
              <w:t>Principal Accounting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31</w:t>
      </w:r>
    </w:p>
    <w:p>
      <w:pPr>
        <w:pStyle w:val="TextBody"/>
        <w:bidi w:val="0"/>
        <w:spacing w:before="0" w:after="0"/>
        <w:ind w:left="0" w:right="0" w:hanging="0"/>
        <w:jc w:val="right"/>
        <w:rPr>
          <w:rFonts w:ascii="Times New Roman" w:hAnsi="Times New Roman"/>
          <w:b/>
          <w:caps w:val="false"/>
          <w:smallCaps w:val="false"/>
          <w:sz w:val="20"/>
        </w:rPr>
      </w:pPr>
      <w:bookmarkStart w:id="2" w:name="ex_996494.htm"/>
      <w:bookmarkStart w:id="3" w:name="ksex_996494"/>
      <w:bookmarkEnd w:id="2"/>
      <w:bookmarkEnd w:id="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Michael E. Manna, certify that:</w:t>
      </w:r>
    </w:p>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170"/>
        <w:gridCol w:w="614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1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Ultralife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both"/>
              <w:rPr/>
            </w:pPr>
            <w:r>
              <w:rPr/>
              <w:t> </w:t>
            </w:r>
          </w:p>
        </w:tc>
        <w:tc>
          <w:tcPr>
            <w:tcW w:w="1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both"/>
              <w:rPr/>
            </w:pPr>
            <w:r>
              <w:rPr/>
              <w:t> </w:t>
            </w:r>
          </w:p>
        </w:tc>
        <w:tc>
          <w:tcPr>
            <w:tcW w:w="1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1745"/>
        <w:gridCol w:w="365"/>
        <w:gridCol w:w="3200"/>
        <w:gridCol w:w="60"/>
      </w:tblGrid>
      <w:tr>
        <w:trPr/>
        <w:tc>
          <w:tcPr>
            <w:tcW w:w="1745"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August 7, 2026</w:t>
            </w:r>
          </w:p>
        </w:tc>
        <w:tc>
          <w:tcPr>
            <w:tcW w:w="365" w:type="dxa"/>
            <w:tcBorders/>
            <w:vAlign w:val="center"/>
          </w:tcPr>
          <w:p>
            <w:pPr>
              <w:pStyle w:val="TableContents"/>
              <w:bidi w:val="0"/>
              <w:spacing w:before="0" w:after="283"/>
              <w:jc w:val="left"/>
              <w:rPr/>
            </w:pPr>
            <w:r>
              <w:rPr/>
              <w:t>By:</w:t>
            </w:r>
          </w:p>
        </w:tc>
        <w:tc>
          <w:tcPr>
            <w:tcW w:w="32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E. Manna</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180" w:right="0" w:hanging="0"/>
              <w:jc w:val="left"/>
              <w:rPr>
                <w:caps w:val="false"/>
                <w:smallCaps w:val="false"/>
              </w:rPr>
            </w:pPr>
            <w:r>
              <w:rPr>
                <w:caps w:val="false"/>
                <w:smallCaps w:val="false"/>
              </w:rPr>
              <w:t xml:space="preserve">  </w:t>
            </w:r>
            <w:r>
              <w:rPr>
                <w:rFonts w:ascii="Times New Roman" w:hAnsi="Times New Roman"/>
                <w:caps w:val="false"/>
                <w:smallCaps w:val="false"/>
                <w:sz w:val="20"/>
              </w:rPr>
              <w:t>Michael E. Manna</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0"/>
              <w:ind w:left="180" w:right="0" w:hanging="0"/>
              <w:jc w:val="left"/>
              <w:rPr>
                <w:caps w:val="false"/>
                <w:smallCaps w:val="false"/>
              </w:rPr>
            </w:pPr>
            <w:r>
              <w:rPr>
                <w:caps w:val="false"/>
                <w:smallCaps w:val="false"/>
              </w:rPr>
              <w:t xml:space="preserve">  </w:t>
            </w:r>
            <w:r>
              <w:rPr>
                <w:rFonts w:ascii="Times New Roman" w:hAnsi="Times New Roman"/>
                <w:caps w:val="false"/>
                <w:smallCaps w:val="false"/>
                <w:sz w:val="20"/>
              </w:rPr>
              <w:t>President and 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 w:name="ex_996499.htm"/>
      <w:bookmarkStart w:id="5" w:name="ksex_996499"/>
      <w:bookmarkEnd w:id="4"/>
      <w:bookmarkEnd w:id="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Philip A. Fain, certify that:</w:t>
      </w:r>
    </w:p>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170"/>
        <w:gridCol w:w="614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1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Ultralife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both"/>
              <w:rPr/>
            </w:pPr>
            <w:r>
              <w:rPr/>
              <w:t> </w:t>
            </w:r>
          </w:p>
        </w:tc>
        <w:tc>
          <w:tcPr>
            <w:tcW w:w="1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both"/>
              <w:rPr/>
            </w:pPr>
            <w:r>
              <w:rPr/>
              <w:t> </w:t>
            </w:r>
          </w:p>
        </w:tc>
        <w:tc>
          <w:tcPr>
            <w:tcW w:w="1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1745"/>
        <w:gridCol w:w="365"/>
        <w:gridCol w:w="3320"/>
        <w:gridCol w:w="60"/>
      </w:tblGrid>
      <w:tr>
        <w:trPr/>
        <w:tc>
          <w:tcPr>
            <w:tcW w:w="1745"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August 7, 2026</w:t>
            </w:r>
          </w:p>
        </w:tc>
        <w:tc>
          <w:tcPr>
            <w:tcW w:w="365" w:type="dxa"/>
            <w:tcBorders/>
            <w:vAlign w:val="center"/>
          </w:tcPr>
          <w:p>
            <w:pPr>
              <w:pStyle w:val="TableContents"/>
              <w:bidi w:val="0"/>
              <w:spacing w:before="0" w:after="283"/>
              <w:jc w:val="left"/>
              <w:rPr/>
            </w:pPr>
            <w:r>
              <w:rPr/>
              <w:t>By:</w:t>
            </w:r>
          </w:p>
        </w:tc>
        <w:tc>
          <w:tcPr>
            <w:tcW w:w="33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Philip A. Fain</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firstLine="180"/>
              <w:jc w:val="left"/>
              <w:rPr>
                <w:caps w:val="false"/>
                <w:smallCaps w:val="false"/>
              </w:rPr>
            </w:pPr>
            <w:r>
              <w:rPr>
                <w:caps w:val="false"/>
                <w:smallCaps w:val="false"/>
              </w:rPr>
              <w:t xml:space="preserve">  </w:t>
            </w:r>
            <w:r>
              <w:rPr>
                <w:rFonts w:ascii="Times New Roman" w:hAnsi="Times New Roman"/>
                <w:caps w:val="false"/>
                <w:smallCaps w:val="false"/>
                <w:sz w:val="20"/>
              </w:rPr>
              <w:t>Philip A. Fain</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firstLine="180"/>
              <w:jc w:val="left"/>
              <w:rPr>
                <w:caps w:val="false"/>
                <w:smallCaps w:val="false"/>
              </w:rPr>
            </w:pPr>
            <w:r>
              <w:rPr>
                <w:caps w:val="false"/>
                <w:smallCaps w:val="false"/>
              </w:rPr>
              <w:t xml:space="preserve">  </w:t>
            </w:r>
            <w:r>
              <w:rPr>
                <w:rFonts w:ascii="Times New Roman" w:hAnsi="Times New Roman"/>
                <w:caps w:val="false"/>
                <w:smallCaps w:val="false"/>
                <w:sz w:val="20"/>
              </w:rPr>
              <w:t>Chief Financial Officer and Treasurer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6" w:name="ex_996500.htm"/>
      <w:bookmarkStart w:id="7" w:name="ksex_996500"/>
      <w:bookmarkEnd w:id="6"/>
      <w:bookmarkEnd w:id="7"/>
      <w:r>
        <w:rPr>
          <w:rFonts w:ascii="Times New Roman" w:hAnsi="Times New Roman"/>
          <w:b/>
          <w:caps w:val="false"/>
          <w:smallCaps w:val="false"/>
          <w:sz w:val="20"/>
        </w:rPr>
        <w:t>Exhibit 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1350 Certification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Quarterly Report on Form 10-Q for the quarter ended June 30, 2026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Ultralife Corporation and will be retained by Ultralife Corporation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1745"/>
        <w:gridCol w:w="365"/>
        <w:gridCol w:w="3380"/>
        <w:gridCol w:w="60"/>
      </w:tblGrid>
      <w:tr>
        <w:trPr/>
        <w:tc>
          <w:tcPr>
            <w:tcW w:w="1745"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August 7, 2026</w:t>
            </w:r>
          </w:p>
        </w:tc>
        <w:tc>
          <w:tcPr>
            <w:tcW w:w="365" w:type="dxa"/>
            <w:tcBorders/>
            <w:vAlign w:val="center"/>
          </w:tcPr>
          <w:p>
            <w:pPr>
              <w:pStyle w:val="TableContents"/>
              <w:bidi w:val="0"/>
              <w:spacing w:before="0" w:after="283"/>
              <w:jc w:val="left"/>
              <w:rPr/>
            </w:pPr>
            <w:r>
              <w:rPr/>
              <w:t>By:</w:t>
            </w:r>
          </w:p>
        </w:tc>
        <w:tc>
          <w:tcPr>
            <w:tcW w:w="33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Michael E. Manna</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ind w:left="0" w:right="0" w:firstLine="180"/>
              <w:jc w:val="left"/>
              <w:rPr>
                <w:caps w:val="false"/>
                <w:smallCaps w:val="false"/>
              </w:rPr>
            </w:pPr>
            <w:r>
              <w:rPr>
                <w:caps w:val="false"/>
                <w:smallCaps w:val="false"/>
              </w:rPr>
              <w:t xml:space="preserve">  </w:t>
            </w:r>
            <w:r>
              <w:rPr>
                <w:rFonts w:ascii="Times New Roman" w:hAnsi="Times New Roman"/>
                <w:caps w:val="false"/>
                <w:smallCaps w:val="false"/>
                <w:sz w:val="20"/>
              </w:rPr>
              <w:t>Michael E. Manna</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ind w:left="0" w:right="0" w:firstLine="180"/>
              <w:jc w:val="left"/>
              <w:rPr>
                <w:caps w:val="false"/>
                <w:smallCaps w:val="false"/>
              </w:rPr>
            </w:pPr>
            <w:r>
              <w:rPr>
                <w:caps w:val="false"/>
                <w:smallCaps w:val="false"/>
              </w:rPr>
              <w:t xml:space="preserve">  </w:t>
            </w:r>
            <w:r>
              <w:rPr>
                <w:rFonts w:ascii="Times New Roman" w:hAnsi="Times New Roman"/>
                <w:caps w:val="false"/>
                <w:smallCaps w:val="false"/>
                <w:sz w:val="20"/>
              </w:rPr>
              <w:t>President and Chief Executive Officer</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r>
              <w:rPr>
                <w:rFonts w:ascii="Times New Roman" w:hAnsi="Times New Roman"/>
                <w:caps w:val="false"/>
                <w:smallCaps w:val="false"/>
                <w:sz w:val="20"/>
                <w:u w:val="single"/>
              </w:rPr>
              <w:t>August 7, 2026</w:t>
            </w:r>
          </w:p>
        </w:tc>
        <w:tc>
          <w:tcPr>
            <w:tcW w:w="365" w:type="dxa"/>
            <w:tcBorders/>
            <w:vAlign w:val="center"/>
          </w:tcPr>
          <w:p>
            <w:pPr>
              <w:pStyle w:val="TableContents"/>
              <w:bidi w:val="0"/>
              <w:spacing w:before="0" w:after="283"/>
              <w:jc w:val="left"/>
              <w:rPr/>
            </w:pPr>
            <w:r>
              <w:rPr/>
              <w:t>By:</w:t>
            </w:r>
          </w:p>
        </w:tc>
        <w:tc>
          <w:tcPr>
            <w:tcW w:w="33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Philip A. Fain</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ind w:left="0" w:right="0" w:firstLine="180"/>
              <w:jc w:val="left"/>
              <w:rPr>
                <w:caps w:val="false"/>
                <w:smallCaps w:val="false"/>
              </w:rPr>
            </w:pPr>
            <w:r>
              <w:rPr>
                <w:caps w:val="false"/>
                <w:smallCaps w:val="false"/>
              </w:rPr>
              <w:t xml:space="preserve">  </w:t>
            </w:r>
            <w:r>
              <w:rPr>
                <w:rFonts w:ascii="Times New Roman" w:hAnsi="Times New Roman"/>
                <w:caps w:val="false"/>
                <w:smallCaps w:val="false"/>
                <w:sz w:val="20"/>
              </w:rPr>
              <w:t>Philip A. Fain</w:t>
            </w:r>
          </w:p>
        </w:tc>
        <w:tc>
          <w:tcPr>
            <w:tcW w:w="60"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ind w:left="0" w:right="0" w:firstLine="180"/>
              <w:jc w:val="left"/>
              <w:rPr>
                <w:caps w:val="false"/>
                <w:smallCaps w:val="false"/>
              </w:rPr>
            </w:pPr>
            <w:r>
              <w:rPr>
                <w:caps w:val="false"/>
                <w:smallCaps w:val="false"/>
              </w:rPr>
              <w:t xml:space="preserve">  </w:t>
            </w:r>
            <w:r>
              <w:rPr>
                <w:rFonts w:ascii="Times New Roman" w:hAnsi="Times New Roman"/>
                <w:caps w:val="false"/>
                <w:smallCaps w:val="false"/>
                <w:sz w:val="20"/>
              </w:rPr>
              <w:t>Chief Financial Officer and Treasurer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15839</Words>
  <Characters>87716</Characters>
  <CharactersWithSpaces>105871</CharactersWithSpaces>
  <Paragraphs>6439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