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 10-Q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4020" w:right="1180" w:hanging="2792"/>
        <w:spacing w:after="0" w:line="532" w:lineRule="auto"/>
        <w:tabs>
          <w:tab w:leader="none" w:pos="1518"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2013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060" w:right="1220" w:hanging="1799"/>
        <w:spacing w:after="0" w:line="532" w:lineRule="auto"/>
        <w:tabs>
          <w:tab w:leader="none" w:pos="13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________________ to ________________</w:t>
      </w:r>
    </w:p>
    <w:tbl>
      <w:tblPr>
        <w:tblLayout w:type="fixed"/>
        <w:tblInd w:w="1920" w:type="dxa"/>
        <w:tblCellMar>
          <w:top w:w="0" w:type="dxa"/>
          <w:left w:w="0" w:type="dxa"/>
          <w:bottom w:w="0" w:type="dxa"/>
          <w:right w:w="0" w:type="dxa"/>
        </w:tblCellMar>
      </w:tblPr>
      <w:tr>
        <w:trPr>
          <w:trHeight w:val="191"/>
        </w:trPr>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40" w:type="dxa"/>
            <w:vAlign w:val="bottom"/>
            <w:gridSpan w:val="7"/>
          </w:tcPr>
          <w:p>
            <w:pPr>
              <w:jc w:val="center"/>
              <w:ind w:right="2300"/>
              <w:spacing w:after="0" w:line="191" w:lineRule="exact"/>
              <w:rPr>
                <w:sz w:val="20"/>
                <w:szCs w:val="20"/>
                <w:color w:val="auto"/>
              </w:rPr>
            </w:pPr>
            <w:r>
              <w:rPr>
                <w:rFonts w:ascii="Arial" w:cs="Arial" w:eastAsia="Arial" w:hAnsi="Arial"/>
                <w:sz w:val="18"/>
                <w:szCs w:val="18"/>
                <w:color w:val="auto"/>
                <w:w w:val="92"/>
              </w:rPr>
              <w:t>Commission File Number 000-20852</w:t>
            </w: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9"/>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00" w:type="dxa"/>
            <w:vAlign w:val="bottom"/>
            <w:gridSpan w:val="6"/>
          </w:tcPr>
          <w:p>
            <w:pPr>
              <w:jc w:val="center"/>
              <w:ind w:right="3040"/>
              <w:spacing w:after="0"/>
              <w:rPr>
                <w:sz w:val="20"/>
                <w:szCs w:val="20"/>
                <w:color w:val="auto"/>
              </w:rPr>
            </w:pPr>
            <w:r>
              <w:rPr>
                <w:rFonts w:ascii="Arial" w:cs="Arial" w:eastAsia="Arial" w:hAnsi="Arial"/>
                <w:sz w:val="18"/>
                <w:szCs w:val="18"/>
                <w:color w:val="auto"/>
                <w:w w:val="95"/>
              </w:rPr>
              <w:t>ULTRALIFE CORPORATION</w:t>
            </w:r>
          </w:p>
        </w:tc>
      </w:tr>
      <w:tr>
        <w:trPr>
          <w:trHeight w:val="20"/>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40" w:type="dxa"/>
            <w:vAlign w:val="bottom"/>
            <w:gridSpan w:val="7"/>
          </w:tcPr>
          <w:p>
            <w:pPr>
              <w:jc w:val="center"/>
              <w:ind w:right="22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9"/>
        </w:trPr>
        <w:tc>
          <w:tcPr>
            <w:tcW w:w="60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Delaware</w:t>
            </w:r>
          </w:p>
        </w:tc>
        <w:tc>
          <w:tcPr>
            <w:tcW w:w="6040" w:type="dxa"/>
            <w:vAlign w:val="bottom"/>
            <w:gridSpan w:val="7"/>
          </w:tcPr>
          <w:p>
            <w:pPr>
              <w:jc w:val="right"/>
              <w:ind w:right="880"/>
              <w:spacing w:after="0"/>
              <w:rPr>
                <w:sz w:val="20"/>
                <w:szCs w:val="20"/>
                <w:color w:val="auto"/>
              </w:rPr>
            </w:pPr>
            <w:r>
              <w:rPr>
                <w:rFonts w:ascii="Arial" w:cs="Arial" w:eastAsia="Arial" w:hAnsi="Arial"/>
                <w:sz w:val="18"/>
                <w:szCs w:val="18"/>
                <w:color w:val="auto"/>
              </w:rPr>
              <w:t>16-1387013</w:t>
            </w:r>
          </w:p>
        </w:tc>
      </w:tr>
      <w:tr>
        <w:trPr>
          <w:trHeight w:val="20"/>
        </w:trPr>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9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(State or other jurisdiction</w:t>
            </w: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3"/>
          </w:tcPr>
          <w:p>
            <w:pPr>
              <w:jc w:val="center"/>
              <w:ind w:left="110"/>
              <w:spacing w:after="0"/>
              <w:rPr>
                <w:sz w:val="20"/>
                <w:szCs w:val="20"/>
                <w:color w:val="auto"/>
              </w:rPr>
            </w:pPr>
            <w:r>
              <w:rPr>
                <w:rFonts w:ascii="Arial" w:cs="Arial" w:eastAsia="Arial" w:hAnsi="Arial"/>
                <w:sz w:val="18"/>
                <w:szCs w:val="18"/>
                <w:color w:val="auto"/>
                <w:w w:val="94"/>
              </w:rPr>
              <w:t>(I.R.S. Employer Identification No.)</w:t>
            </w:r>
          </w:p>
        </w:tc>
      </w:tr>
    </w:tbl>
    <w:p>
      <w:pPr>
        <w:ind w:left="1680"/>
        <w:spacing w:after="0"/>
        <w:rPr>
          <w:sz w:val="20"/>
          <w:szCs w:val="20"/>
          <w:color w:val="auto"/>
        </w:rPr>
      </w:pPr>
      <w:r>
        <w:rPr>
          <w:rFonts w:ascii="Arial" w:cs="Arial" w:eastAsia="Arial" w:hAnsi="Arial"/>
          <w:sz w:val="18"/>
          <w:szCs w:val="18"/>
          <w:color w:val="auto"/>
        </w:rPr>
        <w:t>of incorporation or organization)</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2000 Technology Parkway, Newark, New York 14513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(Zip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(315) 332-7100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440"/>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tabs>
          <w:tab w:leader="none" w:pos="2360" w:val="left"/>
        </w:tabs>
        <w:rPr>
          <w:sz w:val="20"/>
          <w:szCs w:val="20"/>
          <w:color w:val="auto"/>
        </w:rPr>
      </w:pPr>
      <w:r>
        <w:rPr>
          <w:rFonts w:ascii="Arial" w:cs="Arial" w:eastAsia="Arial" w:hAnsi="Arial"/>
          <w:sz w:val="18"/>
          <w:szCs w:val="18"/>
          <w:color w:val="auto"/>
        </w:rPr>
        <w:t>submit and post such files).</w:t>
      </w:r>
      <w:r>
        <w:rPr>
          <w:sz w:val="20"/>
          <w:szCs w:val="20"/>
          <w:color w:val="auto"/>
        </w:rPr>
        <w:tab/>
      </w:r>
      <w:r>
        <w:rPr>
          <w:rFonts w:ascii="Arial" w:cs="Arial" w:eastAsia="Arial" w:hAnsi="Arial"/>
          <w:sz w:val="16"/>
          <w:szCs w:val="16"/>
          <w:color w:val="auto"/>
        </w:rPr>
        <w:t>Yes..X… No…..</w:t>
      </w:r>
    </w:p>
    <w:p>
      <w:pPr>
        <w:spacing w:after="0" w:line="238"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1720"/>
        <w:spacing w:after="0"/>
        <w:rPr>
          <w:sz w:val="20"/>
          <w:szCs w:val="20"/>
          <w:color w:val="auto"/>
        </w:rPr>
      </w:pPr>
      <w:r>
        <w:rPr>
          <w:rFonts w:ascii="Arial" w:cs="Arial" w:eastAsia="Arial" w:hAnsi="Arial"/>
          <w:sz w:val="18"/>
          <w:szCs w:val="18"/>
          <w:color w:val="auto"/>
        </w:rPr>
        <w:t>Large accelerated filer …..  Accelerated filer …....  Non-accelerated filer .....  Smaller reporting company..X..</w:t>
      </w:r>
    </w:p>
    <w:p>
      <w:pPr>
        <w:spacing w:after="0" w:line="238" w:lineRule="exact"/>
        <w:rPr>
          <w:sz w:val="24"/>
          <w:szCs w:val="24"/>
          <w:color w:val="auto"/>
        </w:rPr>
      </w:pPr>
    </w:p>
    <w:p>
      <w:pPr>
        <w:spacing w:after="0"/>
        <w:tabs>
          <w:tab w:leader="none" w:pos="8420" w:val="left"/>
        </w:tabs>
        <w:rPr>
          <w:sz w:val="20"/>
          <w:szCs w:val="20"/>
          <w:color w:val="auto"/>
        </w:rPr>
      </w:pPr>
      <w:r>
        <w:rPr>
          <w:rFonts w:ascii="Arial" w:cs="Arial" w:eastAsia="Arial" w:hAnsi="Arial"/>
          <w:sz w:val="18"/>
          <w:szCs w:val="18"/>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Yes…. No..X...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Common stock, $.10 par value – 17,458,977 shares of common stock outstanding, net of 1,372,757 treasury shares, as of May 2, 2013.</w:t>
      </w:r>
    </w:p>
    <w:p>
      <w:pPr>
        <w:spacing w:after="0" w:line="158"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680" w:type="dxa"/>
            <w:vAlign w:val="bottom"/>
            <w:gridSpan w:val="18"/>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080" w:type="dxa"/>
            <w:vAlign w:val="bottom"/>
            <w:gridSpan w:val="5"/>
          </w:tcPr>
          <w:p>
            <w:pPr>
              <w:jc w:val="right"/>
              <w:ind w:righ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680" w:type="dxa"/>
            <w:vAlign w:val="bottom"/>
            <w:gridSpan w:val="18"/>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2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March 31, 2013 (Unaudited) and December 31, 2012</w:t>
              </w:r>
            </w:hyperlink>
          </w:p>
        </w:tc>
        <w:tc>
          <w:tcPr>
            <w:tcW w:w="1700" w:type="dxa"/>
            <w:vAlign w:val="bottom"/>
            <w:gridSpan w:val="3"/>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Comprehensive Income (Loss) (Unaudited) - Three-month periods ended</w:t>
              </w:r>
            </w:hyperlink>
          </w:p>
        </w:tc>
        <w:tc>
          <w:tcPr>
            <w:tcW w:w="1080" w:type="dxa"/>
            <w:vAlign w:val="bottom"/>
            <w:gridSpan w:val="5"/>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2013 and April 1, 2012</w:t>
              </w:r>
            </w:hyperlink>
          </w:p>
        </w:tc>
        <w:tc>
          <w:tcPr>
            <w:tcW w:w="4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Three-month periods ended March 31, 2013 and</w:t>
              </w:r>
            </w:hyperlink>
          </w:p>
        </w:tc>
        <w:tc>
          <w:tcPr>
            <w:tcW w:w="1080" w:type="dxa"/>
            <w:vAlign w:val="bottom"/>
            <w:gridSpan w:val="5"/>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April 1, 2012</w:t>
              </w:r>
            </w:hyperlink>
          </w:p>
        </w:tc>
        <w:tc>
          <w:tcPr>
            <w:tcW w:w="7280" w:type="dxa"/>
            <w:vAlign w:val="bottom"/>
            <w:tcBorders>
              <w:top w:val="single" w:sz="8" w:color="0000EE"/>
            </w:tcBorders>
            <w:gridSpan w:val="10"/>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620" w:type="dxa"/>
            <w:vAlign w:val="bottom"/>
            <w:gridSpan w:val="5"/>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080" w:type="dxa"/>
            <w:vAlign w:val="bottom"/>
            <w:gridSpan w:val="5"/>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08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100" w:type="dxa"/>
            <w:vAlign w:val="bottom"/>
            <w:tcBorders>
              <w:bottom w:val="single" w:sz="8" w:color="0000EE"/>
            </w:tcBorders>
          </w:tcPr>
          <w:p>
            <w:pPr>
              <w:spacing w:after="0"/>
              <w:rPr>
                <w:sz w:val="24"/>
                <w:szCs w:val="24"/>
                <w:color w:val="auto"/>
              </w:rPr>
            </w:pPr>
          </w:p>
        </w:tc>
        <w:tc>
          <w:tcPr>
            <w:tcW w:w="1920" w:type="dxa"/>
            <w:vAlign w:val="bottom"/>
            <w:tcBorders>
              <w:bottom w:val="single" w:sz="8" w:color="0000EE"/>
            </w:tcBorders>
            <w:gridSpan w:val="5"/>
          </w:tcPr>
          <w:p>
            <w:pPr>
              <w:ind w:left="20"/>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OTHER INFORMATION</w:t>
              </w:r>
            </w:hyperlink>
          </w:p>
        </w:tc>
        <w:tc>
          <w:tcPr>
            <w:tcW w:w="766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08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280" w:type="dxa"/>
            <w:vAlign w:val="bottom"/>
            <w:gridSpan w:val="9"/>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20" w:type="dxa"/>
            <w:vAlign w:val="bottom"/>
            <w:gridSpan w:val="1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080" w:type="dxa"/>
            <w:vAlign w:val="bottom"/>
            <w:gridSpan w:val="5"/>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3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108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100" w:type="dxa"/>
            <w:vAlign w:val="bottom"/>
            <w:gridSpan w:val="1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Index to Exhibits</w:t>
              </w:r>
            </w:hyperlink>
          </w:p>
        </w:tc>
        <w:tc>
          <w:tcPr>
            <w:tcW w:w="108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628"/>
        </w:trPr>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6940" w:type="dxa"/>
            <w:vAlign w:val="bottom"/>
            <w:gridSpan w:val="12"/>
          </w:tcPr>
          <w:p>
            <w:pPr>
              <w:jc w:val="right"/>
              <w:ind w:right="24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w w:val="99"/>
              </w:rPr>
              <w:t>PART I</w:t>
            </w:r>
          </w:p>
        </w:tc>
        <w:tc>
          <w:tcPr>
            <w:tcW w:w="8600" w:type="dxa"/>
            <w:vAlign w:val="bottom"/>
          </w:tcPr>
          <w:p>
            <w:pPr>
              <w:ind w:left="180"/>
              <w:spacing w:after="0"/>
              <w:rPr>
                <w:sz w:val="20"/>
                <w:szCs w:val="20"/>
                <w:color w:val="auto"/>
              </w:rPr>
            </w:pPr>
            <w:r>
              <w:rPr>
                <w:rFonts w:ascii="Arial" w:cs="Arial" w:eastAsia="Arial" w:hAnsi="Arial"/>
                <w:sz w:val="18"/>
                <w:szCs w:val="18"/>
                <w:color w:val="auto"/>
              </w:rPr>
              <w:t>FINANCIAL INFORMATION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0" w:type="dxa"/>
            <w:vAlign w:val="bottom"/>
          </w:tcPr>
          <w:p>
            <w:pPr>
              <w:jc w:val="center"/>
              <w:ind w:left="1530"/>
              <w:spacing w:after="0"/>
              <w:rPr>
                <w:sz w:val="20"/>
                <w:szCs w:val="20"/>
                <w:color w:val="auto"/>
              </w:rPr>
            </w:pPr>
            <w:r>
              <w:rPr>
                <w:rFonts w:ascii="Arial" w:cs="Arial" w:eastAsia="Arial" w:hAnsi="Arial"/>
                <w:sz w:val="18"/>
                <w:szCs w:val="18"/>
                <w:color w:val="auto"/>
                <w:w w:val="95"/>
              </w:rPr>
              <w:t>ULTRALIFE CORPORATION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jc w:val="center"/>
              <w:ind w:left="1570"/>
              <w:spacing w:after="0"/>
              <w:rPr>
                <w:sz w:val="20"/>
                <w:szCs w:val="20"/>
                <w:color w:val="auto"/>
              </w:rPr>
            </w:pPr>
            <w:r>
              <w:rPr>
                <w:rFonts w:ascii="Arial" w:cs="Arial" w:eastAsia="Arial" w:hAnsi="Arial"/>
                <w:sz w:val="18"/>
                <w:szCs w:val="18"/>
                <w:color w:val="auto"/>
                <w:w w:val="95"/>
              </w:rPr>
              <w:t>CONDENSED CONSOLIDATED BALANCE SHEETS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0" w:type="dxa"/>
            <w:vAlign w:val="bottom"/>
          </w:tcPr>
          <w:p>
            <w:pPr>
              <w:jc w:val="center"/>
              <w:ind w:left="1530"/>
              <w:spacing w:after="0"/>
              <w:rPr>
                <w:sz w:val="20"/>
                <w:szCs w:val="20"/>
                <w:color w:val="auto"/>
              </w:rPr>
            </w:pPr>
            <w:r>
              <w:rPr>
                <w:rFonts w:ascii="Arial" w:cs="Arial" w:eastAsia="Arial" w:hAnsi="Arial"/>
                <w:sz w:val="18"/>
                <w:szCs w:val="18"/>
                <w:color w:val="auto"/>
                <w:w w:val="90"/>
              </w:rPr>
              <w:t>(Dollars in Thousands, Except Per Share Amounts)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Arial" w:cs="Arial" w:eastAsia="Arial" w:hAnsi="Arial"/>
                <w:sz w:val="18"/>
                <w:szCs w:val="18"/>
                <w:color w:val="auto"/>
                <w:w w:val="97"/>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2013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2012</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8,486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Trade accounts receivable (less allowance for doubtful accounts of $280 at March 31, 2013 and $322 at December 31,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28,281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30,370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Due from insurance company</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Deferred tax asset - current</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57,039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63,822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11,778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12,415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Security deposits and 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23,425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21,481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92,242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97,718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tax liability - current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4,997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Deferred tax liability - long-term</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Ultralife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Preferred stock, par value $0.10 per share, authorized 1,000,000 shares; none issued and outstanding</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Common stock, par value $0.10 per share, authorized 40,000,000 shares; issued - 18,831,734 at March 31, 2013 and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18,828,734 at December 31, 2012</w:t>
            </w: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173,993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173,791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(93,449)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(93,878)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81,683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tcPr>
          <w:p>
            <w:pPr>
              <w:ind w:left="60"/>
              <w:spacing w:after="0" w:line="201" w:lineRule="exact"/>
              <w:rPr>
                <w:sz w:val="20"/>
                <w:szCs w:val="20"/>
                <w:color w:val="auto"/>
              </w:rPr>
            </w:pPr>
            <w:r>
              <w:rPr>
                <w:rFonts w:ascii="Arial" w:cs="Arial" w:eastAsia="Arial" w:hAnsi="Arial"/>
                <w:sz w:val="18"/>
                <w:szCs w:val="18"/>
                <w:color w:val="auto"/>
                <w:w w:val="93"/>
              </w:rPr>
              <w:t>Less --Treasury stock, at cost -- 1,372,757 shares at March 31, 2013 and 1,372,757 shares at December 31, 2012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Ultralife equity</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73,954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73,456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92,242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97,718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0" w:type="dxa"/>
            <w:vAlign w:val="bottom"/>
            <w:gridSpan w:val="5"/>
          </w:tcPr>
          <w:p>
            <w:pPr>
              <w:jc w:val="center"/>
              <w:ind w:left="550"/>
              <w:spacing w:after="0"/>
              <w:rPr>
                <w:sz w:val="20"/>
                <w:szCs w:val="20"/>
                <w:color w:val="auto"/>
              </w:rPr>
            </w:pPr>
            <w:r>
              <w:rPr>
                <w:rFonts w:ascii="Arial" w:cs="Arial" w:eastAsia="Arial" w:hAnsi="Arial"/>
                <w:sz w:val="18"/>
                <w:szCs w:val="18"/>
                <w:color w:val="auto"/>
                <w:w w:val="89"/>
              </w:rPr>
              <w:t>The accompanying Notes to Condensed Consolidated Financial Statements are an integral part of these statements.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0" w:type="dxa"/>
            <w:vAlign w:val="bottom"/>
          </w:tcPr>
          <w:p>
            <w:pPr>
              <w:jc w:val="center"/>
              <w:ind w:left="153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6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60" w:orient="portrait"/>
          <w:cols w:equalWidth="0" w:num="1">
            <w:col w:w="11440"/>
          </w:cols>
          <w:pgMar w:left="240" w:top="274" w:right="21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660" w:type="dxa"/>
            <w:vAlign w:val="bottom"/>
            <w:gridSpan w:val="10"/>
          </w:tcPr>
          <w:p>
            <w:pPr>
              <w:ind w:left="520"/>
              <w:spacing w:after="0"/>
              <w:rPr>
                <w:sz w:val="20"/>
                <w:szCs w:val="20"/>
                <w:color w:val="auto"/>
              </w:rPr>
            </w:pPr>
            <w:r>
              <w:rPr>
                <w:rFonts w:ascii="Arial" w:cs="Arial" w:eastAsia="Arial" w:hAnsi="Arial"/>
                <w:sz w:val="18"/>
                <w:szCs w:val="18"/>
                <w:color w:val="auto"/>
                <w:w w:val="93"/>
              </w:rPr>
              <w:t>Three-Month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April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2013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right"/>
              <w:ind w:right="380"/>
              <w:spacing w:after="0" w:line="190"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8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Research and development (including $56 and $65, respectively, of amortization of intangible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7"/>
              </w:rPr>
              <w:t>Selling, general, and administrative (including $45 and $60, respectively, of amortization of intangible assets)</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Miscellaneous</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 provision-current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provision-deferred</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Total income taxes provision</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 net of tax</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7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Ultralife</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basic</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Discontinued operations</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Ultralife common shareholders - 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Discontinued operations</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7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17,457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91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gridSpan w:val="10"/>
          </w:tcPr>
          <w:p>
            <w:pPr>
              <w:ind w:left="420"/>
              <w:spacing w:after="0"/>
              <w:rPr>
                <w:sz w:val="20"/>
                <w:szCs w:val="20"/>
                <w:color w:val="auto"/>
              </w:rPr>
            </w:pPr>
            <w:r>
              <w:rPr>
                <w:rFonts w:ascii="Arial" w:cs="Arial" w:eastAsia="Arial" w:hAnsi="Arial"/>
                <w:sz w:val="18"/>
                <w:szCs w:val="18"/>
                <w:color w:val="auto"/>
                <w:w w:val="93"/>
              </w:rPr>
              <w:t>Three-Month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April 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2013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3"/>
          </w:tcPr>
          <w:p>
            <w:pPr>
              <w:jc w:val="right"/>
              <w:ind w:right="380"/>
              <w:spacing w:after="0" w:line="190"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53"/>
        </w:trPr>
        <w:tc>
          <w:tcPr>
            <w:tcW w:w="88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Loss (gain) from discontinued operations, net of tax</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from continuing operations to net cash provided from operating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Depreciation and amortization of financing fees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(Gain) loss on long-lived asset disposal and write-offs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Changes in deferred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receivable relating to fires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ind w:left="320"/>
              <w:spacing w:after="0"/>
              <w:rPr>
                <w:sz w:val="20"/>
                <w:szCs w:val="20"/>
                <w:color w:val="auto"/>
              </w:rPr>
            </w:pPr>
            <w:r>
              <w:rPr>
                <w:rFonts w:ascii="Arial" w:cs="Arial" w:eastAsia="Arial" w:hAnsi="Arial"/>
                <w:sz w:val="18"/>
                <w:szCs w:val="18"/>
                <w:color w:val="auto"/>
              </w:rPr>
              <w:t>Accounts payable and other liabilities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 from continuing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cash provided from operating activities from discontinued operations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from (used in) operating activities</w:t>
            </w: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cash provided from investing activities from discontinued operations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revolving credit facility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cash provided from financing activities from continuing operations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cash provided from financing activities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rPr>
          <w:sz w:val="20"/>
          <w:szCs w:val="20"/>
          <w:color w:val="auto"/>
        </w:rPr>
      </w:pPr>
      <w:r>
        <w:rPr>
          <w:rFonts w:ascii="Arial" w:cs="Arial" w:eastAsia="Arial" w:hAnsi="Arial"/>
          <w:sz w:val="18"/>
          <w:szCs w:val="18"/>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431"/>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5,320</w:t>
            </w:r>
          </w:p>
        </w:tc>
      </w:tr>
      <w:tr>
        <w:trPr>
          <w:trHeight w:val="223"/>
        </w:trPr>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4,136</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60" w:space="720"/>
            <w:col w:w="2140"/>
          </w:cols>
          <w:pgMar w:left="240" w:top="27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3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6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3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ULTRALIFE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twelve-month period ended December 31, 2012.</w:t>
      </w:r>
    </w:p>
    <w:p>
      <w:pPr>
        <w:spacing w:after="0" w:line="2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5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20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DISPOSITIONS AND EXIT ACTIVITIES</w:t>
      </w:r>
    </w:p>
    <w:p>
      <w:pPr>
        <w:spacing w:after="0" w:line="24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Ultralife Batteries UK, Ltd.</w:t>
      </w:r>
    </w:p>
    <w:p>
      <w:pPr>
        <w:spacing w:after="0" w:line="256" w:lineRule="exact"/>
        <w:rPr>
          <w:sz w:val="20"/>
          <w:szCs w:val="20"/>
          <w:color w:val="auto"/>
        </w:rPr>
      </w:pPr>
    </w:p>
    <w:p>
      <w:pPr>
        <w:jc w:val="both"/>
        <w:ind w:left="340" w:firstLine="648"/>
        <w:spacing w:after="0" w:line="264"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(the “U.K. Facility Lease”), and instead relocated our sales and services operations to a smaller facility. As a result of this decision, we were required to restore the facility back to its original condition pursuant to the terms of the U.K. Facility Lease.</w:t>
      </w:r>
    </w:p>
    <w:p>
      <w:pPr>
        <w:spacing w:after="0" w:line="208" w:lineRule="exact"/>
        <w:rPr>
          <w:sz w:val="20"/>
          <w:szCs w:val="20"/>
          <w:color w:val="auto"/>
        </w:rPr>
      </w:pPr>
    </w:p>
    <w:p>
      <w:pPr>
        <w:jc w:val="both"/>
        <w:ind w:left="340" w:firstLine="648"/>
        <w:spacing w:after="0" w:line="276" w:lineRule="auto"/>
        <w:rPr>
          <w:sz w:val="20"/>
          <w:szCs w:val="20"/>
          <w:color w:val="auto"/>
        </w:rPr>
      </w:pPr>
      <w:r>
        <w:rPr>
          <w:rFonts w:ascii="Arial" w:cs="Arial" w:eastAsia="Arial" w:hAnsi="Arial"/>
          <w:sz w:val="17"/>
          <w:szCs w:val="17"/>
          <w:color w:val="auto"/>
        </w:rPr>
        <w:t>The costs associated with the lease exit were not determinable until late in the fourth quarter of 2012. Accordingly, we recorded a liability as of the end of 2012 for our estimate of the costs to return the facility to its original condition as well as other related expenses. A total of $228 was charged to selling, general, and administrative costs related to operations transferred to our facilities in Newark, NY, and an additional $815 was recorded as discontinued operations for those operations that were not transferred to our facilities in Newark, NY. The termination of the U.K. Facility Lease did not result in any employee reductions or other termination costs, with the exception of the aforementioned restoration costs.</w:t>
      </w:r>
    </w:p>
    <w:p>
      <w:pPr>
        <w:spacing w:after="0" w:line="200" w:lineRule="exact"/>
        <w:rPr>
          <w:sz w:val="20"/>
          <w:szCs w:val="20"/>
          <w:color w:val="auto"/>
        </w:rPr>
      </w:pPr>
    </w:p>
    <w:p>
      <w:pPr>
        <w:jc w:val="both"/>
        <w:ind w:left="340" w:firstLine="810"/>
        <w:spacing w:after="0" w:line="342" w:lineRule="auto"/>
        <w:rPr>
          <w:sz w:val="20"/>
          <w:szCs w:val="20"/>
          <w:color w:val="auto"/>
        </w:rPr>
      </w:pPr>
      <w:r>
        <w:rPr>
          <w:rFonts w:ascii="Arial" w:cs="Arial" w:eastAsia="Arial" w:hAnsi="Arial"/>
          <w:sz w:val="16"/>
          <w:szCs w:val="16"/>
          <w:color w:val="auto"/>
        </w:rPr>
        <w:t>As a result, the results of presentation herein exclude the discontinued Ultralife Batteries UK, Ltd. operations from the results of continuing operations. The following amounts have been reported as discontinued operations for the three-month periods ending March 31, 2013 and April 1, 2012: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5140" w:type="dxa"/>
            <w:vAlign w:val="bottom"/>
            <w:gridSpan w:val="4"/>
          </w:tcPr>
          <w:p>
            <w:pPr>
              <w:ind w:left="3000"/>
              <w:spacing w:after="0"/>
              <w:rPr>
                <w:sz w:val="20"/>
                <w:szCs w:val="20"/>
                <w:color w:val="auto"/>
              </w:rPr>
            </w:pPr>
            <w:r>
              <w:rPr>
                <w:rFonts w:ascii="Arial" w:cs="Arial" w:eastAsia="Arial" w:hAnsi="Arial"/>
                <w:sz w:val="18"/>
                <w:szCs w:val="18"/>
                <w:color w:val="auto"/>
                <w:w w:val="93"/>
              </w:rPr>
              <w:t>Three-Month Periods Ended</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w w:val="89"/>
              </w:rPr>
              <w:t>March 31,</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April 1,</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r>
      <w:tr>
        <w:trPr>
          <w:trHeight w:val="223"/>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80" w:type="dxa"/>
            <w:vAlign w:val="bottom"/>
            <w:gridSpan w:val="2"/>
            <w:shd w:val="clear" w:color="auto" w:fill="CCEEFF"/>
          </w:tcPr>
          <w:p>
            <w:pPr>
              <w:ind w:left="30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Gain from discontinued operations</w:t>
            </w:r>
          </w:p>
        </w:tc>
        <w:tc>
          <w:tcPr>
            <w:tcW w:w="30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241</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Gain from discontinued operations, net of tax</w:t>
            </w:r>
          </w:p>
        </w:tc>
        <w:tc>
          <w:tcPr>
            <w:tcW w:w="3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241</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cost of returning our former UK facility back to its original condition was less than our estimate of the cost made during the fourth quarter of 2012. As a result, we recognized the difference as a gain from discontinued operations during the first quarter of 2013.</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RedBlack Communications, Inc.</w:t>
      </w:r>
    </w:p>
    <w:p>
      <w:pPr>
        <w:spacing w:after="0" w:line="256" w:lineRule="exact"/>
        <w:rPr>
          <w:sz w:val="20"/>
          <w:szCs w:val="20"/>
          <w:color w:val="auto"/>
        </w:rPr>
      </w:pPr>
    </w:p>
    <w:p>
      <w:pPr>
        <w:jc w:val="both"/>
        <w:ind w:left="340" w:right="20" w:firstLine="648"/>
        <w:spacing w:after="0" w:line="312" w:lineRule="auto"/>
        <w:rPr>
          <w:sz w:val="20"/>
          <w:szCs w:val="20"/>
          <w:color w:val="auto"/>
        </w:rPr>
      </w:pPr>
      <w:r>
        <w:rPr>
          <w:rFonts w:ascii="Arial" w:cs="Arial" w:eastAsia="Arial" w:hAnsi="Arial"/>
          <w:sz w:val="16"/>
          <w:szCs w:val="16"/>
          <w:color w:val="auto"/>
        </w:rPr>
        <w:t>On February 16, 2012, we announced our intention to divest our RedBlack Communications, Inc. (“RedBlack”) business in 2012. RedBlack was a wholly owned subsidiary of ours based in Hollywood, Maryland, that designed, integrated and fielded mobile, modular and fixed site communication and electronic systems. We determined that RedBlack offered limited opportunities to achieve the operating thresholds of our business model.</w:t>
      </w:r>
    </w:p>
    <w:p>
      <w:pPr>
        <w:spacing w:after="0" w:line="174"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On September 28, 2012 (the “Closing Date”), we entered into and closed a Stock Purchase Agreement (the “Agreement”) to sell 100% of our capital stock in RedBlack to BCF Solutions, Inc. In exchange for the sale of RedBlack, we received $2,533 as a purchase price, comprised of cash at closing in the amount of $2,133, funds held in escrow for up to one year in the amount of $250, as well as $150 to be available for RedBlack employee retention programs. In addition, there will be a customary post-closing working capital adjustment to the purchase price that is currently being finalized.</w:t>
      </w:r>
    </w:p>
    <w:p>
      <w:pPr>
        <w:spacing w:after="0" w:line="18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Agreement contains customary representations and warranties that will survive the Closing Date for a period of two or three years. The Agreement also contains customary indemnification for breaches of the representations and warranties contained in the Agreement.</w:t>
      </w:r>
    </w:p>
    <w:p>
      <w:pPr>
        <w:spacing w:after="0" w:line="19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Agreement contains restrictive covenants that continue for two years from the Closing Date, under which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214"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Commencing with the first quarter of 2012, the results of the RedBlack operations and related divestiture costs have been reported as a discontinued operation.</w:t>
      </w:r>
    </w:p>
    <w:p>
      <w:pPr>
        <w:spacing w:after="0" w:line="19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As a result, the presentation of results herein excludes the RedBlack operations from the results of continuing operations. The following amounts have been reported as discontinued operations for the three-month periods ended March 31, 2013 and April 1,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920" w:type="dxa"/>
            <w:vAlign w:val="bottom"/>
            <w:gridSpan w:val="4"/>
          </w:tcPr>
          <w:p>
            <w:pPr>
              <w:ind w:left="2780"/>
              <w:spacing w:after="0"/>
              <w:rPr>
                <w:sz w:val="20"/>
                <w:szCs w:val="20"/>
                <w:color w:val="auto"/>
              </w:rPr>
            </w:pPr>
            <w:r>
              <w:rPr>
                <w:rFonts w:ascii="Arial" w:cs="Arial" w:eastAsia="Arial" w:hAnsi="Arial"/>
                <w:sz w:val="18"/>
                <w:szCs w:val="18"/>
                <w:color w:val="auto"/>
                <w:w w:val="93"/>
              </w:rPr>
              <w:t>Three-Month Periods Ended</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March 31,</w:t>
            </w:r>
          </w:p>
        </w:tc>
        <w:tc>
          <w:tcPr>
            <w:tcW w:w="44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April 1,</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r>
      <w:tr>
        <w:trPr>
          <w:trHeight w:val="223"/>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Gain (loss) from discontinued operations</w:t>
            </w:r>
          </w:p>
        </w:tc>
        <w:tc>
          <w:tcPr>
            <w:tcW w:w="27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Gain (loss) from discontinued operations, net of tax</w:t>
            </w:r>
          </w:p>
        </w:tc>
        <w:tc>
          <w:tcPr>
            <w:tcW w:w="2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Energy Services Business</w:t>
      </w:r>
    </w:p>
    <w:p>
      <w:pPr>
        <w:spacing w:after="0" w:line="256" w:lineRule="exact"/>
        <w:rPr>
          <w:sz w:val="20"/>
          <w:szCs w:val="20"/>
          <w:color w:val="auto"/>
        </w:rPr>
      </w:pPr>
    </w:p>
    <w:p>
      <w:pPr>
        <w:jc w:val="both"/>
        <w:ind w:left="340" w:firstLine="324"/>
        <w:spacing w:after="0" w:line="297"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included standby power and systems design, installation and maintenance activities. As of the end of the second quarter of 2011, all exit activities with respect to our Energy Services segment were completed. As a result, the presentation of results herein excludes the Energy Services segment from the results of continuing operations. The following amounts, due to the variation of our actual experience compared to the estimates of reserves as of the date of closure, have been reported as discontinued operations for the three-month periods ended March 31, 2013 and April 1,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920" w:type="dxa"/>
            <w:vAlign w:val="bottom"/>
            <w:gridSpan w:val="4"/>
          </w:tcPr>
          <w:p>
            <w:pPr>
              <w:ind w:left="2780"/>
              <w:spacing w:after="0"/>
              <w:rPr>
                <w:sz w:val="20"/>
                <w:szCs w:val="20"/>
                <w:color w:val="auto"/>
              </w:rPr>
            </w:pPr>
            <w:r>
              <w:rPr>
                <w:rFonts w:ascii="Arial" w:cs="Arial" w:eastAsia="Arial" w:hAnsi="Arial"/>
                <w:sz w:val="18"/>
                <w:szCs w:val="18"/>
                <w:color w:val="auto"/>
                <w:w w:val="93"/>
              </w:rPr>
              <w:t>Three-Month Periods Ended</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color w:val="auto"/>
                <w:w w:val="89"/>
              </w:rPr>
              <w:t>March 31,</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April 1,</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r>
      <w:tr>
        <w:trPr>
          <w:trHeight w:val="223"/>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60" w:type="dxa"/>
            <w:vAlign w:val="bottom"/>
            <w:gridSpan w:val="2"/>
            <w:shd w:val="clear" w:color="auto" w:fill="CCEEFF"/>
          </w:tcPr>
          <w:p>
            <w:pPr>
              <w:ind w:left="278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Gain (loss) from discontinued operations</w:t>
            </w:r>
          </w:p>
        </w:tc>
        <w:tc>
          <w:tcPr>
            <w:tcW w:w="27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Gain (loss) from discontinued operations, net of tax</w:t>
            </w:r>
          </w:p>
        </w:tc>
        <w:tc>
          <w:tcPr>
            <w:tcW w:w="2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tab/>
        <w:t>INVENTORIES</w:t>
      </w:r>
    </w:p>
    <w:p>
      <w:pPr>
        <w:spacing w:after="0" w:line="252" w:lineRule="exact"/>
        <w:rPr>
          <w:sz w:val="20"/>
          <w:szCs w:val="20"/>
          <w:color w:val="auto"/>
        </w:rPr>
      </w:pPr>
    </w:p>
    <w:p>
      <w:pPr>
        <w:ind w:left="340" w:right="100" w:firstLine="324"/>
        <w:spacing w:after="0" w:line="277" w:lineRule="auto"/>
        <w:rPr>
          <w:sz w:val="20"/>
          <w:szCs w:val="20"/>
          <w:color w:val="auto"/>
        </w:rPr>
      </w:pPr>
      <w:r>
        <w:rPr>
          <w:rFonts w:ascii="Arial" w:cs="Arial" w:eastAsia="Arial" w:hAnsi="Arial"/>
          <w:sz w:val="18"/>
          <w:szCs w:val="18"/>
          <w:color w:val="auto"/>
        </w:rPr>
        <w:t>Inventories are stated at the lower of cost or market with cost determined under the first-in, first-out (FIFO) method. The composition of inventories was: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80" w:type="dxa"/>
            <w:vAlign w:val="bottom"/>
            <w:gridSpan w:val="3"/>
          </w:tcPr>
          <w:p>
            <w:pPr>
              <w:ind w:left="5140"/>
              <w:spacing w:after="0"/>
              <w:rPr>
                <w:sz w:val="20"/>
                <w:szCs w:val="20"/>
                <w:color w:val="auto"/>
              </w:rPr>
            </w:pPr>
            <w:r>
              <w:rPr>
                <w:rFonts w:ascii="Arial" w:cs="Arial" w:eastAsia="Arial" w:hAnsi="Arial"/>
                <w:sz w:val="18"/>
                <w:szCs w:val="18"/>
                <w:color w:val="auto"/>
                <w:w w:val="97"/>
              </w:rPr>
              <w:t>March 31, 2013</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94"/>
              </w:rPr>
              <w:t>December 31, 2012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500" w:type="dxa"/>
            <w:vAlign w:val="bottom"/>
            <w:gridSpan w:val="2"/>
            <w:shd w:val="clear" w:color="auto" w:fill="CCEEFF"/>
          </w:tcPr>
          <w:p>
            <w:pPr>
              <w:ind w:left="5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13,447</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15,023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Work in process</w:t>
            </w:r>
          </w:p>
        </w:tc>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4,281</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10,553</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5500" w:type="dxa"/>
            <w:vAlign w:val="bottom"/>
            <w:gridSpan w:val="2"/>
          </w:tcPr>
          <w:p>
            <w:pPr>
              <w:ind w:left="5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28,281</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140" w:type="dxa"/>
            <w:vAlign w:val="bottom"/>
            <w:vMerge w:val="restart"/>
          </w:tcPr>
          <w:p>
            <w:pPr>
              <w:jc w:val="right"/>
              <w:ind w:right="2710"/>
              <w:spacing w:after="0"/>
              <w:rPr>
                <w:sz w:val="20"/>
                <w:szCs w:val="20"/>
                <w:color w:val="auto"/>
              </w:rPr>
            </w:pPr>
            <w:r>
              <w:rPr>
                <w:rFonts w:ascii="Arial" w:cs="Arial" w:eastAsia="Arial" w:hAnsi="Arial"/>
                <w:sz w:val="18"/>
                <w:szCs w:val="18"/>
                <w:color w:val="auto"/>
              </w:rPr>
              <w:t>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4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2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0"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4.  PROPERTY, PLANT AND EQUIPMENT</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728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3"/>
        </w:trPr>
        <w:tc>
          <w:tcPr>
            <w:tcW w:w="7280" w:type="dxa"/>
            <w:vAlign w:val="bottom"/>
          </w:tcPr>
          <w:p>
            <w:pPr>
              <w:spacing w:after="0"/>
              <w:rPr>
                <w:sz w:val="24"/>
                <w:szCs w:val="24"/>
                <w:color w:val="auto"/>
              </w:rPr>
            </w:pPr>
          </w:p>
        </w:tc>
        <w:tc>
          <w:tcPr>
            <w:tcW w:w="2520" w:type="dxa"/>
            <w:vAlign w:val="bottom"/>
            <w:gridSpan w:val="3"/>
          </w:tcPr>
          <w:p>
            <w:pPr>
              <w:ind w:left="1280"/>
              <w:spacing w:after="0"/>
              <w:rPr>
                <w:sz w:val="20"/>
                <w:szCs w:val="20"/>
                <w:color w:val="auto"/>
              </w:rPr>
            </w:pPr>
            <w:r>
              <w:rPr>
                <w:rFonts w:ascii="Arial" w:cs="Arial" w:eastAsia="Arial" w:hAnsi="Arial"/>
                <w:sz w:val="18"/>
                <w:szCs w:val="18"/>
                <w:color w:val="auto"/>
                <w:w w:val="97"/>
              </w:rPr>
              <w:t>March 31, 2013</w:t>
            </w: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w w:val="94"/>
              </w:rPr>
              <w:t>December 31, 2012</w:t>
            </w:r>
          </w:p>
        </w:tc>
      </w:tr>
      <w:tr>
        <w:trPr>
          <w:trHeight w:val="20"/>
        </w:trPr>
        <w:tc>
          <w:tcPr>
            <w:tcW w:w="7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7,388</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7,381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46,237</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46,606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1,921</w:t>
            </w:r>
          </w:p>
        </w:tc>
        <w:tc>
          <w:tcPr>
            <w:tcW w:w="6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r>
      <w:tr>
        <w:trPr>
          <w:trHeight w:val="210"/>
        </w:trPr>
        <w:tc>
          <w:tcPr>
            <w:tcW w:w="7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61,081</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61,298</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49,303</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48,883</w:t>
            </w:r>
          </w:p>
        </w:tc>
      </w:tr>
      <w:tr>
        <w:trPr>
          <w:trHeight w:val="243"/>
        </w:trPr>
        <w:tc>
          <w:tcPr>
            <w:tcW w:w="72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11,778</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12,415</w:t>
            </w:r>
          </w:p>
        </w:tc>
      </w:tr>
      <w:tr>
        <w:trPr>
          <w:trHeight w:val="20"/>
        </w:trPr>
        <w:tc>
          <w:tcPr>
            <w:tcW w:w="7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Depreciation expense for property, plant and equipment was $830 and $836 for the three-month periods ended March 31, 2013 and April 1, 2012, respectively.</w:t>
      </w:r>
    </w:p>
    <w:p>
      <w:pPr>
        <w:spacing w:after="0" w:line="197" w:lineRule="exact"/>
        <w:rPr>
          <w:sz w:val="20"/>
          <w:szCs w:val="20"/>
          <w:color w:val="auto"/>
        </w:rPr>
      </w:pPr>
    </w:p>
    <w:p>
      <w:pPr>
        <w:ind w:left="340" w:right="6040" w:hanging="332"/>
        <w:spacing w:after="0" w:line="53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INTANGIBLE ASSETS AND LONG TERM ASSETS a. Goodwill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goodwill activity by segment for the three-month periods ended March 31, 2013 and April 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Battery &amp;</w:t>
            </w: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Energy Products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Operations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4,838</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foreign currency translations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4,860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Sale of RedBlack Communications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4,851</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foreign currency translations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Balance at March 31, 2013</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4,864</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11,493</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intangible assets was: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March 31, 2013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100" w:type="dxa"/>
            <w:vAlign w:val="bottom"/>
            <w:gridSpan w:val="4"/>
          </w:tcPr>
          <w:p>
            <w:pPr>
              <w:ind w:left="3120"/>
              <w:spacing w:after="0" w:line="190" w:lineRule="exact"/>
              <w:rPr>
                <w:sz w:val="20"/>
                <w:szCs w:val="20"/>
                <w:color w:val="auto"/>
              </w:rPr>
            </w:pPr>
            <w:r>
              <w:rPr>
                <w:rFonts w:ascii="Arial" w:cs="Arial" w:eastAsia="Arial" w:hAnsi="Arial"/>
                <w:sz w:val="18"/>
                <w:szCs w:val="18"/>
                <w:color w:val="auto"/>
                <w:w w:val="89"/>
              </w:rPr>
              <w:t>Gross Assets</w:t>
            </w:r>
          </w:p>
        </w:tc>
        <w:tc>
          <w:tcPr>
            <w:tcW w:w="160" w:type="dxa"/>
            <w:vAlign w:val="bottom"/>
          </w:tcPr>
          <w:p>
            <w:pPr>
              <w:spacing w:after="0"/>
              <w:rPr>
                <w:sz w:val="16"/>
                <w:szCs w:val="16"/>
                <w:color w:val="auto"/>
              </w:rPr>
            </w:pPr>
          </w:p>
        </w:tc>
        <w:tc>
          <w:tcPr>
            <w:tcW w:w="1180" w:type="dxa"/>
            <w:vAlign w:val="bottom"/>
            <w:gridSpan w:val="3"/>
          </w:tcPr>
          <w:p>
            <w:pPr>
              <w:spacing w:after="0" w:line="190" w:lineRule="exact"/>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6"/>
                <w:szCs w:val="16"/>
                <w:color w:val="auto"/>
              </w:rPr>
            </w:pPr>
          </w:p>
        </w:tc>
        <w:tc>
          <w:tcPr>
            <w:tcW w:w="70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w w:val="85"/>
              </w:rPr>
              <w:t>Net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3,760</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2012</w:t>
            </w: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100" w:type="dxa"/>
            <w:vAlign w:val="bottom"/>
            <w:gridSpan w:val="4"/>
          </w:tcPr>
          <w:p>
            <w:pPr>
              <w:ind w:left="3120"/>
              <w:spacing w:after="0" w:line="190" w:lineRule="exact"/>
              <w:rPr>
                <w:sz w:val="20"/>
                <w:szCs w:val="20"/>
                <w:color w:val="auto"/>
              </w:rPr>
            </w:pPr>
            <w:r>
              <w:rPr>
                <w:rFonts w:ascii="Arial" w:cs="Arial" w:eastAsia="Arial" w:hAnsi="Arial"/>
                <w:sz w:val="18"/>
                <w:szCs w:val="18"/>
                <w:color w:val="auto"/>
                <w:w w:val="89"/>
              </w:rPr>
              <w:t>Gross Assets</w:t>
            </w:r>
          </w:p>
        </w:tc>
        <w:tc>
          <w:tcPr>
            <w:tcW w:w="160" w:type="dxa"/>
            <w:vAlign w:val="bottom"/>
          </w:tcPr>
          <w:p>
            <w:pPr>
              <w:spacing w:after="0"/>
              <w:rPr>
                <w:sz w:val="16"/>
                <w:szCs w:val="16"/>
                <w:color w:val="auto"/>
              </w:rPr>
            </w:pPr>
          </w:p>
        </w:tc>
        <w:tc>
          <w:tcPr>
            <w:tcW w:w="1180" w:type="dxa"/>
            <w:vAlign w:val="bottom"/>
            <w:gridSpan w:val="3"/>
          </w:tcPr>
          <w:p>
            <w:pPr>
              <w:spacing w:after="0" w:line="190" w:lineRule="exact"/>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6"/>
                <w:szCs w:val="16"/>
                <w:color w:val="auto"/>
              </w:rPr>
            </w:pPr>
          </w:p>
        </w:tc>
        <w:tc>
          <w:tcPr>
            <w:tcW w:w="70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w w:val="85"/>
              </w:rPr>
              <w:t>Net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3,702</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3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33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38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was $101 and $125 for the three-month periods ended March 31, 2013 and April 1, 2012, respectively.</w:t>
      </w:r>
    </w:p>
    <w:p>
      <w:pPr>
        <w:spacing w:after="0" w:line="27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change in the cost value of total intangible assets from December 31, 2012 to March 31, 2013 is a result of the effect of foreign currency translations.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Long-Term Assets</w:t>
      </w:r>
    </w:p>
    <w:p>
      <w:pPr>
        <w:spacing w:after="0" w:line="25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the first quarter of this year, we had a sale to a customer of our Communications Systems segment of which $2,031, net of interest, had a payment term of greater than one year. This sale was in order to facilitate this customer’s ability to support a soldier modernization initiative. We expect this receivable to be fully collected within two years.</w:t>
      </w:r>
    </w:p>
    <w:p>
      <w:pPr>
        <w:spacing w:after="0" w:line="2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w:t>
      </w:r>
    </w:p>
    <w:p>
      <w:pPr>
        <w:spacing w:after="0" w:line="25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have entered into a senior secured asset based revolving credit facility (the “Credit Facility”) of up to $20,000, with RBS Business Capital, a division of RBS Asset Finance, Inc. (“RBS”). The proceeds from the Credit Facility can be used for general working capital purposes, general corporate purposes, and letter of credit foreign exchange support. The Credit Facility has a maturity date of May 15, 2013, as discussed in greater detail below (the “Maturity Date”). The Credit Facility is secured by substantially all of our assets.</w:t>
      </w:r>
    </w:p>
    <w:p>
      <w:pPr>
        <w:spacing w:after="0" w:line="21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Our available borrowing under the Credit Facility fluctuates from time to time based upon the amounts of eligible accounts receivable and eligible inventory. Available borrowings under the Credit Facility, as amended by the amendments described below, equals the lesser of (1) $20,000 or (2) 85% of eligible accounts receivable plus the lesser of (a) up to 70% of the book value of our eligible inventory or (b) 85% of the appraised net orderly liquidation value of our eligible inventory. The borrowing base under the Credit Facility is further reduced by (1) the face amount of any letters of credit outstanding, (2) any liabilities of ours under hedging contracts with RBS and (3) the value of any reserves as deemed appropriate by RBS. We are required to have at least $3,000 available under the Credit Facility at all times.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ind w:left="340" w:firstLine="324"/>
        <w:spacing w:after="0" w:line="277" w:lineRule="auto"/>
        <w:rPr>
          <w:sz w:val="20"/>
          <w:szCs w:val="20"/>
          <w:color w:val="auto"/>
        </w:rPr>
      </w:pPr>
      <w:r>
        <w:rPr>
          <w:rFonts w:ascii="Arial" w:cs="Arial" w:eastAsia="Arial" w:hAnsi="Arial"/>
          <w:sz w:val="18"/>
          <w:szCs w:val="18"/>
          <w:color w:val="auto"/>
        </w:rPr>
        <w:t>On January 19, 2011, we entered in a First Amendment to Credit Agreement (the “First Amendment”) with RBS. The First Amendment amended the Credit Facility as follows:</w:t>
      </w:r>
    </w:p>
    <w:p>
      <w:pPr>
        <w:spacing w:after="0" w:line="197" w:lineRule="exact"/>
        <w:rPr>
          <w:sz w:val="20"/>
          <w:szCs w:val="20"/>
          <w:color w:val="auto"/>
        </w:rPr>
      </w:pPr>
    </w:p>
    <w:p>
      <w:pPr>
        <w:ind w:left="340" w:firstLine="316"/>
        <w:spacing w:after="0" w:line="342" w:lineRule="auto"/>
        <w:tabs>
          <w:tab w:leader="none" w:pos="997" w:val="left"/>
        </w:tabs>
        <w:numPr>
          <w:ilvl w:val="0"/>
          <w:numId w:val="7"/>
        </w:numPr>
        <w:rPr>
          <w:rFonts w:ascii="Arial" w:cs="Arial" w:eastAsia="Arial" w:hAnsi="Arial"/>
          <w:sz w:val="16"/>
          <w:szCs w:val="16"/>
          <w:color w:val="auto"/>
        </w:rPr>
      </w:pPr>
      <w:r>
        <w:rPr>
          <w:rFonts w:ascii="Arial" w:cs="Arial" w:eastAsia="Arial" w:hAnsi="Arial"/>
          <w:sz w:val="16"/>
          <w:szCs w:val="16"/>
          <w:color w:val="auto"/>
        </w:rPr>
        <w:t>Eligible accounts receivable under the Credit Facility (for the determination of available borrowings) now include foreign (non-U.S.) accounts subject to credit insurance payable to RBS (formerly, such accounts were not eligible without arranging letter of credit facilities satisfactory to RBS).</w:t>
      </w:r>
    </w:p>
    <w:p>
      <w:pPr>
        <w:spacing w:after="0" w:line="150" w:lineRule="exact"/>
        <w:rPr>
          <w:rFonts w:ascii="Arial" w:cs="Arial" w:eastAsia="Arial" w:hAnsi="Arial"/>
          <w:sz w:val="16"/>
          <w:szCs w:val="16"/>
          <w:color w:val="auto"/>
        </w:rPr>
      </w:pPr>
    </w:p>
    <w:p>
      <w:pPr>
        <w:ind w:left="960" w:hanging="30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Excess Availability</w:t>
            </w:r>
          </w:p>
        </w:tc>
        <w:tc>
          <w:tcPr>
            <w:tcW w:w="3720" w:type="dxa"/>
            <w:vAlign w:val="bottom"/>
            <w:gridSpan w:val="2"/>
          </w:tcPr>
          <w:p>
            <w:pPr>
              <w:jc w:val="right"/>
              <w:ind w:right="2440"/>
              <w:spacing w:after="0"/>
              <w:rPr>
                <w:sz w:val="20"/>
                <w:szCs w:val="20"/>
                <w:color w:val="auto"/>
              </w:rPr>
            </w:pPr>
            <w:r>
              <w:rPr>
                <w:rFonts w:ascii="Arial" w:cs="Arial" w:eastAsia="Arial" w:hAnsi="Arial"/>
                <w:sz w:val="18"/>
                <w:szCs w:val="18"/>
                <w:color w:val="auto"/>
                <w:w w:val="91"/>
              </w:rPr>
              <w:t>LIBOR Rate Plus</w:t>
            </w:r>
          </w:p>
        </w:tc>
      </w:tr>
      <w:tr>
        <w:trPr>
          <w:trHeight w:val="237"/>
        </w:trPr>
        <w:tc>
          <w:tcPr>
            <w:tcW w:w="22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40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r>
      <w:tr>
        <w:trPr>
          <w:trHeight w:val="216"/>
        </w:trPr>
        <w:tc>
          <w:tcPr>
            <w:tcW w:w="2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372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3.00%</w:t>
            </w:r>
          </w:p>
        </w:tc>
      </w:tr>
      <w:tr>
        <w:trPr>
          <w:trHeight w:val="216"/>
        </w:trPr>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$6,000 but less than or equal to $10,000</w:t>
            </w:r>
          </w:p>
        </w:tc>
        <w:tc>
          <w:tcPr>
            <w:tcW w:w="372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3.25%</w:t>
            </w:r>
          </w:p>
        </w:tc>
      </w:tr>
      <w:tr>
        <w:trPr>
          <w:trHeight w:val="216"/>
        </w:trPr>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372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-685165</wp:posOffset>
            </wp:positionV>
            <wp:extent cx="144907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-410845</wp:posOffset>
            </wp:positionV>
            <wp:extent cx="14490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144081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68580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-136525</wp:posOffset>
            </wp:positionV>
            <wp:extent cx="14490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9070" cy="137160"/>
                    </a:xfrm>
                    <a:prstGeom prst="rect">
                      <a:avLst/>
                    </a:prstGeom>
                    <a:noFill/>
                  </pic:spPr>
                </pic:pic>
              </a:graphicData>
            </a:graphic>
          </wp:anchor>
        </w:drawing>
      </w:r>
    </w:p>
    <w:p>
      <w:pPr>
        <w:spacing w:after="0" w:line="209"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On September 28, 2012, we entered into a Second Amendment to the Credit Facility (the “Second Amendment”) with RBS. The Second Amendment amended the Credit Facility to consent to the sale of the stock of RedBlack and to release any and all liens on RedBlack.</w:t>
      </w:r>
    </w:p>
    <w:p>
      <w:pPr>
        <w:spacing w:after="0" w:line="17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February 15, 2013, we entered into a Third Amendment to the Credit Facility (the “Third Amendment”) with RBS. The Third Amendment amended the Credit Facility to extend the Maturity Date from February 17, 2013, to May 15, 2013, reduced the maximum amount available under the Credit Facility to $20,000, and reduced the unused line fee to 0.40% per year.</w:t>
      </w:r>
    </w:p>
    <w:p>
      <w:pPr>
        <w:spacing w:after="0" w:line="208"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As of March 31, 2013, in addition to paying interest on the outstanding principal under the Credit Facility, we were required to pay an unused line fee of 0.40% on the unused portion of the $20,000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 as extended by the Third Amendment.</w:t>
      </w:r>
    </w:p>
    <w:p>
      <w:pPr>
        <w:spacing w:after="0" w:line="198"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We are required to maintain a fixed charge ratio of 1.20 to 1.00 or greater at all times as of and after March 28, 2010. As of March 31, 2013, our fixed charge ratio was 3.00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both"/>
        <w:ind w:left="340" w:firstLine="324"/>
        <w:spacing w:after="0" w:line="286" w:lineRule="auto"/>
        <w:rPr>
          <w:sz w:val="20"/>
          <w:szCs w:val="20"/>
          <w:color w:val="auto"/>
        </w:rPr>
      </w:pPr>
      <w:r>
        <w:rPr>
          <w:rFonts w:ascii="Arial" w:cs="Arial" w:eastAsia="Arial" w:hAnsi="Arial"/>
          <w:sz w:val="17"/>
          <w:szCs w:val="17"/>
          <w:color w:val="auto"/>
        </w:rPr>
        <w:t>As of March 31, 2013, we had $-0- outstanding under the Credit Facility. At March 31, 2013, the interest rate on the asset based revolver component of the Credit Facility was 3.20%. As of March 31, 2013, we had approximately $13,965 of borrowing capacity under the terms of the revolver agreement, including outstanding letters of credit. At March 31, 2013, we had no outstanding letters of credit related to this facility.</w:t>
      </w:r>
    </w:p>
    <w:p>
      <w:pPr>
        <w:spacing w:after="0" w:line="193" w:lineRule="exact"/>
        <w:rPr>
          <w:sz w:val="20"/>
          <w:szCs w:val="20"/>
          <w:color w:val="auto"/>
        </w:rPr>
      </w:pPr>
    </w:p>
    <w:p>
      <w:pPr>
        <w:ind w:left="340" w:right="8900" w:hanging="332"/>
        <w:spacing w:after="0" w:line="53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SHAREHOLDERS’ EQUITY a. Treasury Stock</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2013 and December 31, 2012, we had 1,372,757 shares of treasury stock outstanding, valued at $7,658.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Stock Options</w:t>
      </w:r>
    </w:p>
    <w:p>
      <w:pPr>
        <w:spacing w:after="0" w:line="25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have various stock-based employee compensation plans, for which we follow the provisions of the Financial Accounting Standards Board’s (“FASB”)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214"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certain grants of stock options outside of these plans.</w:t>
      </w:r>
    </w:p>
    <w:p>
      <w:pPr>
        <w:spacing w:after="0" w:line="197"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and 2011, the total number of authorized shares under the LTIP increased to 2,900,000.</w:t>
      </w:r>
    </w:p>
    <w:p>
      <w:pPr>
        <w:spacing w:after="0" w:line="174"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issued to employees. As of March 31, 2013, there were 2,166,356 stock options outstanding under the LTIP.</w:t>
      </w:r>
    </w:p>
    <w:p>
      <w:pPr>
        <w:spacing w:after="0" w:line="22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is fully vested and expires on June 8, 2013.</w:t>
      </w:r>
    </w:p>
    <w:p>
      <w:pPr>
        <w:spacing w:after="0" w:line="208"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stock option is fully vested and expires on March 7, 2015.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jc w:val="both"/>
        <w:ind w:left="340" w:firstLine="324"/>
        <w:spacing w:after="0" w:line="288" w:lineRule="auto"/>
        <w:rPr>
          <w:sz w:val="20"/>
          <w:szCs w:val="20"/>
          <w:color w:val="auto"/>
        </w:rPr>
      </w:pPr>
      <w:r>
        <w:rPr>
          <w:rFonts w:ascii="Arial" w:cs="Arial" w:eastAsia="Arial" w:hAnsi="Arial"/>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or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196"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208"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In conjunction with FASB’s guidance for share-based payments, we recorded compensation cost related to stock options of $190 and $264 for the three-month periods ended March 31, 2013 and April 1, 2012, respectively. As of March 31, 2013, there was $1,060 of total unrecognized compensation cost related to outstanding stock options, which is expected to be recognized over a weighted average period of 2.32 years.</w:t>
      </w:r>
    </w:p>
    <w:p>
      <w:pPr>
        <w:spacing w:after="0" w:line="193"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We use the Black-Scholes option-pricing model to estimate the fair value of non-market performance stock-based awards. The following weighted average assumptions were used to value non-market performance stock options granted during the three-month periods ended March 31, 2013 and April 1,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24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Three-Month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Volatility factor</w:t>
            </w:r>
          </w:p>
        </w:tc>
        <w:tc>
          <w:tcPr>
            <w:tcW w:w="1140" w:type="dxa"/>
            <w:vAlign w:val="bottom"/>
          </w:tcPr>
          <w:p>
            <w:pPr>
              <w:jc w:val="right"/>
              <w:spacing w:after="0"/>
              <w:rPr>
                <w:sz w:val="20"/>
                <w:szCs w:val="20"/>
                <w:color w:val="auto"/>
              </w:rPr>
            </w:pPr>
            <w:r>
              <w:rPr>
                <w:rFonts w:ascii="Arial" w:cs="Arial" w:eastAsia="Arial" w:hAnsi="Arial"/>
                <w:sz w:val="18"/>
                <w:szCs w:val="18"/>
                <w:color w:val="auto"/>
              </w:rPr>
              <w:t>63.17%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Weighted average expected life (years)</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4.03</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We use a Monte Carlo simulation option-pricing model to estimate the fair value of market performance stock-based awards. There were no market performance stock options granted during the three-months ended March 31, 2013 and April 1, 2012.</w:t>
      </w:r>
    </w:p>
    <w:p>
      <w:pPr>
        <w:spacing w:after="0" w:line="19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rPr>
              <w:t>Stock option activity for the first three months of 2013 is summarized as: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Exercise Price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of Shares</w:t>
            </w:r>
          </w:p>
        </w:tc>
        <w:tc>
          <w:tcPr>
            <w:tcW w:w="200" w:type="dxa"/>
            <w:vAlign w:val="bottom"/>
          </w:tcPr>
          <w:p>
            <w:pPr>
              <w:spacing w:after="0"/>
              <w:rPr>
                <w:sz w:val="20"/>
                <w:szCs w:val="20"/>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Per Share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under option at January 1, 2013</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2,211,488</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Options granted</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114,000</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Options 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(25,132)</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under option at March 31, 2013</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2,264,356</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Vested and expected to vest as of March 31, 2013</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2,055,554</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2013</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1,045,897</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total intrinsic value of stock options (which is the amount by which the stock price exceeded the exercise price of the options on the date of exercise) exercised during the three-month period ended March 31, 2013 was $1.</w:t>
      </w:r>
    </w:p>
    <w:p>
      <w:pPr>
        <w:spacing w:after="0" w:line="19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FASB’s guidance for share-based payments requires cash flows from excess tax benefits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three months of 2013 and 2012. Cash received from stock option exercises under our stock-based compensation plans for the three-month periods ended March 31, 2013 and April 1, 2012 was $12 and $99, respectively.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Restricted Stock Awards</w:t>
      </w:r>
    </w:p>
    <w:p>
      <w:pPr>
        <w:spacing w:after="0" w:line="25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No restricted stock was awarded during the three-month periods ended March 31, 2013 and April 1, 2012. No expense was incurred related to restricted stock awards in the current quarter and $1 of expense was recognized in the three-month period ended April 1, 2012. There is no unrecognized compensation cost related to restricted stock awards as of March 31, 2013.</w:t>
      </w:r>
    </w:p>
    <w:p>
      <w:pPr>
        <w:spacing w:after="0" w:line="20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asset and liability method, prescribed by FASB’s guidance on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93" w:lineRule="exact"/>
        <w:rPr>
          <w:sz w:val="20"/>
          <w:szCs w:val="20"/>
          <w:color w:val="auto"/>
        </w:rPr>
      </w:pPr>
    </w:p>
    <w:p>
      <w:pPr>
        <w:jc w:val="both"/>
        <w:ind w:left="340" w:right="20" w:firstLine="324"/>
        <w:spacing w:after="0" w:line="259" w:lineRule="auto"/>
        <w:rPr>
          <w:sz w:val="20"/>
          <w:szCs w:val="20"/>
          <w:color w:val="auto"/>
        </w:rPr>
      </w:pPr>
      <w:r>
        <w:rPr>
          <w:rFonts w:ascii="Arial" w:cs="Arial" w:eastAsia="Arial" w:hAnsi="Arial"/>
          <w:sz w:val="18"/>
          <w:szCs w:val="18"/>
          <w:color w:val="auto"/>
        </w:rPr>
        <w:t>For the three-month periods ended March 31, 2013 and April 1, 2012, we recorded $98 and $102, respectively, in income tax expense. The expense is primarily due to the recognition of deferred tax liabilities generated from goodwill and certain intangible assets that cannot be predicted to reverse for book purposes during our loss carryforward periods. The remaining expense in 2013 was primarily due to the income reported for our China operations during the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w w:val="93"/>
              </w:rPr>
              <w:t>Our effective consolidated tax rates for the three-month periods ended March 31, 2013 and April 1, 2012 were: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7"/>
              </w:rPr>
              <w:t>Three-Month Periods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10"/>
              <w:spacing w:after="0" w:line="195" w:lineRule="exact"/>
              <w:rPr>
                <w:sz w:val="20"/>
                <w:szCs w:val="20"/>
                <w:color w:val="auto"/>
              </w:rPr>
            </w:pPr>
            <w:r>
              <w:rPr>
                <w:rFonts w:ascii="Arial" w:cs="Arial" w:eastAsia="Arial" w:hAnsi="Arial"/>
                <w:sz w:val="18"/>
                <w:szCs w:val="18"/>
                <w:color w:val="auto"/>
                <w:w w:val="99"/>
              </w:rPr>
              <w:t>March 31,</w:t>
            </w:r>
          </w:p>
        </w:tc>
        <w:tc>
          <w:tcPr>
            <w:tcW w:w="180" w:type="dxa"/>
            <w:vAlign w:val="bottom"/>
          </w:tcPr>
          <w:p>
            <w:pPr>
              <w:spacing w:after="0"/>
              <w:rPr>
                <w:sz w:val="16"/>
                <w:szCs w:val="16"/>
                <w:color w:val="auto"/>
              </w:rPr>
            </w:pPr>
          </w:p>
        </w:tc>
        <w:tc>
          <w:tcPr>
            <w:tcW w:w="9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April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Incomes Taxes (a)</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The overall effective tax rate is the result of the combination of income and losses in each of our tax jurisdictions, which is particularly influenced by the fact that we have not recognized a deferred tax asset pertaining to cumulative historical losses for our U.S. operations and our U.K. subsidiary, as management does not believe, at this time, it is more likely than not that we will realize the benefit of these losses. We have substantial net operating loss carryforwards which offset taxable income in the United States. However, we remain subject to the alternative minimum tax in the United States. The alternative minimum tax limits the amount of net operating loss available to offset taxable income to 90% of the current year income. We incurred $12 in alternative minimum tax for the three months ended March 31, 2013. The alternative minimum tax did not have an impact on income taxes determined for the three-month period ended April 1, 2012. The payment of the alternative minimum tax normally results in the establishment of a deferred tax asset; however, we have established a valuation allowance for our net U.S. deferred tax asset. Therefore, the expected payment of the alternative minimum tax does not result in a net deferred tax asset.</w:t>
      </w:r>
    </w:p>
    <w:p>
      <w:pPr>
        <w:spacing w:after="0" w:line="20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As of December 31, 2012, we had foreign and domestic net operating loss carryforwards totaling approximately $58,030 available to reduce future taxable income. Foreign loss carryforwards of approximately $12,390 can be carried forward indefinitely. The domestic net operating loss carryforwards of $48,549 expire from 2019 through 2032. The domestic net operating loss carryforwards include approximately $2,949 for which a benefit will be recorded in capital in excess of par value when realized.</w:t>
      </w:r>
    </w:p>
    <w:p>
      <w:pPr>
        <w:spacing w:after="0" w:line="214" w:lineRule="exact"/>
        <w:rPr>
          <w:sz w:val="20"/>
          <w:szCs w:val="20"/>
          <w:color w:val="auto"/>
        </w:rPr>
      </w:pPr>
    </w:p>
    <w:p>
      <w:pPr>
        <w:ind w:left="340" w:right="200"/>
        <w:spacing w:after="0" w:line="308" w:lineRule="auto"/>
        <w:rPr>
          <w:sz w:val="20"/>
          <w:szCs w:val="20"/>
          <w:color w:val="auto"/>
        </w:rPr>
      </w:pPr>
      <w:r>
        <w:rPr>
          <w:rFonts w:ascii="Arial" w:cs="Arial" w:eastAsia="Arial" w:hAnsi="Arial"/>
          <w:sz w:val="17"/>
          <w:szCs w:val="17"/>
          <w:color w:val="auto"/>
        </w:rPr>
        <w:t>We have adopted FASB’s guidance for the accounting for uncertainty in income taxes. As a result of the implementation of this guidance, there was no cumulative effect adjustment for unrecognized tax benefits, which would have been accounted for as an adjustment to retained earnings.</w:t>
      </w:r>
    </w:p>
    <w:p>
      <w:pPr>
        <w:spacing w:after="0" w:line="17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March 31, 2013 relate to Federal and various state jurisdictions. The following table summarizes the activity related to our unrecognized tax benefits: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4680" w:type="dxa"/>
            <w:vAlign w:val="bottom"/>
            <w:gridSpan w:val="5"/>
          </w:tcPr>
          <w:p>
            <w:pPr>
              <w:ind w:left="2540"/>
              <w:spacing w:after="0"/>
              <w:rPr>
                <w:sz w:val="20"/>
                <w:szCs w:val="20"/>
                <w:color w:val="auto"/>
              </w:rPr>
            </w:pPr>
            <w:r>
              <w:rPr>
                <w:rFonts w:ascii="Arial" w:cs="Arial" w:eastAsia="Arial" w:hAnsi="Arial"/>
                <w:sz w:val="18"/>
                <w:szCs w:val="18"/>
                <w:color w:val="auto"/>
                <w:w w:val="93"/>
              </w:rPr>
              <w:t>Three-Month Periods Ended</w:t>
            </w:r>
          </w:p>
        </w:tc>
      </w:tr>
      <w:tr>
        <w:trPr>
          <w:trHeight w:val="195"/>
        </w:trPr>
        <w:tc>
          <w:tcPr>
            <w:tcW w:w="6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89"/>
              </w:rPr>
              <w:t>March 31,</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April 1,</w:t>
            </w:r>
          </w:p>
        </w:tc>
      </w:tr>
      <w:tr>
        <w:trPr>
          <w:trHeight w:val="230"/>
        </w:trPr>
        <w:tc>
          <w:tcPr>
            <w:tcW w:w="6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20" w:type="dxa"/>
            <w:vAlign w:val="bottom"/>
            <w:gridSpan w:val="2"/>
            <w:shd w:val="clear" w:color="auto" w:fill="CCEEFF"/>
          </w:tcPr>
          <w:p>
            <w:pPr>
              <w:ind w:left="25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prior year tax positions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Decreases related to prior year tax positions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 for assessment of taxes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Settlements</w:t>
            </w:r>
          </w:p>
        </w:tc>
        <w:tc>
          <w:tcPr>
            <w:tcW w:w="2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620" w:type="dxa"/>
            <w:vAlign w:val="bottom"/>
            <w:gridSpan w:val="2"/>
            <w:shd w:val="clear" w:color="auto" w:fill="CCEEFF"/>
          </w:tcPr>
          <w:p>
            <w:pPr>
              <w:ind w:left="25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6,779</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The total unrecognized tax benefit balance at March 31, 2013 is comprised of tax benefits that, if recognized, would result in a deferred tax asset and a corresponding increase in our valuation allowance. As a result, because the benefit would be offset by an increase in the valuation allowance, there would be no effect on the effective tax rate.</w:t>
      </w:r>
    </w:p>
    <w:p>
      <w:pPr>
        <w:spacing w:after="0" w:line="208"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We are not required to accrue interest and penalties as the unrecognized tax benefits have been recorded as a decrease in our net operating loss carryforward. Interest and penalties would begin to accrue in the period in which the net operating loss carryforwards related to the uncertain tax positions are utilized. We do not expect our unrecognized tax benefits to change significantly over the next twelve months.</w:t>
      </w:r>
    </w:p>
    <w:p>
      <w:pPr>
        <w:spacing w:after="0" w:line="193"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2012 remain subject to examination by the Internal Revenue Service (“IRS”) due to our net operating loss carryforwards. Our U.S. tax matters for the years 2000 through 2012 remain subject to examination by various state and local tax jurisdictions due to our net operating loss carryforwards. Our tax matters for the years 2007 through 2012 remain subject to examination by the respective foreign tax jurisdiction authorities. The IRS has completed the examination of our 2009 U.S. federal income tax return, with no resulting material effect to our financial position or results of operations.</w:t>
      </w:r>
    </w:p>
    <w:p>
      <w:pPr>
        <w:spacing w:after="0" w:line="192"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We have determined that a change in ownership, as defined under Internal Revenue Code Section 382, occurred during 2005 and 2006. As such, the domestic net operating loss carryforwards will be subject to an annual limitation estimated to be in the range of approximately $12,000 to $14,500. The unused portion of the annual limitation can be carried forward to subsequent periods. We believe such limitation will not impact our ability to realize the deferred tax asset. The use of our U.K. net operating loss carryforwards may be limited due to the change in our U.K. operation during 2008 from a manufacturing and assembly center to primarily a distribution and service center.</w:t>
      </w:r>
    </w:p>
    <w:p>
      <w:pPr>
        <w:spacing w:after="0" w:line="20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We have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6" w:name="page17"/>
    <w:bookmarkEnd w:id="16"/>
    <w:p>
      <w:pPr>
        <w:jc w:val="both"/>
        <w:ind w:left="340" w:firstLine="324"/>
        <w:spacing w:after="0" w:line="255" w:lineRule="auto"/>
        <w:rPr>
          <w:sz w:val="20"/>
          <w:szCs w:val="20"/>
          <w:color w:val="auto"/>
        </w:rPr>
      </w:pPr>
      <w:r>
        <w:rPr>
          <w:rFonts w:ascii="Arial" w:cs="Arial" w:eastAsia="Arial" w:hAnsi="Arial"/>
          <w:sz w:val="18"/>
          <w:szCs w:val="18"/>
          <w:color w:val="auto"/>
        </w:rPr>
        <w:t>Basic earnings per share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three-month periods ended March 31, 2013 and April 1, 2012, both the Two-Class Method and the treasury stock method calculations for diluted EPS yielded the same result.</w:t>
      </w:r>
    </w:p>
    <w:p>
      <w:pPr>
        <w:sectPr>
          <w:pgSz w:w="11900" w:h="16838" w:orient="portrait"/>
          <w:cols w:equalWidth="0" w:num="1">
            <w:col w:w="11420"/>
          </w:cols>
          <w:pgMar w:left="240" w:top="274" w:right="23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computation of basic and diluted earnings per share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from continuing operations attributable to Ultralife common shareholders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Securities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from continuing operations attributable to Ultralife common shareholders - Adjusted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Three-Month Period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89"/>
              </w:rPr>
              <w:t>March 31,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April 1,</w:t>
            </w:r>
          </w:p>
        </w:tc>
      </w:tr>
      <w:tr>
        <w:trPr>
          <w:trHeight w:val="230"/>
        </w:trPr>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r>
      <w:tr>
        <w:trPr>
          <w:trHeight w:val="209"/>
        </w:trPr>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30"/>
        </w:trPr>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720"/>
            <w:col w:w="2160"/>
          </w:cols>
          <w:pgMar w:left="240" w:top="27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attributable to Ultralife common shareholders (c)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 attributable to Ultralife common shareholders - Adjusted (d)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2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Average Common Shares Outstanding –</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Basic (e)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17,457,000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17,358,000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Stock Options / Warrants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Average Common Shares Outstanding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 (f)</w:t>
            </w: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17,478,000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17,358,000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EPS – Basic (a/e) -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EPS – Basic (c/e) -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EPS – Diluted (b/f) -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EPS – Diluted (d/f) -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There were 2,055,606 and 2,337,528 outstanding stock options for the three-month periods ended March 31, 2013 and April 1, 2012, respectively, that were not included in EPS as the effect would be anti-dilutive.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type w:val="continuous"/>
        </w:sectPr>
      </w:pPr>
    </w:p>
    <w:bookmarkStart w:id="17" w:name="page18"/>
    <w:bookmarkEnd w:id="17"/>
    <w:p>
      <w:pPr>
        <w:ind w:left="340" w:right="7820" w:hanging="332"/>
        <w:spacing w:after="0" w:line="563"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COMMITMENTS AND CONTINGENCIES a. Purchase Commitments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2013, we have made commitments to purchase approximately $453 of production machinery and equipment.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5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144780</wp:posOffset>
            </wp:positionV>
            <wp:extent cx="14490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145796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7960" cy="60007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Balance at December 31, 2012</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2280" w:type="dxa"/>
            <w:vAlign w:val="bottom"/>
            <w:shd w:val="clear" w:color="auto" w:fill="CCEEFF"/>
          </w:tcPr>
          <w:p>
            <w:pPr>
              <w:spacing w:after="0"/>
              <w:rPr>
                <w:sz w:val="18"/>
                <w:szCs w:val="18"/>
                <w:color w:val="auto"/>
              </w:rPr>
            </w:pPr>
          </w:p>
        </w:tc>
      </w:tr>
      <w:tr>
        <w:trPr>
          <w:trHeight w:val="216"/>
        </w:trPr>
        <w:tc>
          <w:tcPr>
            <w:tcW w:w="6640" w:type="dxa"/>
            <w:vAlign w:val="bottom"/>
          </w:tcPr>
          <w:p>
            <w:pPr>
              <w:ind w:left="2300"/>
              <w:spacing w:after="0"/>
              <w:rPr>
                <w:sz w:val="20"/>
                <w:szCs w:val="20"/>
                <w:color w:val="auto"/>
              </w:rPr>
            </w:pPr>
            <w:r>
              <w:rPr>
                <w:rFonts w:ascii="Arial" w:cs="Arial" w:eastAsia="Arial" w:hAnsi="Arial"/>
                <w:sz w:val="18"/>
                <w:szCs w:val="18"/>
                <w:color w:val="auto"/>
              </w:rPr>
              <w:t>Accruals for warranties issued</w:t>
            </w:r>
          </w:p>
        </w:tc>
        <w:tc>
          <w:tcPr>
            <w:tcW w:w="11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280" w:type="dxa"/>
            <w:vAlign w:val="bottom"/>
          </w:tcPr>
          <w:p>
            <w:pPr>
              <w:spacing w:after="0"/>
              <w:rPr>
                <w:sz w:val="18"/>
                <w:szCs w:val="18"/>
                <w:color w:val="auto"/>
              </w:rPr>
            </w:pPr>
          </w:p>
        </w:tc>
      </w:tr>
      <w:tr>
        <w:trPr>
          <w:trHeight w:val="230"/>
        </w:trPr>
        <w:tc>
          <w:tcPr>
            <w:tcW w:w="664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8"/>
                <w:szCs w:val="18"/>
                <w:color w:val="auto"/>
              </w:rPr>
              <w:t>Settlements made</w:t>
            </w:r>
          </w:p>
        </w:tc>
        <w:tc>
          <w:tcPr>
            <w:tcW w:w="1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80" w:type="dxa"/>
            <w:vAlign w:val="bottom"/>
            <w:tcBorders>
              <w:bottom w:val="single" w:sz="8" w:color="CCEEFF"/>
            </w:tcBorders>
            <w:shd w:val="clear" w:color="auto" w:fill="CCEEFF"/>
          </w:tcPr>
          <w:p>
            <w:pPr>
              <w:spacing w:after="0"/>
              <w:rPr>
                <w:sz w:val="19"/>
                <w:szCs w:val="19"/>
                <w:color w:val="auto"/>
              </w:rPr>
            </w:pPr>
          </w:p>
        </w:tc>
      </w:tr>
      <w:tr>
        <w:trPr>
          <w:trHeight w:val="223"/>
        </w:trPr>
        <w:tc>
          <w:tcPr>
            <w:tcW w:w="6640" w:type="dxa"/>
            <w:vAlign w:val="bottom"/>
          </w:tcPr>
          <w:p>
            <w:pPr>
              <w:ind w:left="2300"/>
              <w:spacing w:after="0"/>
              <w:rPr>
                <w:sz w:val="20"/>
                <w:szCs w:val="20"/>
                <w:color w:val="auto"/>
              </w:rPr>
            </w:pPr>
            <w:r>
              <w:rPr>
                <w:rFonts w:ascii="Arial" w:cs="Arial" w:eastAsia="Arial" w:hAnsi="Arial"/>
                <w:sz w:val="18"/>
                <w:szCs w:val="18"/>
                <w:color w:val="auto"/>
              </w:rPr>
              <w:t>Balance at March 31, 2013</w:t>
            </w: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c>
          <w:tcPr>
            <w:tcW w:w="228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-325120</wp:posOffset>
            </wp:positionV>
            <wp:extent cx="144907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154305"/>
                    </a:xfrm>
                    <a:prstGeom prst="rect">
                      <a:avLst/>
                    </a:prstGeom>
                    <a:noFill/>
                  </pic:spPr>
                </pic:pic>
              </a:graphicData>
            </a:graphic>
          </wp:anchor>
        </w:drawing>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52"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Grants/Loans</w:t>
      </w:r>
    </w:p>
    <w:p>
      <w:pPr>
        <w:spacing w:after="0" w:line="252"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December 31, 2011,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CDBG.</w:t>
      </w:r>
    </w:p>
    <w:p>
      <w:pPr>
        <w:spacing w:after="0" w:line="206"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December 31, 2011,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RIFG.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ind w:left="320"/>
        <w:spacing w:after="0"/>
        <w:rPr>
          <w:sz w:val="20"/>
          <w:szCs w:val="20"/>
          <w:color w:val="auto"/>
        </w:rPr>
      </w:pPr>
      <w:r>
        <w:rPr>
          <w:rFonts w:ascii="Arial" w:cs="Arial" w:eastAsia="Arial" w:hAnsi="Arial"/>
          <w:sz w:val="18"/>
          <w:szCs w:val="18"/>
          <w:i w:val="1"/>
          <w:iCs w:val="1"/>
          <w:color w:val="auto"/>
        </w:rPr>
        <w:t>Post Audits of Government Contracts</w:t>
      </w:r>
    </w:p>
    <w:p>
      <w:pPr>
        <w:spacing w:after="0" w:line="252" w:lineRule="exact"/>
        <w:rPr>
          <w:sz w:val="20"/>
          <w:szCs w:val="20"/>
          <w:color w:val="auto"/>
        </w:rPr>
      </w:pPr>
    </w:p>
    <w:p>
      <w:pPr>
        <w:jc w:val="both"/>
        <w:ind w:firstLine="824"/>
        <w:spacing w:after="0" w:line="285" w:lineRule="auto"/>
        <w:rPr>
          <w:sz w:val="20"/>
          <w:szCs w:val="20"/>
          <w:color w:val="auto"/>
        </w:rPr>
      </w:pPr>
      <w:r>
        <w:rPr>
          <w:rFonts w:ascii="Arial" w:cs="Arial" w:eastAsia="Arial" w:hAnsi="Arial"/>
          <w:sz w:val="16"/>
          <w:szCs w:val="16"/>
          <w:color w:val="auto"/>
        </w:rPr>
        <w:t>We had certain “exigent”, non-bid contracts with the U.S. government, which were subject to audit and final price adjustment, which resulted in decreased margins compared with the original terms of the contracts. As of December 31,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that required us to pay a total of $2,700 plus accrued interest thereon at the rate of 2.625% per annum. Under the Settlement Agreement, we were required to make principal payments of $1,000, $567, $567 and $566 being due on June 8, 2011, December 1, 2011, June 1, 2012 and December 1, 2012, respectively. Each principal payment was accompanied by a payment of accrued interest. As of December 31, 2012, we have made all required payments.</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9-Volt Battery Litigation</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July 2010, we were served with a summons and complaint filed in Japan by one of our 9-volt battery customers. The complaint alleged damages associated with claims of breach of warranty in an amount of approximately $1,100. A trial was held on May 25, 2012, in Japan before a panel of three judges, after which the parties agreed to settle the matter for approximately $125, which has been reflected in our cost of products sold in the second quarter of 2012. The terms of the settlement agreement include no legal liability on our part and the plaintiff abandoning all other claims against us.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Arista Power Litigation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(Index No. 73379). In our Complaint,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w:t>
      </w:r>
    </w:p>
    <w:p>
      <w:pPr>
        <w:spacing w:after="0" w:line="35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 Discovery has commenced with respect to the Arista litigation and is ongoing.</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580" w:top="27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Accordingly, we will vigorously pursue our complaint against Arista and defend what we believe to be a meritless action on the part of Arista Power.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11. BUSINESS SEGMENT INFORMATION</w:t>
      </w:r>
    </w:p>
    <w:p>
      <w:pPr>
        <w:spacing w:after="0" w:line="252"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On March 8, 2011, our senior management, as authorized by our Board of Directors, decided to exit our Energy Services business, which previously was a stand alone business segment. See Note 2 in these Notes to Condensed Consolidated Financial Statements for additional information.</w:t>
      </w:r>
    </w:p>
    <w:p>
      <w:pPr>
        <w:spacing w:after="0" w:line="151" w:lineRule="exact"/>
        <w:rPr>
          <w:sz w:val="20"/>
          <w:szCs w:val="20"/>
          <w:color w:val="auto"/>
        </w:rPr>
      </w:pPr>
    </w:p>
    <w:p>
      <w:pPr>
        <w:jc w:val="both"/>
        <w:ind w:left="340" w:right="20" w:firstLine="324"/>
        <w:spacing w:after="0" w:line="264" w:lineRule="auto"/>
        <w:rPr>
          <w:sz w:val="20"/>
          <w:szCs w:val="20"/>
          <w:color w:val="auto"/>
        </w:rPr>
      </w:pPr>
      <w:r>
        <w:rPr>
          <w:rFonts w:ascii="Arial" w:cs="Arial" w:eastAsia="Arial" w:hAnsi="Arial"/>
          <w:sz w:val="18"/>
          <w:szCs w:val="18"/>
          <w:color w:val="auto"/>
        </w:rPr>
        <w:t>On February 16, 2012, our senior management, as authorized by our Board of Directors, decided to divest our RedBlack Communications business, which previously was reported in the Communications Systems segment. See Note 2 in these Notes to Condensed Consolidated Financial Statements for additional information.</w:t>
      </w:r>
    </w:p>
    <w:p>
      <w:pPr>
        <w:spacing w:after="0" w:line="208" w:lineRule="exact"/>
        <w:rPr>
          <w:sz w:val="20"/>
          <w:szCs w:val="20"/>
          <w:color w:val="auto"/>
        </w:rPr>
      </w:pPr>
    </w:p>
    <w:p>
      <w:pPr>
        <w:jc w:val="both"/>
        <w:ind w:left="340" w:firstLine="486"/>
        <w:spacing w:after="0" w:line="257"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to relocate our sales and services operations to a smaller facility. As a result of this decision, we were required to restore the facility back to its original condition per a previous contractual commitment. This facility previously served our Battery and Energy Segments business. A portion of these costs were classified as a discontinued operation in the fourth quarter of 2012. See Note 2 in these Notes to Consolidated Financial Statements for additional information.</w:t>
      </w:r>
    </w:p>
    <w:p>
      <w:pPr>
        <w:spacing w:after="0" w:line="215"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March 31, 2013</w:t>
            </w:r>
          </w:p>
        </w:tc>
        <w:tc>
          <w:tcPr>
            <w:tcW w:w="1640" w:type="dxa"/>
            <w:vAlign w:val="bottom"/>
            <w:gridSpan w:val="2"/>
            <w:vMerge w:val="restart"/>
          </w:tcPr>
          <w:p>
            <w:pPr>
              <w:jc w:val="center"/>
              <w:ind w:left="41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8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13,053</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7,966</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3,100</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3,279</w:t>
            </w:r>
          </w:p>
        </w:tc>
        <w:tc>
          <w:tcPr>
            <w:tcW w:w="4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(6,004)</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discontinued operations</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47,742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32,645</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11,855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92,242</w:t>
            </w:r>
          </w:p>
        </w:tc>
        <w:tc>
          <w:tcPr>
            <w:tcW w:w="0" w:type="dxa"/>
            <w:vAlign w:val="bottom"/>
          </w:tcPr>
          <w:p>
            <w:pPr>
              <w:spacing w:after="0"/>
              <w:rPr>
                <w:sz w:val="1"/>
                <w:szCs w:val="1"/>
                <w:color w:val="auto"/>
              </w:rPr>
            </w:pPr>
          </w:p>
        </w:tc>
      </w:tr>
      <w:tr>
        <w:trPr>
          <w:trHeight w:val="44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Three-Month Period Ended April 1, 2012</w:t>
            </w:r>
          </w:p>
        </w:tc>
        <w:tc>
          <w:tcPr>
            <w:tcW w:w="1640" w:type="dxa"/>
            <w:vAlign w:val="bottom"/>
            <w:gridSpan w:val="2"/>
            <w:vMerge w:val="restart"/>
          </w:tcPr>
          <w:p>
            <w:pPr>
              <w:jc w:val="center"/>
              <w:ind w:left="410"/>
              <w:spacing w:after="0"/>
              <w:rPr>
                <w:sz w:val="20"/>
                <w:szCs w:val="20"/>
                <w:color w:val="auto"/>
              </w:rPr>
            </w:pPr>
            <w:r>
              <w:rPr>
                <w:rFonts w:ascii="Arial" w:cs="Arial" w:eastAsia="Arial" w:hAnsi="Arial"/>
                <w:sz w:val="18"/>
                <w:szCs w:val="18"/>
                <w:b w:val="1"/>
                <w:bCs w:val="1"/>
                <w:color w:val="auto"/>
                <w:w w:val="97"/>
              </w:rPr>
              <w:t>Battery &amp;</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Communications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8"/>
              </w:rPr>
              <w:t>Discontinued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Products</w:t>
            </w:r>
          </w:p>
        </w:tc>
        <w:tc>
          <w:tcPr>
            <w:tcW w:w="3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Systems</w:t>
            </w:r>
          </w:p>
        </w:tc>
        <w:tc>
          <w:tcPr>
            <w:tcW w:w="12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Operations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20,082</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7,419</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27,501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Segment contribution</w:t>
            </w: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3,943</w:t>
            </w:r>
          </w:p>
        </w:tc>
        <w:tc>
          <w:tcPr>
            <w:tcW w:w="3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2,650</w:t>
            </w:r>
          </w:p>
        </w:tc>
        <w:tc>
          <w:tcPr>
            <w:tcW w:w="4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(7,882)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taxes-current</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Income taxes-deferred</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Ultralife</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51,597</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30,524</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3,125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9,418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94,664</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12. FAIR VALUE OF FINANCIAL INSTRUMENTS</w:t>
      </w:r>
    </w:p>
    <w:p>
      <w:pPr>
        <w:spacing w:after="0" w:line="252"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March 31, 2013 and December 31, 2012. The fair value of cash, trade accounts receivable, trade accounts payable, accrued liabilities, and our revolving credit facility approximates carrying value due to the short-term nature of these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13. FIRE AT MANUFACTURING FACILITY</w:t>
      </w:r>
    </w:p>
    <w:p>
      <w:pPr>
        <w:spacing w:after="0" w:line="25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w:t>
      </w:r>
    </w:p>
    <w:p>
      <w:pPr>
        <w:spacing w:after="0" w:line="208"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total amount of the loss pertaining to assets and the related expenses was approximately $1,589. The majority of our insurance claim is related to the recovery of damaged inventory. In June 2012, we received approximately $1,017 as a partial payment on our insurance claim, which resulted in no gain or loss being recognized. Subsequent to the end of the quarter, we have received $269 as a further payment on this claim, with no gain or loss recognized. As of March 31, 2013, we reflect a receivable from the insurance company relating to this claim of $434, which is net of our deductible of approximately $132, and represents additional proceeds to be received. The deductible charge was expensed in the second quarter of 2011 and reflected as a component of cost of products sold in the Consolidated Statements of Comprehensive Income.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14. RECENT ACCOUNTING PRONOUNCEMENTS AND DEVELOPMENTS</w:t>
      </w:r>
    </w:p>
    <w:p>
      <w:pPr>
        <w:spacing w:after="0" w:line="252"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ASU 2013-05 states that the cumulative translation adjustment is released into net income when a reporting entity ceases to have a controlling interest in a subsidiary that is controlled by a consolidated foreign entity. Further, this update states that the sale of an investment in a foreign entity includes both events that result in the loss of a controlling financial interest in a foreign entity, regardless of any retained investment, and events that result in an acquirer obtaining control through a step acquisition. ASU 2013-05 is effective prospectively for fiscal years beginning after December 15, 2013, with early adoption permitted. We do not believe that adoption of this standard will have a material impact on our consolidated results of operations and financial condition.</w:t>
      </w:r>
    </w:p>
    <w:p>
      <w:pPr>
        <w:spacing w:after="0" w:line="194"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In February 2013, the FASB issued ASU 2013-02, “Reporting of Amounts Reclassified out of Accumulated Other Comprehensive Income.” ASU 2013-02 requires an entity to provide information about the amounts reclassified out of accumulated other comprehensive income by component as well as presentation, either on the face of the financial statement or in the notes, of significant amounts reclassified out of accumulated other comprehensive income by the respective line items of net income but only if the amount reclassified is required under U.S. GAAP to be reclassified to net income in its entirety in the same reporting period. For amounts that are not required to be reclassified in their entirety to net income, an entity is required to cross-reference to other disclosures that provide additional detail about those amounts. ASU 2013-02 is effective for fiscal years beginning after December 15, 2012. Adoption of this standard did not have a material impact on our consolidated results of operations and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reduced U.S. defense spending, including the uncertainty with government budget approvals, general domestic and global economic conditions, future demand for our products and services, the successful commercialization of our products, our resources being overwhelmed by our growth prospects, residual effects of negative news related to our industries, government and environmental regulations, business disruptions, including those caused by fires, the impairment of our intangible assets, the unique risks associated with our Chinese operations, loss of top management, the process of U.S. defense procurement, finalization of non-bid government contracts, raw material supplies, competition and customer strategies, technological innovations in the non-rechargeable and rechargeable battery industries, changes in our business strategy or development plans, capital deployment,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2012.</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factors or to publicly announce the results of any revisions to any of the forward-looking statements contained in this Quarterly Report on Form 10-Q to reflect new information, future events or other developments.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2012.</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8, 2011, we decided to exit our Energy Services business. As a result of management’s review of our business segments and products, and taking into account the lack of growth and profitability potential of the Energy Services segment as well as its sizeable operating losses, we determined it was appropriate to refocus our operations on profitable growth opportunities presented in our other segments, Battery &amp; Energy Products and Communications Systems. In the fourth quarter of 2010, we recorded a non-cash impairment charge of $13,793 to write-off the goodwill and intangible assets and certain fixed assets associated with the standby power portion of our Energy Services business. The actions taken to exit our Energy Services business resulted in the elimination of approximately 40 jobs and the closing of five facilities, primarily in California, Florida and Texas. We completed all exit activities with respect to our Energy Services segment by the end of the second quarter of 2011, and have reclassified our Energy Services segment as a discontinued operation.</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exit activities described above, we recorded total restructuring charges of approximately $2,924 in 2011. The restructuring charges include approximately $703 of employee-related costs, including termination benefits, approximately $250 of lease termination costs, approximately $941 of inventory and fixed asset write-downs and approximately $1,030 of other associated costs. The cash component of the aggregate total restructuring charges was approximately $1,984. Subsequent to the completion of our exit activities, adjustments have been made to estimates of certain reserves and accruals that existed at that time. These adjustments amount to $257 and were due to the difference in our actual experience compared to our expectations as of the completion of our exit activities.</w:t>
      </w:r>
    </w:p>
    <w:p>
      <w:pPr>
        <w:spacing w:after="0" w:line="22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On February 16, 2012, we announced our intention to divest our RedBlack Communications, Inc. (“RedBlack”) business in 2012. As a result of management’s ongoing review of our business portfolio, management had determined that RedBlack offered limited opportunities to achieve the operating thresholds of our new business model. On September 28, 2012, we entered into and closed a Stock Purchase Agreement to sell 100% of our capital stock in RedBlack to BCF Solutions, Inc (the “Agreement”). In exchange for the sale of RedBlack, we received $2,533 as a purchase price, comprised of cash at closing in the amount of $2,133, funds held in escrow for up to one year in the amount of $250, as well as $150 to be available for RedBlack employee retention programs. In addition, there will be a customary post-closing working capital adjustment to the purchase price. The Agreement contains customary representations and warranties that will survive for a period of two or three years. The Agreement also contains customary indemnification for breaches of the representations and warranties identified in the Agreement. 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 Commencing with the first quarter of 2012, the results of the RedBlack operations and related divestiture costs will be reported as a disputed operation.</w:t>
      </w:r>
    </w:p>
    <w:p>
      <w:pPr>
        <w:spacing w:after="0" w:line="17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During the fourth quarter of 2012, we elected not to renew the lease for our U.K. manufacturing facility which expired on March 24, 2013, and relocated our sales and services operations to a smaller facility. As a result of this decision, we were required to restore the facility back to its original condition pursuant to the terms of the U.K. Facility Lease. In the fourth quarter of 2012, we recorded approximately $950 related to this requirement of which $200 was recorded as general &amp; administrative expenses and $750 was recorded as discontinued operations. This liability was settled in the first quarter of 2013 resulting in a gain to discontinued operations of $241. We expect to realize net savings of approximately $500 on an annualized basis beginning in the second quarter of 2013 due to this election.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Overview</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revenues of $21,019 for the three-month period ended March 31, 2013, decreased by $6,482, or 23.6%, from $27,501 during the three-month period ended April 1, 2012, primarily due to the continued slowdown in the US government and defense order rate for rechargeable and non-rechargeable batteries and charger systems, slightly offset by the fulfillment of large orders for amplifiers from international defense customers and continued demand for amplifiers from the U.S. government.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for the three-month period ended March 31, 2013 was $6,379, or 30.3% of revenues, compared to $6,593, or 24.0% of revenues, for the same quarter a year ago. The 630 basis points improvement is due primarily to significant improvements in overall productivity, resulting in the elimination of most manufacturing variances experienced in the first quarter of 2012, as well as, increased margin resulting from the higher volume of amplifier production and shipments.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expenses decreased to $6,004 during the three-month period ended March 31, 2013, compared to $7,882 during the three-month period ended April 1, 2012, resulting primarily from continued actions to reduce general and administrative expenses, focused spending in the development of new products and lower overall sales commissions and selling expense.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combination of higher gross margin and essentially flat operating expenses as a percentage of revenue resulted in a $1,664 improvement in operating income of $375 for the three-month period ended March 31, 2013, compared to an operating loss of $1,289 for the three-month period ended April 1, 2012.</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from continuing operations was $164, or $0.01 per share, for the three-month period ended March 31, 2013, compared to a net loss of $1,431, or $0.08 per share, for the three-month period ended April 1, 2012. Net income from discontinued operations was $264, or $0.02 per share, for the three-month period ended March 31, 2013 versus a net loss of $71, or $0.01 per share, for the three-month period ended April 1, 2012.</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$1,477 in the first quarter of 2013 compared to $65 for the first quarter of 2012. See the section “Adjusted EBITDA from continuing operations” beginning on page 29 for a reconciliation of Adjusted EBITDA from continuing operations to net income (loss) attributable to Ultralife.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no debt, and cash and cash equivalents, including restricted cash, of $8,908, a $4,601 improvement over the cash position of $4,307 as of the first quarter of 2012. The increase in cash and cash equivalents from the first quarter of 2012 is primarily attributable to our financial performance and cash generated from our Lean initiatives, including reductions in inventory. Cash and cash equivalents, including restricted cash, as of March 31, 2013 declined by $1,170 from $10,078 as of December 31, 2012. The decrease in cash and cash equivalents from December 31, 2012 is primarily attributable to our cash outflows related to our settlement of the U.K. Lease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reiterates its outlook for 2013 and continues to expect low-to-mid-single digit revenue growth reflecting strong growth in Communications Systems sales and modest gains in the Battery &amp; Energy Products business, despite continued constraints on U.S. government spending. Based on this outlook for revenue growth, ongoing productivity improvements and plans to continue prudently investing in new product development, management expects to increase operating profitability for the year and to generate a mid-single digit operating margin.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company cautions that the timing of orders and shipments may cause variability in quarterly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31, 2013 and April 1, 2012</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March 31, 2013 amounted to $21,019, a decrease of $6,482, or 23.6%,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$27,501 reported for the three-month period ended April 1, 2012.</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Battery &amp; Energy Products sales decreased $7,029, or 35.0%, from $20,082 for the three-month period ended April 1, 2012 to $13,053 for the three-month period ended March 31, 2013. Revenues for Battery &amp; Energy Products decreased primarily due to the continued slowdown in U.S. government and defense order rate for rechargeable and non-rechargeable batteries and charger systems and lower sales of 9 volt batteries resulting from the selloff of the remaining legacy products in the first quarter of 2012 with the introduction of the new battery design.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Communications Systems revenues increased $547, or 7.4%, from $7,419 during the three-month period ended April 1, 2012 to $7,966 for the three-month period ended March 31, 2013, reflecting the fulfillment of large orders for amplifiers from international defense customers and continued demand for amplifiers from the U.S. government.</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Cost of Products Sold. </w:t>
      </w:r>
      <w:r>
        <w:rPr>
          <w:rFonts w:ascii="Arial" w:cs="Arial" w:eastAsia="Arial" w:hAnsi="Arial"/>
          <w:sz w:val="17"/>
          <w:szCs w:val="17"/>
          <w:color w:val="auto"/>
        </w:rPr>
        <w:t>Cost of products sold totaled $14,640 for the quarter ended March 31, 2013, a decrease of $6,268, or 30.0%,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$20,908 reported for the same three-month period a year ago. Consolidated cost of products sold as a percentage of total revenue decreased from 76.0% for the three-month period ended April 1, 2012 to 69.7% for the three-month period ended March 31, 2013. Correspondingly, consolidated gross margin was 30.3% for the three-month period ended March 31, 2013, compared with 24.0% for the three-month period ended April 1, 2012, reflecting productivity gains in both businesses, a higher mix of Communications Systems sales and certain property tax credits related to prior years.</w:t>
      </w:r>
    </w:p>
    <w:p>
      <w:pPr>
        <w:spacing w:after="0" w:line="1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our Battery &amp; Energy Products segment, the cost of products sold decreased $6,186, from $16,139 during the three-month period ended April 1, 2012 to $9,953 during the three-month period ended March 31, 2013. Battery &amp; Energy Products’ gross profit for the first quarter of 2013 was $3,100, or 23.7% of revenues, a decrease of $843 from gross profit of $3,943, or 19.6% of revenues, for the first quarter of 2012. Battery &amp; Energy Products’ gross margin as a percentage of revenues increased for the three-month period ended March 31, 2013 by 410 basis points, reflecting significant improvements in the overall productivity resulting with the elimination of most labor and material manufacturing variances, and to a lesser extent, the receipt of certain tax refunds relating to prior years.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Communications Systems segment, the cost of products sold decreased by $82 or 1.7% from $4,769 during the three-month period ended April 1, 2012 to $4,687 during the three-month period ended March 31, 2013. Communications Systems’ gross profit for the first quarter of 2013 was $3,279, or 41.2% of revenues, an increase of $629 from gross profit of $2,650, or 35.7% of revenues, for the first quarter of 2012. The 550 basis points increase in gross margin as a percentage of revenue during 2013 is primarily due to higher manufacturing volumes and shipments of amplifiers, as well as, continued productivity improvements in line with our Lean initiatives.</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March 31, 2013 totaled $6,004, a decrease of $1,878 or 23.8%</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$7,882 recorded during the three-month period ended April 1, 2012, resulting primarily from continued actions to reduce general and administrative expenses, and focused spending in the development of new products.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jc w:val="both"/>
        <w:ind w:firstLine="648"/>
        <w:spacing w:after="0" w:line="271" w:lineRule="auto"/>
        <w:rPr>
          <w:sz w:val="20"/>
          <w:szCs w:val="20"/>
          <w:color w:val="auto"/>
        </w:rPr>
      </w:pPr>
      <w:r>
        <w:rPr>
          <w:rFonts w:ascii="Arial" w:cs="Arial" w:eastAsia="Arial" w:hAnsi="Arial"/>
          <w:sz w:val="17"/>
          <w:szCs w:val="17"/>
          <w:color w:val="auto"/>
        </w:rPr>
        <w:t>Overall, operating expenses as a percentage of revenues was essentially flat at 28.6% during the three-month period ended March 31, 2013 when compared to 28.7% in the three-month period ended April 1, 2012. Amortization expense associated with intangible assets related to our acquisitions was $101 for the first quarter of 2013 ($45 in selling, general and administrative expenses and $56 in research and development costs), compared with $125 for the first quarter of 2012 ($60 in selling, general, and administrative expenses and $65 in research and development costs). Research and development costs were $1,369 for the three-month period ended March 31, 2013, a decrease of $770, or 36.0%, from $2,139 for the three-month ended April 1, 2012, as we focused our spending on the development of new products with the highest estimated return on investment. Selling, general, and administrative expenses decreased $1,108, or 19.3%, to $4,635 during the first quarter of 2013 from $5,743 during the first quarter of 2012, reflecting continued actions to reduce discretionary general and administrative expenses and lower sales commissions earned.</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$(113) for the three-month period ended March 31, 2013 compared to $(51)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three-month period ended April 1, 2012. Interest expense, net of interest income, decreased $15, to $88 for the first quarter of 2013 from $103 for the comparable period in 2012, as a result of lower average borrowings under our revolving credit facilities. Miscellaneous income (expense) amounted to $(25) for the first quarter of 2013 compared with income of $52 for the first quarter of 2012, primarily due to transactions impacted by changes in foreign currencies relative to the U.S. dollar.</w:t>
      </w:r>
    </w:p>
    <w:p>
      <w:pPr>
        <w:spacing w:after="0" w:line="21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$98 for the first quarter of 2013 compared with a tax provision of $91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effective consolidated tax rate for the three-month periods ended March 31, 2013 and April 1, 2012 was: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20" w:type="dxa"/>
            <w:vAlign w:val="bottom"/>
            <w:gridSpan w:val="3"/>
          </w:tcPr>
          <w:p>
            <w:pPr>
              <w:jc w:val="right"/>
              <w:ind w:right="230"/>
              <w:spacing w:after="0"/>
              <w:rPr>
                <w:sz w:val="20"/>
                <w:szCs w:val="20"/>
                <w:color w:val="auto"/>
              </w:rPr>
            </w:pPr>
            <w:r>
              <w:rPr>
                <w:rFonts w:ascii="Arial" w:cs="Arial" w:eastAsia="Arial" w:hAnsi="Arial"/>
                <w:sz w:val="18"/>
                <w:szCs w:val="18"/>
                <w:color w:val="auto"/>
                <w:w w:val="91"/>
              </w:rPr>
              <w:t>Three-Month Periods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4580" w:type="dxa"/>
            <w:vAlign w:val="bottom"/>
            <w:gridSpan w:val="2"/>
          </w:tcPr>
          <w:p>
            <w:pPr>
              <w:ind w:left="3240"/>
              <w:spacing w:after="0"/>
              <w:rPr>
                <w:sz w:val="20"/>
                <w:szCs w:val="20"/>
                <w:color w:val="auto"/>
              </w:rPr>
            </w:pPr>
            <w:r>
              <w:rPr>
                <w:rFonts w:ascii="Arial" w:cs="Arial" w:eastAsia="Arial" w:hAnsi="Arial"/>
                <w:sz w:val="18"/>
                <w:szCs w:val="18"/>
                <w:color w:val="auto"/>
              </w:rPr>
              <w:t>March 31, 2013</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Incomes Taxes (a)</w:t>
            </w:r>
          </w:p>
        </w:tc>
        <w:tc>
          <w:tcPr>
            <w:tcW w:w="3360" w:type="dxa"/>
            <w:vAlign w:val="bottom"/>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w:t>
            </w:r>
          </w:p>
        </w:tc>
        <w:tc>
          <w:tcPr>
            <w:tcW w:w="3360" w:type="dxa"/>
            <w:vAlign w:val="bottom"/>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(b/a)</w:t>
            </w: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determined that a change in ownership, as defined under Internal Revenue Code Section 382, occurred in 2005 and 2006. As such, the domestic net operating loss (“NOL”) carryforward will be subject to an annual limitation estimated to be in the range of approximately $12,000 to $14,500. The unused portion of the annual limitation can be carried forward to subsequent periods. Our ability to utilize NOL carryforwards due to successive ownership changes is currently limited to a minimum of approximately $12,000 annually, plus the carryover from unused portions of the annual limitations. We believe such limitation will not impact our ability to realize the deferred tax asset.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certain of our NOL carryforwards are subject to U.S. alternative minimum tax such that carryforwards can offset only 90% of alternative minimum taxable income. This limitation did not have an impact on income taxes determined for the first quarters of 2012 and 2011. The use of our U.K. NOL carryforwards may be limited due to the change in the U.K. operation during 2008 from a manufacturing and assembly center to primarily a distribution and service center.</w:t>
      </w: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Income from discontinued operations, net of tax, totaled $264 for the first quarter of 2013, compared to a loss of $71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2012. The income realized in the first quarter of 2013 was primarily related to the final settlement of the obligation to return the company’s former UK facility back to its original condition per a previous contractual commitment. The first quarter of 2012 loss includes operating results and costs related to our previously announced divestiture of our RedBlack Communication business and our exit from the Energy Services business which was completed in the second quarter of 2011. For more information, see Note 2 to the Condensed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income attributable to Ultralife and income attributable to Ultralife common shareholders per</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share was $434 and $0.02, respectively, for the three months ended March 31, 2013, compared to a net loss attributable to Ultralife and loss attributable to Ultralife common shareholders per diluted share of $1,502 and $0.09, respectively, for the three months ended April 1, 2012. Average common shares outstanding used to compute diluted earnings per share increased from 17,358,000 in the first quarter of 2012 to 17,478,000 in the first quarter of 2013, mainly due to stock option exercises and shares of common stock issued to our non-employee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20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9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9" w:name="page30"/>
    <w:bookmarkEnd w:id="29"/>
    <w:p>
      <w:pPr>
        <w:jc w:val="both"/>
        <w:ind w:left="340" w:hanging="143"/>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213"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may calculate Adjusted EBITDA from continuing operations differently than we do, limiting its usefulness as a comparative measure.</w:t>
      </w:r>
    </w:p>
    <w:p>
      <w:pPr>
        <w:spacing w:after="0" w:line="2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4940" w:type="dxa"/>
            <w:vAlign w:val="bottom"/>
            <w:gridSpan w:val="10"/>
          </w:tcPr>
          <w:p>
            <w:pPr>
              <w:ind w:left="2640"/>
              <w:spacing w:after="0"/>
              <w:rPr>
                <w:sz w:val="20"/>
                <w:szCs w:val="20"/>
                <w:color w:val="auto"/>
              </w:rPr>
            </w:pPr>
            <w:r>
              <w:rPr>
                <w:rFonts w:ascii="Arial" w:cs="Arial" w:eastAsia="Arial" w:hAnsi="Arial"/>
                <w:sz w:val="18"/>
                <w:szCs w:val="18"/>
                <w:b w:val="1"/>
                <w:bCs w:val="1"/>
                <w:color w:val="auto"/>
                <w:w w:val="94"/>
              </w:rPr>
              <w:t>Three-Month Periods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April 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420"/>
              <w:spacing w:after="0" w:line="194"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Add: interest expense,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 income tax provision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Add: depreciation expense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expense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(Less): loss (gain) from discontinued operations</w:t>
            </w:r>
          </w:p>
        </w:tc>
        <w:tc>
          <w:tcPr>
            <w:tcW w:w="2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March 31, 2013, cash and cash equivalents totaled $8,486, a decrease of $1,170 from the beginning of the year. During the three-month period ended March 31, 2013, we used $701 of cash in operating activities as compared to using $1,200 of cash for the three-month period ended April 1, 2012. The use of cash from operating activities in 2013 resulted mainly from our net income of $434 offset by the use of $1,191 of cash for working capital. The use of cash resulted primarily from the decrease in our accounts payable from the end of the year, including our payout in connection with our U.K. Facility Lease, and the increase in long term receivables, offset by decreases in our accounts receivable and inventory.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used $332 in cash for investing activities during the first three months of 2013 compared with $209 in cash used for investing activities in the same period in 2012. In the first three months of 2013, we spent $332 to purchase plant, property and equipment compared to $209 for the first three months of 2012.</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three-month period ended March 31, 2013, we generated $12 in funds from financing activities compared to the generation of $118 in funds in the same period of 2012. The financing activities in the first three months of 2013 included a $12 inflow from stock option exercises. The financing activities in the first three months of 2012 included a $19 inflow from borrowings on the revolver portion of our primary credit facility, and an inflow of $99 from stock option exercises.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Inventory turnover for the first three months of 2013 was an annualized rate of approximately 2.0 turns per year as compared with 3.0 turns for the first three months of 2012. The decrease in this metric is due mainly to lower sales period over period. This decrease was partially offset by a reclassification of a liability of approximately $1,900 to an inventory reserve as it was determined in the quarter that the deferral of revenue related to specific inventory would not be realized.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2013, we had made commitments to purchase approximately $453 of production machinery and equipment, which we expect to fund through operating cash flows or the use of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 senior secured asset based revolving credit facility (the “Credit Facility”) of up to $20,000, with RBS Business Capital, a division of RBS Asset Finance, Inc. (“RBS”). The proceeds from the Credit Facility can be used for general working capital purposes, general corporate purposes, and letter of credit foreign exchange support. The Credit Facility has a maturity date of May 15, 2013, as discussed in greater detail below (the “Maturity Date”). The Credit Facility is secured by substantially all of our assets.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available borrowing under the Credit Facility fluctuates from time to time based upon the amounts of eligible accounts receivable and eligible inventory. Available borrowings under the Credit Facility, as amended by the amendments described below, equals the lesser of (1) $20,000 or (2) 85% of eligible accounts receivable plus the lesser of (a) up to 70% of the book value of our eligible inventory or (b) 85% of the appraised net orderly liquidation value of our eligible inventory. The borrowing base under the Credit Facility is further reduced by (1) the face amount of any letters of credit outstanding, (2) any liabilities of ours under hedging contracts with RBS and (3) the value of any reserves as deemed appropriate by RBS. We are required to have at least $3,000 available under the Credit Facility at all times.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19, 2011, we entered in a First Amendment to Credit Agreement (the “First Amendment”) with RBS. The First Amendment amended the Credit Facility as follows:</w:t>
      </w:r>
    </w:p>
    <w:p>
      <w:pPr>
        <w:spacing w:after="0" w:line="197" w:lineRule="exact"/>
        <w:rPr>
          <w:sz w:val="20"/>
          <w:szCs w:val="20"/>
          <w:color w:val="auto"/>
        </w:rPr>
      </w:pPr>
    </w:p>
    <w:p>
      <w:pPr>
        <w:ind w:firstLine="656"/>
        <w:spacing w:after="0" w:line="342" w:lineRule="auto"/>
        <w:tabs>
          <w:tab w:leader="none" w:pos="9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Eligible accounts receivable under the Credit Facility (for the determination of available borrowings) now include foreign (non-U.S.) accounts subject to credit insurance payable to RBS (formerly, such accounts were not eligible without arranging letter of credit facilities satisfactory to RBS).</w:t>
      </w:r>
    </w:p>
    <w:p>
      <w:pPr>
        <w:spacing w:after="0" w:line="150" w:lineRule="exact"/>
        <w:rPr>
          <w:rFonts w:ascii="Arial" w:cs="Arial" w:eastAsia="Arial" w:hAnsi="Arial"/>
          <w:sz w:val="16"/>
          <w:szCs w:val="16"/>
          <w:color w:val="auto"/>
        </w:rPr>
      </w:pPr>
    </w:p>
    <w:p>
      <w:pPr>
        <w:ind w:left="960" w:hanging="30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the interest rate that will accrue on outstanding indebtedness, as set forth in the following table: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Excess Availability</w:t>
            </w:r>
          </w:p>
        </w:tc>
        <w:tc>
          <w:tcPr>
            <w:tcW w:w="4280" w:type="dxa"/>
            <w:vAlign w:val="bottom"/>
            <w:gridSpan w:val="2"/>
          </w:tcPr>
          <w:p>
            <w:pPr>
              <w:jc w:val="right"/>
              <w:ind w:right="3000"/>
              <w:spacing w:after="0"/>
              <w:rPr>
                <w:sz w:val="20"/>
                <w:szCs w:val="20"/>
                <w:color w:val="auto"/>
              </w:rPr>
            </w:pPr>
            <w:r>
              <w:rPr>
                <w:rFonts w:ascii="Arial" w:cs="Arial" w:eastAsia="Arial" w:hAnsi="Arial"/>
                <w:sz w:val="18"/>
                <w:szCs w:val="18"/>
                <w:color w:val="auto"/>
                <w:w w:val="91"/>
              </w:rPr>
              <w:t>LIBOR Rate Plus</w:t>
            </w:r>
          </w:p>
        </w:tc>
      </w:tr>
      <w:tr>
        <w:trPr>
          <w:trHeight w:val="237"/>
        </w:trPr>
        <w:tc>
          <w:tcPr>
            <w:tcW w:w="22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8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0" w:type="dxa"/>
            <w:vAlign w:val="bottom"/>
          </w:tcPr>
          <w:p>
            <w:pPr>
              <w:spacing w:after="0"/>
              <w:rPr>
                <w:sz w:val="20"/>
                <w:szCs w:val="20"/>
                <w:color w:val="auto"/>
              </w:rPr>
            </w:pPr>
          </w:p>
        </w:tc>
      </w:tr>
      <w:tr>
        <w:trPr>
          <w:trHeight w:val="216"/>
        </w:trPr>
        <w:tc>
          <w:tcPr>
            <w:tcW w:w="22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$10,000</w:t>
            </w:r>
          </w:p>
        </w:tc>
        <w:tc>
          <w:tcPr>
            <w:tcW w:w="428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3.00%</w:t>
            </w:r>
          </w:p>
        </w:tc>
      </w:tr>
      <w:tr>
        <w:trPr>
          <w:trHeight w:val="216"/>
        </w:trPr>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$6,000 but less than or equal to $10,000</w:t>
            </w:r>
          </w:p>
        </w:tc>
        <w:tc>
          <w:tcPr>
            <w:tcW w:w="428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3.25%</w:t>
            </w:r>
          </w:p>
        </w:tc>
      </w:tr>
      <w:tr>
        <w:trPr>
          <w:trHeight w:val="216"/>
        </w:trPr>
        <w:tc>
          <w:tcPr>
            <w:tcW w:w="2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$3,000 but less than or equal to $6,000</w:t>
            </w:r>
          </w:p>
        </w:tc>
        <w:tc>
          <w:tcPr>
            <w:tcW w:w="4280" w:type="dxa"/>
            <w:vAlign w:val="bottom"/>
            <w:gridSpan w:val="2"/>
            <w:shd w:val="clear" w:color="auto" w:fill="CCEEFF"/>
          </w:tcPr>
          <w:p>
            <w:pPr>
              <w:jc w:val="right"/>
              <w:ind w:right="2300"/>
              <w:spacing w:after="0"/>
              <w:rPr>
                <w:sz w:val="20"/>
                <w:szCs w:val="20"/>
                <w:color w:val="auto"/>
              </w:rPr>
            </w:pPr>
            <w:r>
              <w:rPr>
                <w:rFonts w:ascii="Arial" w:cs="Arial" w:eastAsia="Arial" w:hAnsi="Arial"/>
                <w:sz w:val="18"/>
                <w:szCs w:val="18"/>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-685165</wp:posOffset>
            </wp:positionV>
            <wp:extent cx="14490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-410845</wp:posOffset>
            </wp:positionV>
            <wp:extent cx="14490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1440815" cy="685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815" cy="68580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-136525</wp:posOffset>
            </wp:positionV>
            <wp:extent cx="144907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9070" cy="137160"/>
                    </a:xfrm>
                    <a:prstGeom prst="rect">
                      <a:avLst/>
                    </a:prstGeom>
                    <a:noFill/>
                  </pic:spPr>
                </pic:pic>
              </a:graphicData>
            </a:graphic>
          </wp:anchor>
        </w:drawing>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28, 2012, we entered into a Second Amendment to the Credit Facility (the “Second Amendment”) with RBS. The Second Amendment amended the Credit Facility to consent to the sale of the stock of RedBlack and to release any and all liens on RedBlack.</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15, 2013, we entered into a Third Amendment to the Credit Facility (the “Third Amendment”) with RBS. The Third Amendment amended the Credit Facility to extend the Maturity Date from February 17, 2013, to May 15, 2013, reduced the maximum amount available under the Credit Facility to $20,000, and reduced the unused line fee to 0.40% per year.</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currently accrues on outstanding indebtedness under the Credit Facility at LIBOR plus 3.00%. We have the ability, in certain circumstances, to fix the interest rate for up to 90 days from the date of borrowing.</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2013, in addition to paying interest on the outstanding principal under the Credit Facility, we were required to pay an unused line fee of 0.40% on the unused portion of the $20,000 Credit Facility. We must also pay customary letter of credit fees equal to the LIBOR rate and the applicable margin and any other customary fees or expenses of the issuing bank. Interest that accrues under the Credit Facility is to be paid monthly with all outstanding principal, interest and applicable fees due on the Maturity Date, as extended by the Third Amendment.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maintain a fixed charge ratio of 1.20 to 1.00 or greater at all times as of and after March 28, 2010. As of March 31, 2013, our fixed charge ratio was 3.00 to 1.00. Accordingly, we were in compliance with the financial covenants of the Credit Facility. All borrowings under the Credit Facility are subject to the satisfaction of customary conditions, including the absence of an event of default and accuracy of our representations and warranties. The Credit Facility also includes customary representations and warranties, affirmative covenants and events of default. If an event of default occurs, RBS would be entitled to take various actions, including accelerating the amount due under the Credit Facility, and all actions permitted to be taken by a secured creditor.</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2013, we had $-0- outstanding under the Credit Facility. At March 31, 2013, the interest rate on the asset based revolver component of the Credit Facility was 3.20%. As of March 31, 2013, we had approximately $13,965 of borrowing capacity under the terms of the revolver agreement, including outstanding letters of credit. At March 31, 2013, we had no outstanding letters of credit related to this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Credit Facility expires on May 15, 2013. We are currently seeking to enter into a new credit facility with RBS or another lender that will become effective when the Credit Facility matures. We anticipate seeking a new credit facility with availability comparable to our current Credit Facility, but on terms reflecting our improved liquidity position. While we can provide no assurances that we will be able to execute a new credit agreement on terms acceptable to us or at all, we believe that that we will be able to enter into a new credit agreement on favorable terms due primarily to our improved liquidity position.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32" w:name="page33"/>
    <w:bookmarkEnd w:id="32"/>
    <w:p>
      <w:pPr>
        <w:jc w:val="both"/>
        <w:ind w:firstLine="648"/>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Management exercises judgment in making important decisions pertaining to choosing and applying accounting policies and methodologies in many areas. Not only are these decisions necessary to comply with U.S. generally accepted accounting principles,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2012 Annual Report on Form 10-K should be reviewed for a greater understanding of how our financial performance is recorded and reported.</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three months of 2013, there were no significant changes in the manner in which our significant accounting policies were applied or in which related assumptions and estimates were developed.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None</w:t>
            </w:r>
          </w:p>
        </w:tc>
        <w:tc>
          <w:tcPr>
            <w:tcW w:w="554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Item 6. Exhibits</w:t>
            </w:r>
          </w:p>
        </w:tc>
        <w:tc>
          <w:tcPr>
            <w:tcW w:w="55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45"/>
        </w:trPr>
        <w:tc>
          <w:tcPr>
            <w:tcW w:w="1560" w:type="dxa"/>
            <w:vAlign w:val="bottom"/>
          </w:tcPr>
          <w:p>
            <w:pPr>
              <w:spacing w:after="0"/>
              <w:rPr>
                <w:sz w:val="20"/>
                <w:szCs w:val="20"/>
                <w:color w:val="auto"/>
              </w:rPr>
            </w:pPr>
            <w:r>
              <w:rPr>
                <w:rFonts w:ascii="Arial" w:cs="Arial" w:eastAsia="Arial" w:hAnsi="Arial"/>
                <w:sz w:val="18"/>
                <w:szCs w:val="18"/>
                <w:color w:val="auto"/>
              </w:rPr>
              <w:t>Exhibit</w:t>
            </w:r>
          </w:p>
        </w:tc>
        <w:tc>
          <w:tcPr>
            <w:tcW w:w="55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Index</w:t>
            </w:r>
          </w:p>
        </w:tc>
        <w:tc>
          <w:tcPr>
            <w:tcW w:w="5540" w:type="dxa"/>
            <w:vAlign w:val="bottom"/>
          </w:tcPr>
          <w:p>
            <w:pPr>
              <w:ind w:left="400"/>
              <w:spacing w:after="0"/>
              <w:rPr>
                <w:sz w:val="20"/>
                <w:szCs w:val="20"/>
                <w:color w:val="auto"/>
              </w:rPr>
            </w:pPr>
            <w:r>
              <w:rPr>
                <w:rFonts w:ascii="Arial" w:cs="Arial" w:eastAsia="Arial" w:hAnsi="Arial"/>
                <w:sz w:val="18"/>
                <w:szCs w:val="18"/>
                <w:color w:val="auto"/>
              </w:rPr>
              <w:t>Description of Document</w:t>
            </w:r>
          </w:p>
        </w:tc>
        <w:tc>
          <w:tcPr>
            <w:tcW w:w="4020" w:type="dxa"/>
            <w:vAlign w:val="bottom"/>
          </w:tcPr>
          <w:p>
            <w:pPr>
              <w:ind w:left="22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10.1</w:t>
            </w:r>
          </w:p>
        </w:tc>
        <w:tc>
          <w:tcPr>
            <w:tcW w:w="5540" w:type="dxa"/>
            <w:vAlign w:val="bottom"/>
          </w:tcPr>
          <w:p>
            <w:pPr>
              <w:ind w:left="400"/>
              <w:spacing w:after="0"/>
              <w:rPr>
                <w:sz w:val="20"/>
                <w:szCs w:val="20"/>
                <w:color w:val="auto"/>
              </w:rPr>
            </w:pPr>
            <w:r>
              <w:rPr>
                <w:rFonts w:ascii="Arial" w:cs="Arial" w:eastAsia="Arial" w:hAnsi="Arial"/>
                <w:sz w:val="18"/>
                <w:szCs w:val="18"/>
                <w:color w:val="auto"/>
                <w:w w:val="94"/>
              </w:rPr>
              <w:t>The Third Agreement to Credit Agreement, dated February 15, 2013</w:t>
            </w:r>
          </w:p>
        </w:tc>
        <w:tc>
          <w:tcPr>
            <w:tcW w:w="4020" w:type="dxa"/>
            <w:vAlign w:val="bottom"/>
          </w:tcPr>
          <w:p>
            <w:pPr>
              <w:ind w:left="220"/>
              <w:spacing w:after="0"/>
              <w:rPr>
                <w:sz w:val="20"/>
                <w:szCs w:val="20"/>
                <w:color w:val="auto"/>
              </w:rPr>
            </w:pPr>
            <w:r>
              <w:rPr>
                <w:rFonts w:ascii="Arial" w:cs="Arial" w:eastAsia="Arial" w:hAnsi="Arial"/>
                <w:sz w:val="18"/>
                <w:szCs w:val="18"/>
                <w:color w:val="auto"/>
                <w:w w:val="92"/>
              </w:rPr>
              <w:t>Exhibit 10.1 of From 8-K filed on February 22, 2013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31.1</w:t>
            </w:r>
          </w:p>
        </w:tc>
        <w:tc>
          <w:tcPr>
            <w:tcW w:w="5540" w:type="dxa"/>
            <w:vAlign w:val="bottom"/>
          </w:tcPr>
          <w:p>
            <w:pPr>
              <w:ind w:left="400"/>
              <w:spacing w:after="0"/>
              <w:rPr>
                <w:sz w:val="20"/>
                <w:szCs w:val="20"/>
                <w:color w:val="auto"/>
              </w:rPr>
            </w:pPr>
            <w:r>
              <w:rPr>
                <w:rFonts w:ascii="Arial" w:cs="Arial" w:eastAsia="Arial" w:hAnsi="Arial"/>
                <w:sz w:val="18"/>
                <w:szCs w:val="18"/>
                <w:color w:val="auto"/>
              </w:rPr>
              <w:t>Rule 13a-14(a) / 15d-14(a) CEO Certifications</w:t>
            </w:r>
          </w:p>
        </w:tc>
        <w:tc>
          <w:tcPr>
            <w:tcW w:w="402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31.2</w:t>
            </w:r>
          </w:p>
        </w:tc>
        <w:tc>
          <w:tcPr>
            <w:tcW w:w="5540" w:type="dxa"/>
            <w:vAlign w:val="bottom"/>
          </w:tcPr>
          <w:p>
            <w:pPr>
              <w:ind w:left="400"/>
              <w:spacing w:after="0"/>
              <w:rPr>
                <w:sz w:val="20"/>
                <w:szCs w:val="20"/>
                <w:color w:val="auto"/>
              </w:rPr>
            </w:pPr>
            <w:r>
              <w:rPr>
                <w:rFonts w:ascii="Arial" w:cs="Arial" w:eastAsia="Arial" w:hAnsi="Arial"/>
                <w:sz w:val="18"/>
                <w:szCs w:val="18"/>
                <w:color w:val="auto"/>
              </w:rPr>
              <w:t>Rule 13a-14(a) / 15d-14(a) CFO Certifications</w:t>
            </w:r>
          </w:p>
        </w:tc>
        <w:tc>
          <w:tcPr>
            <w:tcW w:w="402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32</w:t>
            </w:r>
          </w:p>
        </w:tc>
        <w:tc>
          <w:tcPr>
            <w:tcW w:w="5540" w:type="dxa"/>
            <w:vAlign w:val="bottom"/>
          </w:tcPr>
          <w:p>
            <w:pPr>
              <w:ind w:left="400"/>
              <w:spacing w:after="0"/>
              <w:rPr>
                <w:sz w:val="20"/>
                <w:szCs w:val="20"/>
                <w:color w:val="auto"/>
              </w:rPr>
            </w:pPr>
            <w:r>
              <w:rPr>
                <w:rFonts w:ascii="Arial" w:cs="Arial" w:eastAsia="Arial" w:hAnsi="Arial"/>
                <w:sz w:val="18"/>
                <w:szCs w:val="18"/>
                <w:color w:val="auto"/>
              </w:rPr>
              <w:t>Section 1350 Certifications</w:t>
            </w:r>
          </w:p>
        </w:tc>
        <w:tc>
          <w:tcPr>
            <w:tcW w:w="4020" w:type="dxa"/>
            <w:vAlign w:val="bottom"/>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5540" w:type="dxa"/>
            <w:vAlign w:val="bottom"/>
          </w:tcPr>
          <w:p>
            <w:pPr>
              <w:ind w:left="400"/>
              <w:spacing w:after="0"/>
              <w:rPr>
                <w:sz w:val="20"/>
                <w:szCs w:val="20"/>
                <w:color w:val="auto"/>
              </w:rPr>
            </w:pPr>
            <w:r>
              <w:rPr>
                <w:rFonts w:ascii="Arial" w:cs="Arial" w:eastAsia="Arial" w:hAnsi="Arial"/>
                <w:sz w:val="18"/>
                <w:szCs w:val="18"/>
                <w:color w:val="auto"/>
              </w:rPr>
              <w:t>XBRL Instance Document</w:t>
            </w:r>
          </w:p>
        </w:tc>
        <w:tc>
          <w:tcPr>
            <w:tcW w:w="40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554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40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5540" w:type="dxa"/>
            <w:vAlign w:val="bottom"/>
          </w:tcPr>
          <w:p>
            <w:pPr>
              <w:ind w:left="400"/>
              <w:spacing w:after="0"/>
              <w:rPr>
                <w:sz w:val="20"/>
                <w:szCs w:val="20"/>
                <w:color w:val="auto"/>
              </w:rPr>
            </w:pPr>
            <w:r>
              <w:rPr>
                <w:rFonts w:ascii="Arial" w:cs="Arial" w:eastAsia="Arial" w:hAnsi="Arial"/>
                <w:sz w:val="18"/>
                <w:szCs w:val="18"/>
                <w:color w:val="auto"/>
              </w:rPr>
              <w:t>XBRL Taxonomy Calculation Linkbase Document</w:t>
            </w:r>
          </w:p>
        </w:tc>
        <w:tc>
          <w:tcPr>
            <w:tcW w:w="40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5540" w:type="dxa"/>
            <w:vAlign w:val="bottom"/>
          </w:tcPr>
          <w:p>
            <w:pPr>
              <w:ind w:left="400"/>
              <w:spacing w:after="0"/>
              <w:rPr>
                <w:sz w:val="20"/>
                <w:szCs w:val="20"/>
                <w:color w:val="auto"/>
              </w:rPr>
            </w:pPr>
            <w:r>
              <w:rPr>
                <w:rFonts w:ascii="Arial" w:cs="Arial" w:eastAsia="Arial" w:hAnsi="Arial"/>
                <w:sz w:val="18"/>
                <w:szCs w:val="18"/>
                <w:color w:val="auto"/>
              </w:rPr>
              <w:t>XBRL Taxonomy Label Linkbase Document</w:t>
            </w:r>
          </w:p>
        </w:tc>
        <w:tc>
          <w:tcPr>
            <w:tcW w:w="402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5540" w:type="dxa"/>
            <w:vAlign w:val="bottom"/>
          </w:tcPr>
          <w:p>
            <w:pPr>
              <w:ind w:left="400"/>
              <w:spacing w:after="0"/>
              <w:rPr>
                <w:sz w:val="20"/>
                <w:szCs w:val="20"/>
                <w:color w:val="auto"/>
              </w:rPr>
            </w:pPr>
            <w:r>
              <w:rPr>
                <w:rFonts w:ascii="Arial" w:cs="Arial" w:eastAsia="Arial" w:hAnsi="Arial"/>
                <w:sz w:val="18"/>
                <w:szCs w:val="18"/>
                <w:color w:val="auto"/>
              </w:rPr>
              <w:t>XBRL Taxonomy Presentation Linkbase Document</w:t>
            </w:r>
          </w:p>
        </w:tc>
        <w:tc>
          <w:tcPr>
            <w:tcW w:w="402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5540" w:type="dxa"/>
            <w:vAlign w:val="bottom"/>
          </w:tcPr>
          <w:p>
            <w:pPr>
              <w:ind w:left="400"/>
              <w:spacing w:after="0"/>
              <w:rPr>
                <w:sz w:val="20"/>
                <w:szCs w:val="20"/>
                <w:color w:val="auto"/>
              </w:rPr>
            </w:pPr>
            <w:r>
              <w:rPr>
                <w:rFonts w:ascii="Arial" w:cs="Arial" w:eastAsia="Arial" w:hAnsi="Arial"/>
                <w:sz w:val="18"/>
                <w:szCs w:val="18"/>
                <w:color w:val="auto"/>
              </w:rPr>
              <w:t>XBRL Taxonomy Definition Document</w:t>
            </w:r>
          </w:p>
        </w:tc>
        <w:tc>
          <w:tcPr>
            <w:tcW w:w="4020" w:type="dxa"/>
            <w:vAlign w:val="bottom"/>
          </w:tcPr>
          <w:p>
            <w:pPr>
              <w:spacing w:after="0"/>
              <w:rPr>
                <w:sz w:val="20"/>
                <w:szCs w:val="20"/>
                <w:color w:val="auto"/>
              </w:rPr>
            </w:pPr>
          </w:p>
        </w:tc>
      </w:tr>
    </w:tbl>
    <w:p>
      <w:pPr>
        <w:spacing w:after="0" w:line="229" w:lineRule="exact"/>
        <w:rPr>
          <w:sz w:val="20"/>
          <w:szCs w:val="20"/>
          <w:color w:val="auto"/>
        </w:rPr>
      </w:pPr>
    </w:p>
    <w:p>
      <w:pPr>
        <w:ind w:left="820" w:hanging="650"/>
        <w:spacing w:after="0" w:line="26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information in this exhibit is deemed not filed or part of a registration statement or prospectus for purposes of Section 11 or 12 of the Securities Act of 1933, as amended, is deemed not filed for purposes of Section 18 of the Securities Exchange Act of 1934, as amended, and is otherwise not subject to liability under these sections.</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34" w:name="page35"/>
    <w:bookmarkEnd w:id="34"/>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ULTRALIFE CORPORATION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D. Popielec</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D. Popielec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Philip A. Fain</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240" w:top="274"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ind w:left="3540"/>
              <w:spacing w:after="0"/>
              <w:rPr>
                <w:sz w:val="20"/>
                <w:szCs w:val="20"/>
                <w:color w:val="auto"/>
              </w:rPr>
            </w:pPr>
            <w:r>
              <w:rPr>
                <w:rFonts w:ascii="Arial" w:cs="Arial" w:eastAsia="Arial" w:hAnsi="Arial"/>
                <w:sz w:val="18"/>
                <w:szCs w:val="18"/>
                <w:color w:val="auto"/>
              </w:rPr>
              <w:t>Index to Exhibits</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900" w:type="dxa"/>
            <w:vAlign w:val="bottom"/>
          </w:tcPr>
          <w:p>
            <w:pPr>
              <w:spacing w:after="0"/>
              <w:rPr>
                <w:sz w:val="18"/>
                <w:szCs w:val="18"/>
                <w:color w:val="auto"/>
              </w:rPr>
            </w:pPr>
          </w:p>
        </w:tc>
        <w:tc>
          <w:tcPr>
            <w:tcW w:w="968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900" w:type="dxa"/>
            <w:vAlign w:val="bottom"/>
          </w:tcPr>
          <w:p>
            <w:pPr>
              <w:spacing w:after="0"/>
              <w:rPr>
                <w:sz w:val="18"/>
                <w:szCs w:val="18"/>
                <w:color w:val="auto"/>
              </w:rPr>
            </w:pPr>
          </w:p>
        </w:tc>
        <w:tc>
          <w:tcPr>
            <w:tcW w:w="968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9680" w:type="dxa"/>
            <w:vAlign w:val="bottom"/>
          </w:tcPr>
          <w:p>
            <w:pPr>
              <w:ind w:left="2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tcPr>
          <w:p>
            <w:pPr>
              <w:ind w:left="2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580"/>
          </w:cols>
          <w:pgMar w:left="900" w:top="274" w:right="419" w:bottom="1440" w:gutter="0" w:footer="0" w:header="0"/>
        </w:sectPr>
      </w:pPr>
    </w:p>
    <w:bookmarkStart w:id="36" w:name="page37"/>
    <w:bookmarkEnd w:id="36"/>
    <w:p>
      <w:pPr>
        <w:ind w:left="10540"/>
        <w:spacing w:after="0"/>
        <w:rPr>
          <w:sz w:val="20"/>
          <w:szCs w:val="20"/>
          <w:color w:val="auto"/>
        </w:rPr>
      </w:pPr>
      <w:r>
        <w:rPr>
          <w:rFonts w:ascii="Arial" w:cs="Arial" w:eastAsia="Arial" w:hAnsi="Arial"/>
          <w:sz w:val="16"/>
          <w:szCs w:val="16"/>
          <w:color w:val="auto"/>
        </w:rPr>
        <w:t>Exhibit 31.1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52"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6"/>
          <w:szCs w:val="16"/>
          <w:color w:val="auto"/>
        </w:rPr>
        <w:t>/s/ Michael D. Popielec</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D. Popielec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10540"/>
        <w:spacing w:after="0"/>
        <w:rPr>
          <w:sz w:val="20"/>
          <w:szCs w:val="20"/>
          <w:color w:val="auto"/>
        </w:rPr>
      </w:pPr>
      <w:r>
        <w:rPr>
          <w:rFonts w:ascii="Arial" w:cs="Arial" w:eastAsia="Arial" w:hAnsi="Arial"/>
          <w:sz w:val="16"/>
          <w:szCs w:val="16"/>
          <w:color w:val="auto"/>
        </w:rPr>
        <w:t>Exhibit 31.2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52"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52" w:lineRule="exact"/>
        <w:rPr>
          <w:rFonts w:ascii="Arial" w:cs="Arial" w:eastAsia="Arial" w:hAnsi="Arial"/>
          <w:sz w:val="18"/>
          <w:szCs w:val="18"/>
          <w:color w:val="auto"/>
        </w:rPr>
      </w:pPr>
    </w:p>
    <w:p>
      <w:pPr>
        <w:ind w:firstLine="8"/>
        <w:spacing w:after="0" w:line="342" w:lineRule="auto"/>
        <w:tabs>
          <w:tab w:leader="none" w:pos="7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firstLine="645"/>
        <w:spacing w:after="0" w:line="342" w:lineRule="auto"/>
        <w:tabs>
          <w:tab w:leader="none" w:pos="156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firstLine="645"/>
        <w:spacing w:after="0" w:line="264" w:lineRule="auto"/>
        <w:tabs>
          <w:tab w:leader="none" w:pos="15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30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firstLine="645"/>
        <w:spacing w:after="0" w:line="308" w:lineRule="auto"/>
        <w:tabs>
          <w:tab w:leader="none" w:pos="157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7"/>
          <w:szCs w:val="17"/>
          <w:color w:val="auto"/>
        </w:rPr>
        <w:t>/s/ Philip A. Fain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31, 2013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6"/>
          <w:szCs w:val="16"/>
          <w:color w:val="auto"/>
        </w:rPr>
        <w:t>/s/ Michael D. Popielec</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D. Popielec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2013</w:t>
      </w:r>
      <w:r>
        <w:rPr>
          <w:sz w:val="20"/>
          <w:szCs w:val="20"/>
          <w:color w:val="auto"/>
        </w:rPr>
        <w:tab/>
      </w:r>
      <w:r>
        <w:rPr>
          <w:rFonts w:ascii="Arial" w:cs="Arial" w:eastAsia="Arial" w:hAnsi="Arial"/>
          <w:sz w:val="17"/>
          <w:szCs w:val="17"/>
          <w:color w:val="auto"/>
        </w:rPr>
        <w:t>/s/ Philip A. Fain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2019-12-06T05:22:27Z</dcterms:created>
  <dcterms:modified xsi:type="dcterms:W3CDTF">2019-12-06T05:22:27Z</dcterms:modified>
</cp:coreProperties>
</file>