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 w:lineRule="exact"/>
        <w:rPr>
          <w:sz w:val="24"/>
          <w:szCs w:val="24"/>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3" w:lineRule="exact"/>
        <w:rPr>
          <w:rFonts w:ascii="MS PGothic" w:cs="MS PGothic" w:eastAsia="MS PGothic" w:hAnsi="MS PGothic"/>
          <w:sz w:val="18"/>
          <w:szCs w:val="18"/>
          <w:color w:val="auto"/>
        </w:rPr>
      </w:pPr>
    </w:p>
    <w:p>
      <w:pPr>
        <w:ind w:left="36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00" w:lineRule="exact"/>
        <w:rPr>
          <w:sz w:val="24"/>
          <w:szCs w:val="24"/>
          <w:color w:val="auto"/>
        </w:rPr>
      </w:pPr>
    </w:p>
    <w:p>
      <w:pPr>
        <w:ind w:left="3360" w:right="2000" w:hanging="3353"/>
        <w:spacing w:after="0" w:line="277" w:lineRule="auto"/>
        <w:tabs>
          <w:tab w:leader="none" w:pos="64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0-20852</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ULTRALIFE CORPORATION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700" w:type="dxa"/>
        <w:tblCellMar>
          <w:top w:w="0" w:type="dxa"/>
          <w:left w:w="0" w:type="dxa"/>
          <w:bottom w:w="0" w:type="dxa"/>
          <w:right w:w="0" w:type="dxa"/>
        </w:tblCellMar>
      </w:tblPr>
      <w:tr>
        <w:trPr>
          <w:trHeight w:val="217"/>
        </w:trPr>
        <w:tc>
          <w:tcPr>
            <w:tcW w:w="5040" w:type="dxa"/>
            <w:vAlign w:val="bottom"/>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80" w:type="dxa"/>
            <w:vAlign w:val="bottom"/>
          </w:tcPr>
          <w:p>
            <w:pPr>
              <w:jc w:val="center"/>
              <w:ind w:left="711"/>
              <w:spacing w:after="0"/>
              <w:rPr>
                <w:sz w:val="20"/>
                <w:szCs w:val="20"/>
                <w:color w:val="auto"/>
              </w:rPr>
            </w:pPr>
            <w:r>
              <w:rPr>
                <w:rFonts w:ascii="Times New Roman" w:cs="Times New Roman" w:eastAsia="Times New Roman" w:hAnsi="Times New Roman"/>
                <w:sz w:val="18"/>
                <w:szCs w:val="18"/>
                <w:b w:val="1"/>
                <w:bCs w:val="1"/>
                <w:color w:val="auto"/>
                <w:w w:val="98"/>
              </w:rPr>
              <w:t>16-1387013</w:t>
            </w:r>
          </w:p>
        </w:tc>
      </w:tr>
      <w:tr>
        <w:trPr>
          <w:trHeight w:val="232"/>
        </w:trPr>
        <w:tc>
          <w:tcPr>
            <w:tcW w:w="5040" w:type="dxa"/>
            <w:vAlign w:val="bottom"/>
          </w:tcPr>
          <w:p>
            <w:pPr>
              <w:jc w:val="center"/>
              <w:ind w:right="711"/>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of organization)</w:t>
            </w:r>
          </w:p>
        </w:tc>
        <w:tc>
          <w:tcPr>
            <w:tcW w:w="458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408"/>
        </w:trPr>
        <w:tc>
          <w:tcPr>
            <w:tcW w:w="5040" w:type="dxa"/>
            <w:vAlign w:val="bottom"/>
          </w:tcPr>
          <w:p>
            <w:pPr>
              <w:jc w:val="center"/>
              <w:ind w:right="711"/>
              <w:spacing w:after="0"/>
              <w:rPr>
                <w:sz w:val="20"/>
                <w:szCs w:val="20"/>
                <w:color w:val="auto"/>
              </w:rPr>
            </w:pPr>
            <w:r>
              <w:rPr>
                <w:rFonts w:ascii="Times New Roman" w:cs="Times New Roman" w:eastAsia="Times New Roman" w:hAnsi="Times New Roman"/>
                <w:sz w:val="18"/>
                <w:szCs w:val="18"/>
                <w:b w:val="1"/>
                <w:bCs w:val="1"/>
                <w:color w:val="auto"/>
                <w:w w:val="97"/>
              </w:rPr>
              <w:t>2000 Technology Parkway Newark, New York 14513</w:t>
            </w:r>
          </w:p>
        </w:tc>
        <w:tc>
          <w:tcPr>
            <w:tcW w:w="4580" w:type="dxa"/>
            <w:vAlign w:val="bottom"/>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7"/>
              </w:rPr>
              <w:t>(315) 332-7100</w:t>
            </w:r>
          </w:p>
        </w:tc>
      </w:tr>
      <w:tr>
        <w:trPr>
          <w:trHeight w:val="232"/>
        </w:trPr>
        <w:tc>
          <w:tcPr>
            <w:tcW w:w="5040" w:type="dxa"/>
            <w:vAlign w:val="bottom"/>
          </w:tcPr>
          <w:p>
            <w:pPr>
              <w:jc w:val="center"/>
              <w:ind w:right="7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c>
          <w:tcPr>
            <w:tcW w:w="4580" w:type="dxa"/>
            <w:vAlign w:val="bottom"/>
          </w:tcPr>
          <w:p>
            <w:pPr>
              <w:jc w:val="center"/>
              <w:ind w:left="7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678" w:right="339" w:bottom="1440" w:gutter="0" w:footer="0" w:header="0"/>
        </w:sectPr>
      </w:pPr>
    </w:p>
    <w:p>
      <w:pPr>
        <w:spacing w:after="0" w:line="21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Common Stock, $0.10 par value per share</w:t>
      </w:r>
    </w:p>
    <w:p>
      <w:pPr>
        <w:spacing w:after="0" w:line="4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ULBI</w:t>
      </w:r>
    </w:p>
    <w:p>
      <w:pPr>
        <w:spacing w:after="0" w:line="2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2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3">
            <w:col w:w="4280" w:space="720"/>
            <w:col w:w="1920" w:space="720"/>
            <w:col w:w="3600"/>
          </w:cols>
          <w:pgMar w:left="320" w:top="678" w:right="339" w:bottom="1440" w:gutter="0" w:footer="0" w:header="0"/>
          <w:type w:val="continuous"/>
        </w:sectPr>
      </w:pPr>
    </w:p>
    <w:p>
      <w:pPr>
        <w:spacing w:after="0" w:line="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8"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22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78" w:right="339" w:bottom="1440" w:gutter="0" w:footer="0" w:header="0"/>
          <w:type w:val="continuous"/>
        </w:sectPr>
      </w:pPr>
    </w:p>
    <w:p>
      <w:pPr>
        <w:spacing w:after="0" w:line="3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78" w:right="339" w:bottom="1440" w:gutter="0" w:footer="0" w:header="0"/>
          <w:type w:val="continuous"/>
        </w:sectPr>
      </w:pPr>
    </w:p>
    <w:p>
      <w:pPr>
        <w:spacing w:after="0" w:line="31" w:lineRule="exact"/>
        <w:rPr>
          <w:sz w:val="24"/>
          <w:szCs w:val="24"/>
          <w:color w:val="auto"/>
        </w:rPr>
      </w:pPr>
    </w:p>
    <w:p>
      <w:pPr>
        <w:ind w:left="56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78" w:right="339" w:bottom="1440" w:gutter="0" w:footer="0" w:header="0"/>
          <w:type w:val="continuous"/>
        </w:sectPr>
      </w:pPr>
    </w:p>
    <w:p>
      <w:pPr>
        <w:spacing w:after="0" w:line="272" w:lineRule="exact"/>
        <w:rPr>
          <w:sz w:val="24"/>
          <w:szCs w:val="24"/>
          <w:color w:val="auto"/>
        </w:rPr>
      </w:pPr>
    </w:p>
    <w:p>
      <w:pPr>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October 31, 2024, the registrant had 16,626,930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229870</wp:posOffset>
            </wp:positionV>
            <wp:extent cx="713422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645160</wp:posOffset>
            </wp:positionV>
            <wp:extent cx="71342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9860" w:type="dxa"/>
            <w:vAlign w:val="bottom"/>
          </w:tcPr>
          <w:p>
            <w:pPr>
              <w:spacing w:after="0"/>
              <w:rPr>
                <w:sz w:val="17"/>
                <w:szCs w:val="17"/>
                <w:color w:val="auto"/>
              </w:rPr>
            </w:pPr>
          </w:p>
        </w:tc>
        <w:tc>
          <w:tcPr>
            <w:tcW w:w="5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80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Financial Statements (unaudited):</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 w:type="dxa"/>
            <w:vAlign w:val="bottom"/>
            <w:shd w:val="clear" w:color="auto" w:fill="CCEEFF"/>
          </w:tcPr>
          <w:p>
            <w:pPr>
              <w:spacing w:after="0"/>
              <w:rPr>
                <w:sz w:val="18"/>
                <w:szCs w:val="18"/>
                <w:color w:val="auto"/>
              </w:rPr>
            </w:pP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Balance Sheets as of September 30, 2024 and December 31, 2023</w:t>
            </w:r>
          </w:p>
        </w:tc>
        <w:tc>
          <w:tcPr>
            <w:tcW w:w="4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800" w:type="dxa"/>
            <w:vAlign w:val="bottom"/>
            <w:shd w:val="clear" w:color="auto" w:fill="CCEEFF"/>
          </w:tcPr>
          <w:p>
            <w:pPr>
              <w:spacing w:after="0"/>
              <w:rPr>
                <w:sz w:val="16"/>
                <w:szCs w:val="16"/>
                <w:color w:val="auto"/>
              </w:rPr>
            </w:pPr>
          </w:p>
        </w:tc>
        <w:tc>
          <w:tcPr>
            <w:tcW w:w="986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w w:val="99"/>
              </w:rPr>
              <w:t>Consolidated Statements of Income and Comprehensive Income for the Three and Nine-Month Periods Ended September 30, 2024 and</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800" w:type="dxa"/>
            <w:vAlign w:val="bottom"/>
            <w:shd w:val="clear" w:color="auto" w:fill="CCEEFF"/>
          </w:tcPr>
          <w:p>
            <w:pPr>
              <w:spacing w:after="0"/>
              <w:rPr>
                <w:sz w:val="20"/>
                <w:szCs w:val="20"/>
                <w:color w:val="auto"/>
              </w:rPr>
            </w:pP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2023</w:t>
            </w:r>
          </w:p>
        </w:tc>
        <w:tc>
          <w:tcPr>
            <w:tcW w:w="4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20"/>
                <w:szCs w:val="20"/>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 w:type="dxa"/>
            <w:vAlign w:val="bottom"/>
            <w:shd w:val="clear" w:color="auto" w:fill="CCEEFF"/>
          </w:tcPr>
          <w:p>
            <w:pPr>
              <w:spacing w:after="0"/>
              <w:rPr>
                <w:sz w:val="18"/>
                <w:szCs w:val="18"/>
                <w:color w:val="auto"/>
              </w:rPr>
            </w:pP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Statements of Cash Flows for the Nine-Month Periods Ended September 30, 2024 and September 30, 2023</w:t>
            </w:r>
          </w:p>
        </w:tc>
        <w:tc>
          <w:tcPr>
            <w:tcW w:w="4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800" w:type="dxa"/>
            <w:vAlign w:val="bottom"/>
            <w:shd w:val="clear" w:color="auto" w:fill="CCEEFF"/>
          </w:tcPr>
          <w:p>
            <w:pPr>
              <w:spacing w:after="0"/>
              <w:rPr>
                <w:sz w:val="16"/>
                <w:szCs w:val="16"/>
                <w:color w:val="auto"/>
              </w:rPr>
            </w:pPr>
          </w:p>
        </w:tc>
        <w:tc>
          <w:tcPr>
            <w:tcW w:w="986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Nine-Month Periods Ended September 30, 2024 and</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800" w:type="dxa"/>
            <w:vAlign w:val="bottom"/>
            <w:shd w:val="clear" w:color="auto" w:fill="CCEEFF"/>
          </w:tcPr>
          <w:p>
            <w:pPr>
              <w:spacing w:after="0"/>
              <w:rPr>
                <w:sz w:val="20"/>
                <w:szCs w:val="20"/>
                <w:color w:val="auto"/>
              </w:rPr>
            </w:pP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September 30, 2023</w:t>
            </w:r>
          </w:p>
        </w:tc>
        <w:tc>
          <w:tcPr>
            <w:tcW w:w="4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CEEFF"/>
          </w:tcPr>
          <w:p>
            <w:pPr>
              <w:spacing w:after="0"/>
              <w:rPr>
                <w:sz w:val="20"/>
                <w:szCs w:val="20"/>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 w:type="dxa"/>
            <w:vAlign w:val="bottom"/>
            <w:shd w:val="clear" w:color="auto" w:fill="CCEEFF"/>
          </w:tcPr>
          <w:p>
            <w:pPr>
              <w:spacing w:after="0"/>
              <w:rPr>
                <w:sz w:val="18"/>
                <w:szCs w:val="18"/>
                <w:color w:val="auto"/>
              </w:rPr>
            </w:pP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4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17</w:t>
            </w:r>
          </w:p>
        </w:tc>
        <w:tc>
          <w:tcPr>
            <w:tcW w:w="100" w:type="dxa"/>
            <w:vAlign w:val="bottom"/>
            <w:shd w:val="clear" w:color="auto" w:fill="CCEEFF"/>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27</w:t>
            </w:r>
          </w:p>
        </w:tc>
        <w:tc>
          <w:tcPr>
            <w:tcW w:w="100" w:type="dxa"/>
            <w:vAlign w:val="bottom"/>
            <w:shd w:val="clear" w:color="auto" w:fill="CCEEFF"/>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28</w:t>
            </w:r>
          </w:p>
        </w:tc>
        <w:tc>
          <w:tcPr>
            <w:tcW w:w="100" w:type="dxa"/>
            <w:vAlign w:val="bottom"/>
            <w:shd w:val="clear" w:color="auto" w:fill="CCEEFF"/>
          </w:tcPr>
          <w:p>
            <w:pPr>
              <w:spacing w:after="0"/>
              <w:rPr>
                <w:sz w:val="18"/>
                <w:szCs w:val="18"/>
                <w:color w:val="auto"/>
              </w:rPr>
            </w:pPr>
          </w:p>
        </w:tc>
      </w:tr>
      <w:tr>
        <w:trPr>
          <w:trHeight w:val="213"/>
        </w:trPr>
        <w:tc>
          <w:tcPr>
            <w:tcW w:w="80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 w:type="dxa"/>
            <w:vAlign w:val="bottom"/>
            <w:shd w:val="clear" w:color="auto" w:fill="CCEEFF"/>
          </w:tcPr>
          <w:p>
            <w:pPr>
              <w:spacing w:after="0"/>
              <w:rPr>
                <w:sz w:val="18"/>
                <w:szCs w:val="18"/>
                <w:color w:val="auto"/>
              </w:rPr>
            </w:pPr>
          </w:p>
        </w:tc>
        <w:tc>
          <w:tcPr>
            <w:tcW w:w="9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Signatures</w:t>
            </w:r>
          </w:p>
        </w:tc>
        <w:tc>
          <w:tcPr>
            <w:tcW w:w="48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88"/>
              </w:rPr>
              <w:t>29</w:t>
            </w:r>
          </w:p>
        </w:tc>
        <w:tc>
          <w:tcPr>
            <w:tcW w:w="100" w:type="dxa"/>
            <w:vAlign w:val="bottom"/>
            <w:shd w:val="clear" w:color="auto" w:fill="CCEEFF"/>
          </w:tcPr>
          <w:p>
            <w:pPr>
              <w:spacing w:after="0"/>
              <w:rPr>
                <w:sz w:val="18"/>
                <w:szCs w:val="18"/>
                <w:color w:val="auto"/>
              </w:rPr>
            </w:pPr>
          </w:p>
        </w:tc>
      </w:tr>
      <w:tr>
        <w:trPr>
          <w:trHeight w:val="567"/>
        </w:trPr>
        <w:tc>
          <w:tcPr>
            <w:tcW w:w="80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1" w:right="339" w:bottom="1440" w:gutter="0" w:footer="0" w:header="0"/>
        </w:sectPr>
      </w:pPr>
    </w:p>
    <w:bookmarkStart w:id="2" w:name="page3"/>
    <w:bookmarkEnd w:id="2"/>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10,278</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receivable, net of allowance for expected credit losses of $301 and $300, respectively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31,761</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42,215</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90,203</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21,117</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37,571</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10,567</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172,440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178,276</w:t>
            </w:r>
          </w:p>
        </w:tc>
        <w:tc>
          <w:tcPr>
            <w:tcW w:w="0" w:type="dxa"/>
            <w:vAlign w:val="bottom"/>
          </w:tcPr>
          <w:p>
            <w:pPr>
              <w:spacing w:after="0"/>
              <w:rPr>
                <w:sz w:val="1"/>
                <w:szCs w:val="1"/>
                <w:color w:val="auto"/>
              </w:rPr>
            </w:pPr>
          </w:p>
        </w:tc>
      </w:tr>
      <w:tr>
        <w:trPr>
          <w:trHeight w:val="194"/>
        </w:trPr>
        <w:tc>
          <w:tcPr>
            <w:tcW w:w="80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11,336</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3,115</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23,730</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23,624</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52,849</w:t>
            </w:r>
          </w:p>
        </w:tc>
        <w:tc>
          <w:tcPr>
            <w:tcW w:w="0" w:type="dxa"/>
            <w:vAlign w:val="bottom"/>
          </w:tcPr>
          <w:p>
            <w:pPr>
              <w:spacing w:after="0"/>
              <w:rPr>
                <w:sz w:val="1"/>
                <w:szCs w:val="1"/>
                <w:color w:val="auto"/>
              </w:rPr>
            </w:pPr>
          </w:p>
        </w:tc>
      </w:tr>
      <w:tr>
        <w:trPr>
          <w:trHeight w:val="20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 par value $.10 per share; authorized 1,000,000 shares; none issued</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80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Common stock – par value $.10 per share; authorized 40,000,000 shares; issued – 21,062,627 shares at</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September 30, 2024 and 20,783,607 shares at December 31, 2023; outstanding – 16,626,513 shares at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September 30, 2024 and 16,347,493 shares at December 31, 2023</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189,160</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(34,636)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(40,754)</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(3,084)</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195"/>
        </w:trPr>
        <w:tc>
          <w:tcPr>
            <w:tcW w:w="80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Treasury stock - at cost; 4,436,114 shares at September 30, 2024 and 4,436,114 shares at December 31,</w:t>
            </w:r>
          </w:p>
        </w:tc>
        <w:tc>
          <w:tcPr>
            <w:tcW w:w="140" w:type="dxa"/>
            <w:vAlign w:val="bottom"/>
            <w:shd w:val="clear" w:color="auto" w:fill="CCEEFF"/>
          </w:tcPr>
          <w:p>
            <w:pPr>
              <w:spacing w:after="0"/>
              <w:rPr>
                <w:sz w:val="16"/>
                <w:szCs w:val="16"/>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(21,492)</w:t>
            </w:r>
          </w:p>
        </w:tc>
        <w:tc>
          <w:tcPr>
            <w:tcW w:w="14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(21,492)</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Ultralife Corporation equity</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134,476</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125,427</w:t>
            </w: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172,440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178,276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 w:name="page4"/>
    <w:bookmarkEnd w:id="3"/>
    <w:p>
      <w:pPr>
        <w:jc w:val="center"/>
        <w:spacing w:after="0" w:line="264" w:lineRule="auto"/>
        <w:rPr>
          <w:sz w:val="20"/>
          <w:szCs w:val="20"/>
          <w:color w:val="auto"/>
        </w:rPr>
      </w:pPr>
      <w:r>
        <w:rPr>
          <w:rFonts w:ascii="Times New Roman" w:cs="Times New Roman" w:eastAsia="Times New Roman" w:hAnsi="Times New Roman"/>
          <w:sz w:val="18"/>
          <w:szCs w:val="18"/>
          <w:b w:val="1"/>
          <w:bCs w:val="1"/>
          <w:color w:val="auto"/>
        </w:rPr>
        <w:t>ULTRALIFE CORPORATION AND SUBSIDIARIES CONSOLIDATED STATEMENTS OF INCOME AND COMPREHENSIVE INCOME (In thousands except per share amounts)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80" w:type="dxa"/>
            <w:vAlign w:val="bottom"/>
          </w:tcPr>
          <w:p>
            <w:pPr>
              <w:spacing w:after="0"/>
              <w:rPr>
                <w:sz w:val="20"/>
                <w:szCs w:val="20"/>
                <w:color w:val="auto"/>
              </w:rPr>
            </w:pPr>
          </w:p>
        </w:tc>
        <w:tc>
          <w:tcPr>
            <w:tcW w:w="236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1280" w:type="dxa"/>
            <w:vAlign w:val="bottom"/>
            <w:tcBorders>
              <w:top w:val="single" w:sz="8" w:color="auto"/>
            </w:tcBorders>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35,694</w:t>
            </w: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39,488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120,604</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114,096</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29,714</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88,889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86,298</w:t>
            </w:r>
          </w:p>
        </w:tc>
        <w:tc>
          <w:tcPr>
            <w:tcW w:w="0" w:type="dxa"/>
            <w:vAlign w:val="bottom"/>
          </w:tcPr>
          <w:p>
            <w:pPr>
              <w:spacing w:after="0"/>
              <w:rPr>
                <w:sz w:val="1"/>
                <w:szCs w:val="1"/>
                <w:color w:val="auto"/>
              </w:rPr>
            </w:pPr>
          </w:p>
        </w:tc>
      </w:tr>
      <w:tr>
        <w:trPr>
          <w:trHeight w:val="207"/>
        </w:trPr>
        <w:tc>
          <w:tcPr>
            <w:tcW w:w="5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1,869</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7,639</w:t>
            </w: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21,972</w:t>
            </w: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2,135</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5,826</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financing expense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1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Miscellaneous income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6,004</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Ultralife Corporation</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7"/>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Ultralife Corporation</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6,694</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3,898</w:t>
            </w:r>
          </w:p>
        </w:tc>
        <w:tc>
          <w:tcPr>
            <w:tcW w:w="0" w:type="dxa"/>
            <w:vAlign w:val="bottom"/>
          </w:tcPr>
          <w:p>
            <w:pPr>
              <w:spacing w:after="0"/>
              <w:rPr>
                <w:sz w:val="1"/>
                <w:szCs w:val="1"/>
                <w:color w:val="auto"/>
              </w:rPr>
            </w:pPr>
          </w:p>
        </w:tc>
      </w:tr>
      <w:tr>
        <w:trPr>
          <w:trHeight w:val="194"/>
        </w:trPr>
        <w:tc>
          <w:tcPr>
            <w:tcW w:w="59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per share attributable to Ultralife common stockholders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4"/>
        </w:trPr>
        <w:tc>
          <w:tcPr>
            <w:tcW w:w="59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 xml:space="preserve">Net income per share attributable to Ultralife common stockholders </w:t>
            </w: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6"/>
                <w:szCs w:val="16"/>
                <w:color w:val="auto"/>
              </w:rPr>
            </w:pPr>
          </w:p>
        </w:tc>
        <w:tc>
          <w:tcPr>
            <w:tcW w:w="320" w:type="dxa"/>
            <w:vAlign w:val="bottom"/>
            <w:gridSpan w:val="2"/>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Weighted average shares outstanding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basic</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16,238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16,172</w:t>
            </w:r>
          </w:p>
        </w:tc>
        <w:tc>
          <w:tcPr>
            <w:tcW w:w="0" w:type="dxa"/>
            <w:vAlign w:val="bottom"/>
          </w:tcPr>
          <w:p>
            <w:pPr>
              <w:spacing w:after="0"/>
              <w:rPr>
                <w:sz w:val="1"/>
                <w:szCs w:val="1"/>
                <w:color w:val="auto"/>
              </w:rPr>
            </w:pPr>
          </w:p>
        </w:tc>
      </w:tr>
      <w:tr>
        <w:trPr>
          <w:trHeight w:val="21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Potential common shares</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16,874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16,303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84"/>
        </w:trPr>
        <w:tc>
          <w:tcPr>
            <w:tcW w:w="8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00"/>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1"/>
              <w:spacing w:after="0" w:line="18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6"/>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4,316</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2,282</w:t>
            </w:r>
          </w:p>
        </w:tc>
      </w:tr>
      <w:tr>
        <w:trPr>
          <w:trHeight w:val="213"/>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r>
      <w:tr>
        <w:trPr>
          <w:trHeight w:val="213"/>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3"/>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r>
      <w:tr>
        <w:trPr>
          <w:trHeight w:val="213"/>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r>
      <w:tr>
        <w:trPr>
          <w:trHeight w:val="213"/>
        </w:trPr>
        <w:tc>
          <w:tcPr>
            <w:tcW w:w="8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(5,626)</w:t>
            </w:r>
          </w:p>
        </w:tc>
      </w:tr>
      <w:tr>
        <w:trPr>
          <w:trHeight w:val="213"/>
        </w:trPr>
        <w:tc>
          <w:tcPr>
            <w:tcW w:w="8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(2,670)</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(1,972)</w:t>
            </w:r>
          </w:p>
        </w:tc>
      </w:tr>
      <w:tr>
        <w:trPr>
          <w:trHeight w:val="213"/>
        </w:trPr>
        <w:tc>
          <w:tcPr>
            <w:tcW w:w="80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(2,448)</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w:t>
            </w:r>
          </w:p>
        </w:tc>
      </w:tr>
      <w:tr>
        <w:trPr>
          <w:trHeight w:val="207"/>
        </w:trPr>
        <w:tc>
          <w:tcPr>
            <w:tcW w:w="80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(1,547)</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(1,326)</w:t>
            </w:r>
          </w:p>
        </w:tc>
        <w:tc>
          <w:tcPr>
            <w:tcW w:w="140" w:type="dxa"/>
            <w:vAlign w:val="bottom"/>
          </w:tcPr>
          <w:p>
            <w:pPr>
              <w:spacing w:after="0"/>
              <w:rPr>
                <w:sz w:val="17"/>
                <w:szCs w:val="17"/>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(1,547)</w:t>
            </w:r>
          </w:p>
        </w:tc>
      </w:tr>
      <w:tr>
        <w:trPr>
          <w:trHeight w:val="207"/>
        </w:trPr>
        <w:tc>
          <w:tcPr>
            <w:tcW w:w="80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borrowings on revolving credit facility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(16,212)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on term loan facility</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(15,820)</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5,791</w:t>
            </w:r>
          </w:p>
        </w:tc>
      </w:tr>
      <w:tr>
        <w:trPr>
          <w:trHeight w:val="20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20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INCREASE IN CASH</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3,588</w:t>
            </w:r>
          </w:p>
        </w:tc>
      </w:tr>
      <w:tr>
        <w:trPr>
          <w:trHeight w:val="213"/>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9,301</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ULTRALIFE CORPORATION AND SUBSIDIARIES</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4" w:lineRule="exact"/>
        <w:rPr>
          <w:sz w:val="20"/>
          <w:szCs w:val="20"/>
          <w:color w:val="auto"/>
        </w:rPr>
      </w:pPr>
    </w:p>
    <w:tbl>
      <w:tblPr>
        <w:tblLayout w:type="fixed"/>
        <w:tblInd w:w="2720" w:type="dxa"/>
        <w:tblCellMar>
          <w:top w:w="0" w:type="dxa"/>
          <w:left w:w="0" w:type="dxa"/>
          <w:bottom w:w="0" w:type="dxa"/>
          <w:right w:w="0" w:type="dxa"/>
        </w:tblCellMar>
      </w:tblPr>
      <w:tr>
        <w:trPr>
          <w:trHeight w:val="161"/>
        </w:trPr>
        <w:tc>
          <w:tcPr>
            <w:tcW w:w="18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840" w:type="dxa"/>
            <w:vAlign w:val="bottom"/>
            <w:tcBorders>
              <w:bottom w:val="single" w:sz="8" w:color="auto"/>
            </w:tcBorders>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in Excess</w:t>
            </w:r>
          </w:p>
        </w:tc>
        <w:tc>
          <w:tcPr>
            <w:tcW w:w="240" w:type="dxa"/>
            <w:vAlign w:val="bottom"/>
          </w:tcPr>
          <w:p>
            <w:pPr>
              <w:spacing w:after="0"/>
              <w:rPr>
                <w:sz w:val="13"/>
                <w:szCs w:val="13"/>
                <w:color w:val="auto"/>
              </w:rPr>
            </w:pPr>
          </w:p>
        </w:tc>
        <w:tc>
          <w:tcPr>
            <w:tcW w:w="11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0"/>
                <w:szCs w:val="10"/>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0"/>
                <w:szCs w:val="10"/>
                <w:color w:val="auto"/>
              </w:rPr>
            </w:pPr>
          </w:p>
        </w:tc>
        <w:tc>
          <w:tcPr>
            <w:tcW w:w="9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of Par</w:t>
            </w:r>
          </w:p>
        </w:tc>
        <w:tc>
          <w:tcPr>
            <w:tcW w:w="1380" w:type="dxa"/>
            <w:vAlign w:val="bottom"/>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0"/>
                <w:szCs w:val="10"/>
                <w:color w:val="auto"/>
              </w:rPr>
            </w:pPr>
          </w:p>
        </w:tc>
        <w:tc>
          <w:tcPr>
            <w:tcW w:w="8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200" w:type="dxa"/>
            <w:vAlign w:val="bottom"/>
          </w:tcPr>
          <w:p>
            <w:pPr>
              <w:spacing w:after="0"/>
              <w:rPr>
                <w:sz w:val="10"/>
                <w:szCs w:val="10"/>
                <w:color w:val="auto"/>
              </w:rPr>
            </w:pPr>
          </w:p>
        </w:tc>
        <w:tc>
          <w:tcPr>
            <w:tcW w:w="8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220" w:type="dxa"/>
            <w:vAlign w:val="bottom"/>
          </w:tcPr>
          <w:p>
            <w:pPr>
              <w:spacing w:after="0"/>
              <w:rPr>
                <w:sz w:val="10"/>
                <w:szCs w:val="10"/>
                <w:color w:val="auto"/>
              </w:rPr>
            </w:pPr>
          </w:p>
        </w:tc>
        <w:tc>
          <w:tcPr>
            <w:tcW w:w="7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ectPr>
          <w:pgSz w:w="11900" w:h="16838" w:orient="portrait"/>
          <w:cols w:equalWidth="0" w:num="1">
            <w:col w:w="11180"/>
          </w:cols>
          <w:pgMar w:left="320" w:top="811" w:right="399" w:bottom="1440" w:gutter="0" w:footer="0" w:header="0"/>
        </w:sect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December 31, 2022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20,570,710</w:t>
            </w:r>
          </w:p>
        </w:tc>
        <w:tc>
          <w:tcPr>
            <w:tcW w:w="120" w:type="dxa"/>
            <w:vAlign w:val="bottom"/>
          </w:tcPr>
          <w:p>
            <w:pPr>
              <w:spacing w:after="0"/>
              <w:rPr>
                <w:sz w:val="13"/>
                <w:szCs w:val="13"/>
                <w:color w:val="auto"/>
              </w:rPr>
            </w:pPr>
          </w:p>
        </w:tc>
        <w:tc>
          <w:tcPr>
            <w:tcW w:w="40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2,057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175,836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Stock option exercises</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Stock-based compensation – stock options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restricted 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272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September 30, 2023</w:t>
            </w:r>
          </w:p>
        </w:tc>
        <w:tc>
          <w:tcPr>
            <w:tcW w:w="80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20,746,546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2,075</w:t>
            </w:r>
          </w:p>
        </w:tc>
        <w:tc>
          <w:tcPr>
            <w:tcW w:w="1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December 31, 2023</w:t>
            </w: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2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20,783,607</w:t>
            </w:r>
          </w:p>
        </w:tc>
        <w:tc>
          <w:tcPr>
            <w:tcW w:w="120" w:type="dxa"/>
            <w:vAlign w:val="bottom"/>
          </w:tcPr>
          <w:p>
            <w:pPr>
              <w:spacing w:after="0"/>
              <w:rPr>
                <w:sz w:val="21"/>
                <w:szCs w:val="21"/>
                <w:color w:val="auto"/>
              </w:rPr>
            </w:pPr>
          </w:p>
        </w:tc>
        <w:tc>
          <w:tcPr>
            <w:tcW w:w="40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2,078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279,020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Stock option exercises</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Stock-based compensation – stock options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restricted 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272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September 30, 2024</w:t>
            </w:r>
          </w:p>
        </w:tc>
        <w:tc>
          <w:tcPr>
            <w:tcW w:w="80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21,062,627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2,106</w:t>
            </w:r>
          </w:p>
        </w:tc>
        <w:tc>
          <w:tcPr>
            <w:tcW w:w="1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June 30, 2023</w:t>
            </w: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2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20,586,045</w:t>
            </w:r>
          </w:p>
        </w:tc>
        <w:tc>
          <w:tcPr>
            <w:tcW w:w="120" w:type="dxa"/>
            <w:vAlign w:val="bottom"/>
          </w:tcPr>
          <w:p>
            <w:pPr>
              <w:spacing w:after="0"/>
              <w:rPr>
                <w:sz w:val="21"/>
                <w:szCs w:val="21"/>
                <w:color w:val="auto"/>
              </w:rPr>
            </w:pPr>
          </w:p>
        </w:tc>
        <w:tc>
          <w:tcPr>
            <w:tcW w:w="40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2,059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160,501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Stock option exercises</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Stock-based compensation – stock options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restricted 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272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September 30, 2023</w:t>
            </w:r>
          </w:p>
        </w:tc>
        <w:tc>
          <w:tcPr>
            <w:tcW w:w="80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20,746,546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2,075</w:t>
            </w:r>
          </w:p>
        </w:tc>
        <w:tc>
          <w:tcPr>
            <w:tcW w:w="1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June 30, 2024</w:t>
            </w: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72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21,059,461</w:t>
            </w:r>
          </w:p>
        </w:tc>
        <w:tc>
          <w:tcPr>
            <w:tcW w:w="120" w:type="dxa"/>
            <w:vAlign w:val="bottom"/>
          </w:tcPr>
          <w:p>
            <w:pPr>
              <w:spacing w:after="0"/>
              <w:rPr>
                <w:sz w:val="21"/>
                <w:szCs w:val="21"/>
                <w:color w:val="auto"/>
              </w:rPr>
            </w:pPr>
          </w:p>
        </w:tc>
        <w:tc>
          <w:tcPr>
            <w:tcW w:w="40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2,106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3,166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Stock option exercises</w:t>
            </w: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Stock-based compensation – stock options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 restricted 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2720" w:type="dxa"/>
            <w:vAlign w:val="bottom"/>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 xml:space="preserve">Balance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September 30, 2024</w:t>
            </w:r>
          </w:p>
        </w:tc>
        <w:tc>
          <w:tcPr>
            <w:tcW w:w="80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21,062,627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2,106</w:t>
            </w:r>
          </w:p>
        </w:tc>
        <w:tc>
          <w:tcPr>
            <w:tcW w:w="1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96"/>
              </w:rPr>
              <w:t>187,405</w:t>
            </w:r>
          </w:p>
        </w:tc>
        <w:tc>
          <w:tcPr>
            <w:tcW w:w="300" w:type="dxa"/>
            <w:vAlign w:val="bottom"/>
            <w:gridSpan w:val="2"/>
          </w:tcPr>
          <w:p>
            <w:pPr>
              <w:jc w:val="right"/>
              <w:ind w:right="21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(3,750)</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(47,951)</w:t>
            </w:r>
          </w:p>
        </w:tc>
        <w:tc>
          <w:tcPr>
            <w:tcW w:w="34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(21,484)</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126</w:t>
            </w:r>
          </w:p>
        </w:tc>
        <w:tc>
          <w:tcPr>
            <w:tcW w:w="2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116,403</w:t>
            </w:r>
          </w:p>
        </w:tc>
        <w:tc>
          <w:tcPr>
            <w:tcW w:w="0" w:type="dxa"/>
            <w:vAlign w:val="bottom"/>
          </w:tcPr>
          <w:p>
            <w:pPr>
              <w:spacing w:after="0"/>
              <w:rPr>
                <w:sz w:val="1"/>
                <w:szCs w:val="1"/>
                <w:color w:val="auto"/>
              </w:rPr>
            </w:pPr>
          </w:p>
        </w:tc>
      </w:tr>
      <w:tr>
        <w:trPr>
          <w:trHeight w:val="147"/>
        </w:trPr>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1,023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4,324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4,316</w:t>
            </w:r>
          </w:p>
        </w:tc>
        <w:tc>
          <w:tcPr>
            <w:tcW w:w="0" w:type="dxa"/>
            <w:vAlign w:val="bottom"/>
          </w:tcPr>
          <w:p>
            <w:pPr>
              <w:spacing w:after="0"/>
              <w:rPr>
                <w:sz w:val="1"/>
                <w:szCs w:val="1"/>
                <w:color w:val="auto"/>
              </w:rPr>
            </w:pPr>
          </w:p>
        </w:tc>
      </w:tr>
      <w:tr>
        <w:trPr>
          <w:trHeight w:val="147"/>
        </w:trPr>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147"/>
        </w:trPr>
        <w:tc>
          <w:tcPr>
            <w:tcW w:w="700" w:type="dxa"/>
            <w:vAlign w:val="bottom"/>
          </w:tcPr>
          <w:p>
            <w:pPr>
              <w:jc w:val="right"/>
              <w:ind w:right="169"/>
              <w:spacing w:after="0" w:line="147" w:lineRule="exact"/>
              <w:rPr>
                <w:sz w:val="20"/>
                <w:szCs w:val="20"/>
                <w:color w:val="auto"/>
              </w:rPr>
            </w:pPr>
            <w:r>
              <w:rPr>
                <w:rFonts w:ascii="Times New Roman" w:cs="Times New Roman" w:eastAsia="Times New Roman" w:hAnsi="Times New Roman"/>
                <w:sz w:val="14"/>
                <w:szCs w:val="14"/>
                <w:color w:val="auto"/>
              </w:rPr>
              <w:t>421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47"/>
        </w:trPr>
        <w:tc>
          <w:tcPr>
            <w:tcW w:w="700" w:type="dxa"/>
            <w:vAlign w:val="bottom"/>
          </w:tcPr>
          <w:p>
            <w:pPr>
              <w:jc w:val="right"/>
              <w:ind w:right="169"/>
              <w:spacing w:after="0" w:line="147"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(426)</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9"/>
        </w:trPr>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96"/>
              </w:rPr>
              <w:t>188,852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40"/>
        </w:trPr>
        <w:tc>
          <w:tcPr>
            <w:tcW w:w="70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(4,176)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(43,627)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(21,484)</w:t>
            </w:r>
          </w:p>
        </w:tc>
        <w:tc>
          <w:tcPr>
            <w:tcW w:w="2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2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121,758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96"/>
              </w:rPr>
              <w:t>189,160</w:t>
            </w:r>
          </w:p>
        </w:tc>
        <w:tc>
          <w:tcPr>
            <w:tcW w:w="300" w:type="dxa"/>
            <w:vAlign w:val="bottom"/>
            <w:gridSpan w:val="2"/>
          </w:tcPr>
          <w:p>
            <w:pPr>
              <w:jc w:val="right"/>
              <w:ind w:right="21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(3,660)</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(40,754)</w:t>
            </w:r>
          </w:p>
        </w:tc>
        <w:tc>
          <w:tcPr>
            <w:tcW w:w="34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(21,492)</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95</w:t>
            </w:r>
          </w:p>
        </w:tc>
        <w:tc>
          <w:tcPr>
            <w:tcW w:w="2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125,427</w:t>
            </w:r>
          </w:p>
        </w:tc>
        <w:tc>
          <w:tcPr>
            <w:tcW w:w="0" w:type="dxa"/>
            <w:vAlign w:val="bottom"/>
          </w:tcPr>
          <w:p>
            <w:pPr>
              <w:spacing w:after="0"/>
              <w:rPr>
                <w:sz w:val="1"/>
                <w:szCs w:val="1"/>
                <w:color w:val="auto"/>
              </w:rPr>
            </w:pPr>
          </w:p>
        </w:tc>
      </w:tr>
      <w:tr>
        <w:trPr>
          <w:trHeight w:val="147"/>
        </w:trPr>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1,932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6,118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6,176</w:t>
            </w:r>
          </w:p>
        </w:tc>
        <w:tc>
          <w:tcPr>
            <w:tcW w:w="0" w:type="dxa"/>
            <w:vAlign w:val="bottom"/>
          </w:tcPr>
          <w:p>
            <w:pPr>
              <w:spacing w:after="0"/>
              <w:rPr>
                <w:sz w:val="1"/>
                <w:szCs w:val="1"/>
                <w:color w:val="auto"/>
              </w:rPr>
            </w:pPr>
          </w:p>
        </w:tc>
      </w:tr>
      <w:tr>
        <w:trPr>
          <w:trHeight w:val="147"/>
        </w:trPr>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1,960</w:t>
            </w:r>
          </w:p>
        </w:tc>
        <w:tc>
          <w:tcPr>
            <w:tcW w:w="0" w:type="dxa"/>
            <w:vAlign w:val="bottom"/>
          </w:tcPr>
          <w:p>
            <w:pPr>
              <w:spacing w:after="0"/>
              <w:rPr>
                <w:sz w:val="1"/>
                <w:szCs w:val="1"/>
                <w:color w:val="auto"/>
              </w:rPr>
            </w:pPr>
          </w:p>
        </w:tc>
      </w:tr>
      <w:tr>
        <w:trPr>
          <w:trHeight w:val="147"/>
        </w:trPr>
        <w:tc>
          <w:tcPr>
            <w:tcW w:w="700" w:type="dxa"/>
            <w:vAlign w:val="bottom"/>
          </w:tcPr>
          <w:p>
            <w:pPr>
              <w:jc w:val="right"/>
              <w:ind w:right="169"/>
              <w:spacing w:after="0" w:line="147" w:lineRule="exact"/>
              <w:rPr>
                <w:sz w:val="20"/>
                <w:szCs w:val="20"/>
                <w:color w:val="auto"/>
              </w:rPr>
            </w:pPr>
            <w:r>
              <w:rPr>
                <w:rFonts w:ascii="Times New Roman" w:cs="Times New Roman" w:eastAsia="Times New Roman" w:hAnsi="Times New Roman"/>
                <w:sz w:val="14"/>
                <w:szCs w:val="14"/>
                <w:color w:val="auto"/>
              </w:rPr>
              <w:t>472</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47"/>
        </w:trPr>
        <w:tc>
          <w:tcPr>
            <w:tcW w:w="700" w:type="dxa"/>
            <w:vAlign w:val="bottom"/>
          </w:tcPr>
          <w:p>
            <w:pPr>
              <w:jc w:val="right"/>
              <w:ind w:right="169"/>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9"/>
        </w:trPr>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96"/>
              </w:rPr>
              <w:t>191,582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40"/>
        </w:trPr>
        <w:tc>
          <w:tcPr>
            <w:tcW w:w="70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(3,084)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(34,636)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(21,492)</w:t>
            </w:r>
          </w:p>
        </w:tc>
        <w:tc>
          <w:tcPr>
            <w:tcW w:w="2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2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134,629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96"/>
              </w:rPr>
              <w:t>187,758</w:t>
            </w:r>
          </w:p>
        </w:tc>
        <w:tc>
          <w:tcPr>
            <w:tcW w:w="300" w:type="dxa"/>
            <w:vAlign w:val="bottom"/>
            <w:gridSpan w:val="2"/>
          </w:tcPr>
          <w:p>
            <w:pPr>
              <w:jc w:val="right"/>
              <w:ind w:right="21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(3,846)</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(44,957)</w:t>
            </w:r>
          </w:p>
        </w:tc>
        <w:tc>
          <w:tcPr>
            <w:tcW w:w="34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(21,484)</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145</w:t>
            </w:r>
          </w:p>
        </w:tc>
        <w:tc>
          <w:tcPr>
            <w:tcW w:w="2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119,675</w:t>
            </w:r>
          </w:p>
        </w:tc>
        <w:tc>
          <w:tcPr>
            <w:tcW w:w="0" w:type="dxa"/>
            <w:vAlign w:val="bottom"/>
          </w:tcPr>
          <w:p>
            <w:pPr>
              <w:spacing w:after="0"/>
              <w:rPr>
                <w:sz w:val="1"/>
                <w:szCs w:val="1"/>
                <w:color w:val="auto"/>
              </w:rPr>
            </w:pPr>
          </w:p>
        </w:tc>
      </w:tr>
      <w:tr>
        <w:trPr>
          <w:trHeight w:val="147"/>
        </w:trPr>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963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1,330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6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1,303</w:t>
            </w:r>
          </w:p>
        </w:tc>
        <w:tc>
          <w:tcPr>
            <w:tcW w:w="0" w:type="dxa"/>
            <w:vAlign w:val="bottom"/>
          </w:tcPr>
          <w:p>
            <w:pPr>
              <w:spacing w:after="0"/>
              <w:rPr>
                <w:sz w:val="1"/>
                <w:szCs w:val="1"/>
                <w:color w:val="auto"/>
              </w:rPr>
            </w:pPr>
          </w:p>
        </w:tc>
      </w:tr>
      <w:tr>
        <w:trPr>
          <w:trHeight w:val="147"/>
        </w:trPr>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147"/>
        </w:trPr>
        <w:tc>
          <w:tcPr>
            <w:tcW w:w="700" w:type="dxa"/>
            <w:vAlign w:val="bottom"/>
          </w:tcPr>
          <w:p>
            <w:pPr>
              <w:jc w:val="right"/>
              <w:ind w:right="169"/>
              <w:spacing w:after="0" w:line="147" w:lineRule="exact"/>
              <w:rPr>
                <w:sz w:val="20"/>
                <w:szCs w:val="20"/>
                <w:color w:val="auto"/>
              </w:rPr>
            </w:pPr>
            <w:r>
              <w:rPr>
                <w:rFonts w:ascii="Times New Roman" w:cs="Times New Roman" w:eastAsia="Times New Roman" w:hAnsi="Times New Roman"/>
                <w:sz w:val="14"/>
                <w:szCs w:val="14"/>
                <w:color w:val="auto"/>
              </w:rPr>
              <w:t>130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47"/>
        </w:trPr>
        <w:tc>
          <w:tcPr>
            <w:tcW w:w="700" w:type="dxa"/>
            <w:vAlign w:val="bottom"/>
          </w:tcPr>
          <w:p>
            <w:pPr>
              <w:jc w:val="right"/>
              <w:ind w:right="169"/>
              <w:spacing w:after="0" w:line="147"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(330)</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9"/>
        </w:trPr>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96"/>
              </w:rPr>
              <w:t>188,852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40"/>
        </w:trPr>
        <w:tc>
          <w:tcPr>
            <w:tcW w:w="70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(4,176)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(43,627)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(21,484)</w:t>
            </w:r>
          </w:p>
        </w:tc>
        <w:tc>
          <w:tcPr>
            <w:tcW w:w="2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2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121,758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96"/>
              </w:rPr>
              <w:t>191,388</w:t>
            </w:r>
          </w:p>
        </w:tc>
        <w:tc>
          <w:tcPr>
            <w:tcW w:w="300" w:type="dxa"/>
            <w:vAlign w:val="bottom"/>
            <w:gridSpan w:val="2"/>
          </w:tcPr>
          <w:p>
            <w:pPr>
              <w:jc w:val="right"/>
              <w:ind w:right="21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(3,895)</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(34,894)</w:t>
            </w:r>
          </w:p>
        </w:tc>
        <w:tc>
          <w:tcPr>
            <w:tcW w:w="340" w:type="dxa"/>
            <w:vAlign w:val="bottom"/>
            <w:gridSpan w:val="2"/>
          </w:tcPr>
          <w:p>
            <w:pPr>
              <w:jc w:val="right"/>
              <w:ind w:right="124"/>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(21,492)</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132</w:t>
            </w:r>
          </w:p>
        </w:tc>
        <w:tc>
          <w:tcPr>
            <w:tcW w:w="2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133,345</w:t>
            </w:r>
          </w:p>
        </w:tc>
        <w:tc>
          <w:tcPr>
            <w:tcW w:w="0" w:type="dxa"/>
            <w:vAlign w:val="bottom"/>
          </w:tcPr>
          <w:p>
            <w:pPr>
              <w:spacing w:after="0"/>
              <w:rPr>
                <w:sz w:val="1"/>
                <w:szCs w:val="1"/>
                <w:color w:val="auto"/>
              </w:rPr>
            </w:pPr>
          </w:p>
        </w:tc>
      </w:tr>
      <w:tr>
        <w:trPr>
          <w:trHeight w:val="147"/>
        </w:trPr>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47"/>
        </w:trPr>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7"/>
        </w:trPr>
        <w:tc>
          <w:tcPr>
            <w:tcW w:w="700" w:type="dxa"/>
            <w:vAlign w:val="bottom"/>
          </w:tcPr>
          <w:p>
            <w:pPr>
              <w:jc w:val="right"/>
              <w:ind w:right="169"/>
              <w:spacing w:after="0" w:line="147" w:lineRule="exact"/>
              <w:rPr>
                <w:sz w:val="20"/>
                <w:szCs w:val="20"/>
                <w:color w:val="auto"/>
              </w:rPr>
            </w:pPr>
            <w:r>
              <w:rPr>
                <w:rFonts w:ascii="Times New Roman" w:cs="Times New Roman" w:eastAsia="Times New Roman" w:hAnsi="Times New Roman"/>
                <w:sz w:val="14"/>
                <w:szCs w:val="14"/>
                <w:color w:val="auto"/>
              </w:rPr>
              <w:t>164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47"/>
        </w:trPr>
        <w:tc>
          <w:tcPr>
            <w:tcW w:w="700" w:type="dxa"/>
            <w:vAlign w:val="bottom"/>
          </w:tcPr>
          <w:p>
            <w:pPr>
              <w:jc w:val="right"/>
              <w:ind w:right="169"/>
              <w:spacing w:after="0" w:line="147"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811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69"/>
        </w:trPr>
        <w:tc>
          <w:tcPr>
            <w:tcW w:w="70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color w:val="auto"/>
                <w:w w:val="96"/>
              </w:rPr>
              <w:t>191,582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811</w:t>
            </w:r>
          </w:p>
        </w:tc>
        <w:tc>
          <w:tcPr>
            <w:tcW w:w="0" w:type="dxa"/>
            <w:vAlign w:val="bottom"/>
          </w:tcPr>
          <w:p>
            <w:pPr>
              <w:spacing w:after="0"/>
              <w:rPr>
                <w:sz w:val="1"/>
                <w:szCs w:val="1"/>
                <w:color w:val="auto"/>
              </w:rPr>
            </w:pPr>
          </w:p>
        </w:tc>
      </w:tr>
      <w:tr>
        <w:trPr>
          <w:trHeight w:val="140"/>
        </w:trPr>
        <w:tc>
          <w:tcPr>
            <w:tcW w:w="7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gridSpan w:val="2"/>
          </w:tcPr>
          <w:p>
            <w:pPr>
              <w:jc w:val="right"/>
              <w:ind w:right="20"/>
              <w:spacing w:after="0" w:line="140" w:lineRule="exact"/>
              <w:rPr>
                <w:sz w:val="20"/>
                <w:szCs w:val="20"/>
                <w:color w:val="auto"/>
              </w:rPr>
            </w:pPr>
            <w:r>
              <w:rPr>
                <w:rFonts w:ascii="Times New Roman" w:cs="Times New Roman" w:eastAsia="Times New Roman" w:hAnsi="Times New Roman"/>
                <w:sz w:val="14"/>
                <w:szCs w:val="14"/>
                <w:color w:val="auto"/>
              </w:rPr>
              <w:t>(3,084)</w:t>
            </w:r>
          </w:p>
        </w:tc>
        <w:tc>
          <w:tcPr>
            <w:tcW w:w="200" w:type="dxa"/>
            <w:vAlign w:val="bottom"/>
          </w:tcPr>
          <w:p>
            <w:pPr>
              <w:spacing w:after="0"/>
              <w:rPr>
                <w:sz w:val="12"/>
                <w:szCs w:val="12"/>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(34,636)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(21,492)</w:t>
            </w:r>
          </w:p>
        </w:tc>
        <w:tc>
          <w:tcPr>
            <w:tcW w:w="200" w:type="dxa"/>
            <w:vAlign w:val="bottom"/>
          </w:tcPr>
          <w:p>
            <w:pPr>
              <w:spacing w:after="0"/>
              <w:rPr>
                <w:sz w:val="12"/>
                <w:szCs w:val="12"/>
                <w:color w:val="auto"/>
              </w:rPr>
            </w:pPr>
          </w:p>
        </w:tc>
        <w:tc>
          <w:tcPr>
            <w:tcW w:w="380" w:type="dxa"/>
            <w:vAlign w:val="bottom"/>
            <w:tcBorders>
              <w:top w:val="single" w:sz="8" w:color="auto"/>
            </w:tcBorders>
          </w:tcPr>
          <w:p>
            <w:pPr>
              <w:jc w:val="right"/>
              <w:ind w:right="22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jc w:val="right"/>
              <w:ind w:right="49"/>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134,629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-3023870</wp:posOffset>
            </wp:positionV>
            <wp:extent cx="713422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-2837815</wp:posOffset>
            </wp:positionV>
            <wp:extent cx="7134225" cy="93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-2651125</wp:posOffset>
            </wp:positionV>
            <wp:extent cx="7134225" cy="933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-2244725</wp:posOffset>
            </wp:positionV>
            <wp:extent cx="7134225" cy="93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-2058035</wp:posOffset>
            </wp:positionV>
            <wp:extent cx="7134225" cy="93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-1871980</wp:posOffset>
            </wp:positionV>
            <wp:extent cx="7134225" cy="93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-1464945</wp:posOffset>
            </wp:positionV>
            <wp:extent cx="7134225" cy="93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-1278890</wp:posOffset>
            </wp:positionV>
            <wp:extent cx="7134225" cy="93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-1092200</wp:posOffset>
            </wp:positionV>
            <wp:extent cx="7134225" cy="93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-685800</wp:posOffset>
            </wp:positionV>
            <wp:extent cx="7134225" cy="93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-499110</wp:posOffset>
            </wp:positionV>
            <wp:extent cx="7134225" cy="93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-313055</wp:posOffset>
            </wp:positionV>
            <wp:extent cx="7134225" cy="93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933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-2465070</wp:posOffset>
            </wp:positionV>
            <wp:extent cx="7134225" cy="127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-1685290</wp:posOffset>
            </wp:positionV>
            <wp:extent cx="7134225" cy="127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-906145</wp:posOffset>
            </wp:positionV>
            <wp:extent cx="7134225" cy="127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-126365</wp:posOffset>
            </wp:positionV>
            <wp:extent cx="7134225" cy="127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2700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860" w:space="380"/>
            <w:col w:w="5940"/>
          </w:cols>
          <w:pgMar w:left="320" w:top="811"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811" w:right="3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p>
      <w:pPr>
        <w:ind w:left="320" w:hanging="313"/>
        <w:spacing w:after="0"/>
        <w:tabs>
          <w:tab w:leader="none" w:pos="32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2023.</w:t>
      </w:r>
    </w:p>
    <w:p>
      <w:pPr>
        <w:spacing w:after="0" w:line="18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December 31, 2023 consolidated balance sheet information referenced herein was derived from audited financial statements but does not include all disclosures required by GAAP.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 Not Yet Adopted</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to expand the disclosure requirements for reportable segments. This standard is effective for fiscal years beginning after December 15, 2023 and interim periods within fiscal years beginning after December 15, 2024. Adoption will not have an impact on the Company's results of operations, financial position or cash flows. The Company is currently evaluating the effect that adoption of this standard will have on the Company's disclosures.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DEBT</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December 13, 2021, Ultralife, Southwest Electronic Energy Corporation – an Ultralife Company, a Texas corporation and wholly owned subsidiary of Ultralife (“SWE”), CLB, INC., a Texas corporation and wholly owned subsidiary of SWE (“CLB”), Ultralife Excell Holding Corp., a Delaware corporation and wholly owned subsidiary of Ultralife (“UEHC”), Ultralife Canada Holding Corp., a Delaware corporation and wholly owned subsidiary of UEHC (“UCHC”), and Excell Battery Corporation USA, a Texas corporation and wholly owned subsidiary of UEHC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On November 28, 2022, Ultralife, SWE, CLB, UEHC, UCHC, Excell USA, and Excell Battery Canada ULC, a British Columbia unlimited liability corporation and wholly owned subsidiary of UCHC (“Excell Canada”), entered into that certain Third Amendment Agreement with KeyBank, to further amend the Credit Agreement to, among other things, facilitate the joinder of Excell Canada as a guarantor under the Credit Agreement and to replace the LIBOR benchmark thereunder with the Secured Overnight Financing Rate or “SOFR” (the “Third Amendment Agreement”). On June 30, 2024, Ultralife, SWE, CLB, UEHC, Excell USA and Excell Canada entered into that certain Fourth Amendment Agreement with KeyBank to extend the period under which loans may be requested by the Company under the Credit Agreement to May 30, 2028, to increase the “Applicable Margin” used in the calculation of the rate at which interest accrues on outstanding indebtedness under the Credit Agreement and to increase the fee payable on the average daily unused availability under the $30,000 senior secured revolving credit facility (the “Revolving Credit Facility”) which is made available to the Company under the Credit Agreement (the “Fourth Amendment Agreement”, and together with the Third Amendment Agreement, the Second Amendment Agreement and the Credit Agreement, the “Amended Credit Agreement”).</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Amended Credit Agreement, among other things, provides for a 5-year, $10,000 senior secured term loan (the “Term Loan Facility”) and extends the term of the Revolving Credit Facility through May 30, 2028. Up to six months prior to May 30, 2028, the Revolving Credit Facility may be increased to $50,000 with the Bank’s concurrence.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18"/>
          <w:szCs w:val="18"/>
          <w:color w:val="auto"/>
        </w:rPr>
        <w:t>As of September 30, 2024, the Company had $4,667 outstanding principal on the Term Loan Facility, $2,000 of which is included in current portion of long-term debt on the balance sheet, and $3,368 outstanding on the Revolving Credit Facility. As of September 30, 2024, total unamortized debt issuance costs of $147, including placement, renewal and legal fees associated with the Amended Credit Agreement, are classified as a reduction of long-term debt on the balance sheet. Debt issuance costs are amortized to interest expense over the term of the Amended Credit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availability under the Revolving Credit Facility is subject to certain borrowing base limits based on trade receivables and inventories.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2028. The Company may voluntarily prepay principal amounts outstanding at any time subject to certain restrictions.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 The Company was in full compliance with its covenants under the Amended Credit Agreement as of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Amended Credit Agreement are secured by substantially all the assets of the Company and its subsidiaries.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Interest accrues on outstanding indebtedness under the Amended Credit Agreement at the Daily Simple SOFR Rate, plus an index spread adjustment of 0.10%, plus the applicable margin. Upon the effectiveness of the Fourth Amendment Agreement, the applicable margin ranges from 210 to 240 basis points and is determined based on the Company’s senior leverage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must pay a fee of 0.20% to 0.30% based on the average daily unused availability under the Revolving Credit Facility.</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Payments must be made by the Company to the extent borrowings exceed the maximum amount then permitted to be drawn under the terms of the Amended Credit Agreement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principal repayment obligations under the terms of the Amended Credit Agreement as of September 30, 2024 are as follows:</w:t>
      </w:r>
    </w:p>
    <w:p>
      <w:pPr>
        <w:spacing w:after="0" w:line="238"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6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8"/>
                <w:szCs w:val="18"/>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r>
      <w:tr>
        <w:trPr>
          <w:trHeight w:val="213"/>
        </w:trPr>
        <w:tc>
          <w:tcPr>
            <w:tcW w:w="4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6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46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80" w:type="dxa"/>
            <w:vAlign w:val="bottom"/>
          </w:tcPr>
          <w:p>
            <w:pPr>
              <w:spacing w:after="0"/>
              <w:rPr>
                <w:sz w:val="17"/>
                <w:szCs w:val="17"/>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31, 2024, the Company acquired Electrochem Solutions, Inc., and in connection with such acquisition the Company refinanced its debt obligations under the Amended Credit Agreement by entering into a new Credit and Security Agreement with KeyBank National Association (“KeyBank” or the “Bank”), as lender and administrative agent (the “New Credit Agreement”). See Note 11 for a description of the debt obligations under the New Credit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 w:name="page9"/>
    <w:bookmarkEnd w:id="8"/>
    <w:p>
      <w:pPr>
        <w:ind w:left="320" w:hanging="313"/>
        <w:spacing w:after="0"/>
        <w:tabs>
          <w:tab w:leader="none" w:pos="32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Basic earnings (loss) per share (“EPS”) is computed by dividing net income (loss) attributable to Ultralife Corporation by the weighted average shares outstanding during the period. Diluted EPS includes the dilutive effect of securities, if any, and is calculated using the treasury stock method.</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the three-month period ended September 30, 2024, there were 864,854 outstanding stock options and 5,229 unvested restricted stock awards included in the calculation of diluted weighted average shares outstanding, as such securities were dilutive, resulting in 249,082 potential common shares included in the calculation of diluted EPS. For the comparable three-month period ended September 30, 2023, 677,029 outstanding stock options and 2,500 unvested restricted stock awards were included in the calculation of diluted weighted average shares outstanding, as such securities were dilutive, resulting in 65,275 potential common shares included in the calculation of diluted EPS. For the three-month period ended September 30, 2024, all outstanding stock options were included in the calculation of diluted weighted average shares. For the three-month period ended September 30, 2023, there were 411,583 outstanding stock options not included in the calculation of diluted weighted average shares outstanding as the effect would be anti-dilutive.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nine-month period ended September 30, 2024, there were 786,854 outstanding stock options and 5,229 unvested restricted stock awards included in the calculation of diluted weighted average shares outstanding, resulting in 212,072 potential common shares included in the calculation of diluted EPS. For the comparable nine-month period ended September 30, 2023, there were 22,165 outstanding stock options and 2,500 unvested restricted stock awards included in the calculation of diluted weighted average shares outstanding, resulting in 2,441 potential common shares included in the calculation of diluted EPS. There were 78,000 and 1,066,447 outstanding stock options for the nine-month periods ended September 30, 2024 and 2023, respectively, not included in the calculation of diluted weighted average shares outstanding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700" w:firstLine="7"/>
        <w:spacing w:after="0" w:line="497" w:lineRule="auto"/>
        <w:tabs>
          <w:tab w:leader="none" w:pos="3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SUPPLEMENTAL BALANCE SHEET INFORMATION Fair Value Measurements and Disclosures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fair value of financial instruments approximated their carrying values at September 30, 2024 and December 31, 2023. The fair value of cash, accounts receivable, accounts payable, accrued liabilities, and the current portion of long-term debt approximates carrying value due to the short-term nature of these instruments.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the Company’s cash was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4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7"/>
        </w:trPr>
        <w:tc>
          <w:tcPr>
            <w:tcW w:w="48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10,196</w:t>
            </w:r>
          </w:p>
        </w:tc>
      </w:tr>
      <w:tr>
        <w:trPr>
          <w:trHeight w:val="213"/>
        </w:trPr>
        <w:tc>
          <w:tcPr>
            <w:tcW w:w="4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r>
      <w:tr>
        <w:trPr>
          <w:trHeight w:val="227"/>
        </w:trPr>
        <w:tc>
          <w:tcPr>
            <w:tcW w:w="480" w:type="dxa"/>
            <w:vAlign w:val="bottom"/>
          </w:tcPr>
          <w:p>
            <w:pPr>
              <w:spacing w:after="0"/>
              <w:rPr>
                <w:sz w:val="19"/>
                <w:szCs w:val="19"/>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10,278</w:t>
            </w:r>
          </w:p>
        </w:tc>
      </w:tr>
      <w:tr>
        <w:trPr>
          <w:trHeight w:val="20"/>
        </w:trPr>
        <w:tc>
          <w:tcPr>
            <w:tcW w:w="48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December 31, 2023, restricted cash of $82 represented euro-denominated deposits withheld by the Dutch tax authorities and third-party VAT representatives in connection with a previously utilized logistics arrangement in the Netherlands. During the nine-month period ended September 30, 2024, the deposits were returned to the Company and no longer restricted. As of September 30, 2024, there was no cash classified as restricted cash. Restricted cash as of December 31, 2023 is included as a component of the cash balance for purposes of the consolidated statements of cash flows.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net of obsolescence reserves, with cost determined under the first-in, first-out (FIFO)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The composition of inventories, net was: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Borders>
              <w:bottom w:val="single" w:sz="8" w:color="auto"/>
            </w:tcBorders>
            <w:gridSpan w:val="3"/>
          </w:tcPr>
          <w:p>
            <w:pPr>
              <w:jc w:val="center"/>
              <w:ind w:left="45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380" w:type="dxa"/>
            <w:vAlign w:val="bottom"/>
            <w:tcBorders>
              <w:left w:val="single" w:sz="8" w:color="CCEEFF"/>
            </w:tcBorders>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0" w:type="dxa"/>
            <w:vAlign w:val="bottom"/>
          </w:tcPr>
          <w:p>
            <w:pPr>
              <w:spacing w:after="0"/>
              <w:rPr>
                <w:sz w:val="17"/>
                <w:szCs w:val="17"/>
                <w:color w:val="auto"/>
              </w:rPr>
            </w:pPr>
          </w:p>
        </w:tc>
        <w:tc>
          <w:tcPr>
            <w:tcW w:w="5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5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43,994</w:t>
            </w:r>
          </w:p>
        </w:tc>
        <w:tc>
          <w:tcPr>
            <w:tcW w:w="38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9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classes of property, plant and equipment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4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Borders>
              <w:bottom w:val="single" w:sz="8" w:color="auto"/>
            </w:tcBorders>
            <w:gridSpan w:val="3"/>
          </w:tcPr>
          <w:p>
            <w:pPr>
              <w:jc w:val="center"/>
              <w:ind w:left="45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80" w:type="dxa"/>
            <w:vAlign w:val="bottom"/>
            <w:tcBorders>
              <w:left w:val="single" w:sz="8" w:color="CCEEFF"/>
            </w:tcBorders>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58,399</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88,184</w:t>
            </w: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(67,939)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8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w:t>
            </w:r>
          </w:p>
        </w:tc>
        <w:tc>
          <w:tcPr>
            <w:tcW w:w="380" w:type="dxa"/>
            <w:vAlign w:val="bottom"/>
            <w:tcBorders>
              <w:left w:val="single" w:sz="8" w:color="CCEEFF"/>
            </w:tcBorders>
            <w:gridSpan w:val="2"/>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 for property, plant and equipment was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00" w:type="dxa"/>
            <w:vAlign w:val="bottom"/>
          </w:tcPr>
          <w:p>
            <w:pPr>
              <w:spacing w:after="0"/>
              <w:rPr>
                <w:sz w:val="24"/>
                <w:szCs w:val="24"/>
                <w:color w:val="auto"/>
              </w:rPr>
            </w:pPr>
          </w:p>
        </w:tc>
        <w:tc>
          <w:tcPr>
            <w:tcW w:w="2360" w:type="dxa"/>
            <w:vAlign w:val="bottom"/>
            <w:gridSpan w:val="9"/>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1"/>
              <w:spacing w:after="0" w:line="184"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160"/>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17"/>
                <w:szCs w:val="17"/>
                <w:color w:val="auto"/>
              </w:rPr>
            </w:pPr>
          </w:p>
        </w:tc>
        <w:tc>
          <w:tcPr>
            <w:tcW w:w="580" w:type="dxa"/>
            <w:vAlign w:val="bottom"/>
            <w:tcBorders>
              <w:left w:val="single" w:sz="8" w:color="CCEEFF"/>
            </w:tcBorders>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2,294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goodwill activity by segment for the nine-month period ended September 30,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Battery &amp;</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3"/>
        </w:trPr>
        <w:tc>
          <w:tcPr>
            <w:tcW w:w="3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Energy</w:t>
            </w:r>
          </w:p>
        </w:tc>
        <w:tc>
          <w:tcPr>
            <w:tcW w:w="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Communications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6"/>
        </w:trPr>
        <w:tc>
          <w:tcPr>
            <w:tcW w:w="3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7"/>
        </w:trPr>
        <w:tc>
          <w:tcPr>
            <w:tcW w:w="3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86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26,078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11,493</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37,571</w:t>
            </w:r>
          </w:p>
        </w:tc>
        <w:tc>
          <w:tcPr>
            <w:tcW w:w="260" w:type="dxa"/>
            <w:vAlign w:val="bottom"/>
          </w:tcPr>
          <w:p>
            <w:pPr>
              <w:spacing w:after="0"/>
              <w:rPr>
                <w:sz w:val="17"/>
                <w:szCs w:val="17"/>
                <w:color w:val="auto"/>
              </w:rPr>
            </w:pPr>
          </w:p>
        </w:tc>
      </w:tr>
      <w:tr>
        <w:trPr>
          <w:trHeight w:val="213"/>
        </w:trPr>
        <w:tc>
          <w:tcPr>
            <w:tcW w:w="3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w:t>
            </w:r>
          </w:p>
        </w:tc>
        <w:tc>
          <w:tcPr>
            <w:tcW w:w="26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7"/>
        </w:trPr>
        <w:tc>
          <w:tcPr>
            <w:tcW w:w="320" w:type="dxa"/>
            <w:vAlign w:val="bottom"/>
          </w:tcPr>
          <w:p>
            <w:pPr>
              <w:spacing w:after="0"/>
              <w:rPr>
                <w:sz w:val="21"/>
                <w:szCs w:val="21"/>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2024</w:t>
            </w:r>
          </w:p>
        </w:tc>
        <w:tc>
          <w:tcPr>
            <w:tcW w:w="16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11,493</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37,792</w:t>
            </w:r>
          </w:p>
        </w:tc>
        <w:tc>
          <w:tcPr>
            <w:tcW w:w="260" w:type="dxa"/>
            <w:vAlign w:val="bottom"/>
          </w:tcPr>
          <w:p>
            <w:pPr>
              <w:spacing w:after="0"/>
              <w:rPr>
                <w:sz w:val="21"/>
                <w:szCs w:val="21"/>
                <w:color w:val="auto"/>
              </w:rPr>
            </w:pPr>
          </w:p>
        </w:tc>
      </w:tr>
      <w:tr>
        <w:trPr>
          <w:trHeight w:val="408"/>
        </w:trPr>
        <w:tc>
          <w:tcPr>
            <w:tcW w:w="320" w:type="dxa"/>
            <w:vAlign w:val="bottom"/>
          </w:tcPr>
          <w:p>
            <w:pPr>
              <w:spacing w:after="0"/>
              <w:rPr>
                <w:sz w:val="24"/>
                <w:szCs w:val="24"/>
                <w:color w:val="auto"/>
              </w:rPr>
            </w:pPr>
          </w:p>
        </w:tc>
        <w:tc>
          <w:tcPr>
            <w:tcW w:w="404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jc w:val="right"/>
              <w:ind w:right="23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r>
        <w:trPr>
          <w:trHeight w:val="113"/>
        </w:trPr>
        <w:tc>
          <w:tcPr>
            <w:tcW w:w="320" w:type="dxa"/>
            <w:vAlign w:val="bottom"/>
            <w:tcBorders>
              <w:bottom w:val="single" w:sz="8" w:color="auto"/>
            </w:tcBorders>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 Net</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other intangible assets was: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6"/>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at September 30, 2024</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6"/>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20"/>
                <w:szCs w:val="20"/>
                <w:color w:val="auto"/>
              </w:rPr>
            </w:pPr>
          </w:p>
        </w:tc>
      </w:tr>
      <w:tr>
        <w:trPr>
          <w:trHeight w:val="207"/>
        </w:trPr>
        <w:tc>
          <w:tcPr>
            <w:tcW w:w="3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7,185</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6,034</w:t>
            </w:r>
          </w:p>
        </w:tc>
      </w:tr>
      <w:tr>
        <w:trPr>
          <w:trHeight w:val="213"/>
        </w:trPr>
        <w:tc>
          <w:tcPr>
            <w:tcW w:w="3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5,454</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w:t>
            </w:r>
          </w:p>
        </w:tc>
      </w:tr>
      <w:tr>
        <w:trPr>
          <w:trHeight w:val="213"/>
        </w:trPr>
        <w:tc>
          <w:tcPr>
            <w:tcW w:w="3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3,919</w:t>
            </w:r>
          </w:p>
        </w:tc>
      </w:tr>
      <w:tr>
        <w:trPr>
          <w:trHeight w:val="213"/>
        </w:trPr>
        <w:tc>
          <w:tcPr>
            <w:tcW w:w="3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3,403</w:t>
            </w:r>
          </w:p>
        </w:tc>
      </w:tr>
      <w:tr>
        <w:trPr>
          <w:trHeight w:val="213"/>
        </w:trPr>
        <w:tc>
          <w:tcPr>
            <w:tcW w:w="3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928</w:t>
            </w:r>
          </w:p>
        </w:tc>
      </w:tr>
      <w:tr>
        <w:trPr>
          <w:trHeight w:val="20"/>
        </w:trPr>
        <w:tc>
          <w:tcPr>
            <w:tcW w:w="3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3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96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13,959</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14,487</w:t>
            </w: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0"/>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December 31, 2023</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3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6"/>
        </w:trPr>
        <w:tc>
          <w:tcPr>
            <w:tcW w:w="3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20"/>
                <w:szCs w:val="20"/>
                <w:color w:val="auto"/>
              </w:rPr>
            </w:pPr>
          </w:p>
        </w:tc>
      </w:tr>
      <w:tr>
        <w:trPr>
          <w:trHeight w:val="207"/>
        </w:trPr>
        <w:tc>
          <w:tcPr>
            <w:tcW w:w="3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6,656</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6,436</w:t>
            </w:r>
          </w:p>
        </w:tc>
      </w:tr>
      <w:tr>
        <w:trPr>
          <w:trHeight w:val="213"/>
        </w:trPr>
        <w:tc>
          <w:tcPr>
            <w:tcW w:w="3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technology</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5,322</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r>
      <w:tr>
        <w:trPr>
          <w:trHeight w:val="213"/>
        </w:trPr>
        <w:tc>
          <w:tcPr>
            <w:tcW w:w="3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647</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w:t>
            </w:r>
          </w:p>
        </w:tc>
      </w:tr>
      <w:tr>
        <w:trPr>
          <w:trHeight w:val="213"/>
        </w:trPr>
        <w:tc>
          <w:tcPr>
            <w:tcW w:w="3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3,402</w:t>
            </w:r>
          </w:p>
        </w:tc>
      </w:tr>
      <w:tr>
        <w:trPr>
          <w:trHeight w:val="213"/>
        </w:trPr>
        <w:tc>
          <w:tcPr>
            <w:tcW w:w="3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985</w:t>
            </w:r>
          </w:p>
        </w:tc>
      </w:tr>
      <w:tr>
        <w:trPr>
          <w:trHeight w:val="20"/>
        </w:trPr>
        <w:tc>
          <w:tcPr>
            <w:tcW w:w="3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3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96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13,140</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15,107</w:t>
            </w: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cost of total intangible assets from December 31, 2023 to September 30, 2024 is the effect of foreign currency translations.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other intangible assets was as follows: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20" w:type="dxa"/>
            <w:vAlign w:val="bottom"/>
          </w:tcPr>
          <w:p>
            <w:pPr>
              <w:spacing w:after="0"/>
              <w:rPr>
                <w:sz w:val="24"/>
                <w:szCs w:val="24"/>
                <w:color w:val="auto"/>
              </w:rPr>
            </w:pPr>
          </w:p>
        </w:tc>
        <w:tc>
          <w:tcPr>
            <w:tcW w:w="24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1"/>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1"/>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included in:</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0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0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STOCK-BASED COMPENSATION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 recorded non-cash stock compensation expense in each period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20" w:type="dxa"/>
            <w:vAlign w:val="bottom"/>
          </w:tcPr>
          <w:p>
            <w:pPr>
              <w:spacing w:after="0"/>
              <w:rPr>
                <w:sz w:val="24"/>
                <w:szCs w:val="24"/>
                <w:color w:val="auto"/>
              </w:rPr>
            </w:pPr>
          </w:p>
        </w:tc>
        <w:tc>
          <w:tcPr>
            <w:tcW w:w="24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184"/>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1"/>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1"/>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6"/>
                <w:szCs w:val="16"/>
                <w:color w:val="auto"/>
              </w:rPr>
            </w:pPr>
          </w:p>
        </w:tc>
      </w:tr>
      <w:tr>
        <w:trPr>
          <w:trHeight w:val="213"/>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r>
      <w:tr>
        <w:trPr>
          <w:trHeight w:val="236"/>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We have stock options outstanding from various stock-based employee compensation plans for which we record compensation cost relating to share-based payment transactions in our financial statements. As of September 30, 2024, there was $394 of total unrecognized compensation cost related to outstanding stock options, which is expected to be recognized over a weighted average period of 0.8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nine-month period ended September 30, 2024:</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4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4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4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left="25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3"/>
        </w:trPr>
        <w:tc>
          <w:tcPr>
            <w:tcW w:w="48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960" w:type="dxa"/>
            <w:vAlign w:val="bottom"/>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10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6"/>
        </w:trPr>
        <w:tc>
          <w:tcPr>
            <w:tcW w:w="4820" w:type="dxa"/>
            <w:vAlign w:val="bottom"/>
          </w:tcPr>
          <w:p>
            <w:pPr>
              <w:spacing w:after="0"/>
              <w:rPr>
                <w:sz w:val="20"/>
                <w:szCs w:val="20"/>
                <w:color w:val="auto"/>
              </w:rPr>
            </w:pPr>
          </w:p>
        </w:tc>
        <w:tc>
          <w:tcPr>
            <w:tcW w:w="12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1,250,595</w:t>
            </w:r>
          </w:p>
        </w:tc>
        <w:tc>
          <w:tcPr>
            <w:tcW w:w="1040" w:type="dxa"/>
            <w:vAlign w:val="bottom"/>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7.10</w:t>
            </w: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6.84</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(291,841)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7.11</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(97,360)</w:t>
            </w:r>
          </w:p>
        </w:tc>
        <w:tc>
          <w:tcPr>
            <w:tcW w:w="1040" w:type="dxa"/>
            <w:vAlign w:val="bottom"/>
            <w:gridSpan w:val="2"/>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8.61</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7"/>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864,854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6.93</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194"/>
        </w:trPr>
        <w:tc>
          <w:tcPr>
            <w:tcW w:w="4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400" w:type="dxa"/>
            <w:vAlign w:val="bottom"/>
            <w:gridSpan w:val="2"/>
          </w:tcPr>
          <w:p>
            <w:pPr>
              <w:jc w:val="right"/>
              <w:ind w:right="120"/>
              <w:spacing w:after="0" w:line="194" w:lineRule="exact"/>
              <w:rPr>
                <w:sz w:val="20"/>
                <w:szCs w:val="20"/>
                <w:color w:val="auto"/>
              </w:rPr>
            </w:pPr>
            <w:r>
              <w:rPr>
                <w:rFonts w:ascii="Times New Roman" w:cs="Times New Roman" w:eastAsia="Times New Roman" w:hAnsi="Times New Roman"/>
                <w:sz w:val="18"/>
                <w:szCs w:val="18"/>
                <w:color w:val="auto"/>
              </w:rPr>
              <w:t>772,369</w:t>
            </w:r>
          </w:p>
        </w:tc>
        <w:tc>
          <w:tcPr>
            <w:tcW w:w="1040" w:type="dxa"/>
            <w:vAlign w:val="bottom"/>
            <w:gridSpan w:val="2"/>
          </w:tcPr>
          <w:p>
            <w:pPr>
              <w:jc w:val="right"/>
              <w:ind w:right="771"/>
              <w:spacing w:after="0" w:line="194"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w w:val="95"/>
              </w:rPr>
              <w:t>7.01</w:t>
            </w:r>
          </w:p>
        </w:tc>
        <w:tc>
          <w:tcPr>
            <w:tcW w:w="150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3.93</w:t>
            </w:r>
          </w:p>
        </w:tc>
        <w:tc>
          <w:tcPr>
            <w:tcW w:w="1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1,630</w:t>
            </w:r>
          </w:p>
        </w:tc>
      </w:tr>
      <w:tr>
        <w:trPr>
          <w:trHeight w:val="20"/>
        </w:trPr>
        <w:tc>
          <w:tcPr>
            <w:tcW w:w="4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4"/>
        </w:trPr>
        <w:tc>
          <w:tcPr>
            <w:tcW w:w="48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Exercisable at September 30, 2024</w:t>
            </w:r>
          </w:p>
        </w:tc>
        <w:tc>
          <w:tcPr>
            <w:tcW w:w="12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433,028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771"/>
              <w:spacing w:after="0" w:line="194"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w w:val="95"/>
              </w:rPr>
              <w:t>7.58</w:t>
            </w:r>
          </w:p>
        </w:tc>
        <w:tc>
          <w:tcPr>
            <w:tcW w:w="15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2.67</w:t>
            </w:r>
          </w:p>
        </w:tc>
        <w:tc>
          <w:tcPr>
            <w:tcW w:w="16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696</w:t>
            </w:r>
          </w:p>
        </w:tc>
      </w:tr>
    </w:tbl>
    <w:p>
      <w:pPr>
        <w:spacing w:after="0" w:line="195"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Cash received from stock option exercises under our stock-based compensation plans for the three-month periods ended September 30, 2024 and September 30, 2023 was $24 and $979, respectively. Cash received from stock option exercises under our stock-based compensation plans for the nine-month periods ended September 30, 2024 and September 30, 2023 was $1,960 and $1,041, respectively.</w:t>
      </w:r>
    </w:p>
    <w:p>
      <w:pPr>
        <w:spacing w:after="0" w:line="176"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8"/>
          <w:szCs w:val="18"/>
          <w:color w:val="auto"/>
        </w:rPr>
        <w:t>Restricted stock awards vest in equal annual installments over three (3) years. Unrecognized compensation cost related to unvested restricted shares at September 30, 2024 and September 30, 2023, respectively, was $19 and $0.</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811" w:right="239" w:bottom="1440" w:gutter="0" w:footer="0" w:header="0"/>
        </w:sectPr>
      </w:pPr>
    </w:p>
    <w:bookmarkStart w:id="12" w:name="page13"/>
    <w:bookmarkEnd w:id="12"/>
    <w:p>
      <w:pPr>
        <w:ind w:left="320" w:hanging="313"/>
        <w:spacing w:after="0"/>
        <w:tabs>
          <w:tab w:leader="none" w:pos="3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Our effective tax rate for the nine-month periods ended September 30, 2024 and September 30, 2023 was 20.9% and 28.1%, respectively. The period-over-period change was primarily attributable to the geographic mix of our operating results and the larger impact of discrete adjustments for stock option exercises in the current year.</w:t>
      </w:r>
    </w:p>
    <w:p>
      <w:pPr>
        <w:spacing w:after="0" w:line="176"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As of December 31, 2023, we have domestic net operating loss (“NOL”) carryforwards of $27,200, which expire 2031 through 2035, and domestic tax credits of $2,900, which expire 2028 through 2043, available to reduce future taxable income. As of September 30, 2024, management has concluded it is more likely than not that these domestic NOL and credit carryforwards will be fully utilized.</w:t>
      </w:r>
    </w:p>
    <w:p>
      <w:pPr>
        <w:spacing w:after="0" w:line="176"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As of September 30, 2024,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1"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8"/>
          <w:szCs w:val="18"/>
          <w:color w:val="auto"/>
        </w:rPr>
        <w:t>As of September 30, 2024, we have not recognized a valuation allowance against our other foreign deferred tax assets, as realization is considered to be more likely than not.</w:t>
      </w:r>
    </w:p>
    <w:p>
      <w:pPr>
        <w:spacing w:after="0" w:line="163"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8"/>
          <w:szCs w:val="18"/>
          <w:color w:val="auto"/>
        </w:rPr>
        <w:t>As of September 30, 2024, the Company maintains its assertion that all foreign earnings will be indefinitely reinvested in those operations, other than earnings generated in the U.K.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unrecognized tax benefits related to uncertain tax positions at September 30, 2024 and December 31, 2023.</w:t>
      </w:r>
    </w:p>
    <w:p>
      <w:pPr>
        <w:spacing w:after="0" w:line="220"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2020 thru 2023 remain subject to IRS examination. Our U.S. tax matters for 2001-2002, 2005-2007, 2009, and 2011-2015 also remain subject to IRS examination due to the remaining availability of net operating loss carryforwards generated in those years. Our U.S. tax matters for 2014 thru 2023 remain subject to examination by various state and local tax jurisdictions. Our tax matters for the years 2014 thru 2023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hanging="313"/>
        <w:spacing w:after="0"/>
        <w:tabs>
          <w:tab w:leader="none" w:pos="32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The Company has operating leases predominantly for operating facilities. As of September 30, 2024, the remaining lease terms on our operating leases range from approximately less than one (1) year to seven (7) years. Lease terms include renewal options reasonably certain of exercise. There is no transfer of title or option to purchase the leased assets upon expiration. There are no residual value guarantees or material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current and prior-year comparative periods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52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4"/>
        </w:trPr>
        <w:tc>
          <w:tcPr>
            <w:tcW w:w="6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91"/>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6"/>
              </w:rPr>
              <w:t>September</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91"/>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640" w:type="dxa"/>
            <w:vAlign w:val="bottom"/>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7"/>
        </w:trPr>
        <w:tc>
          <w:tcPr>
            <w:tcW w:w="64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c>
          <w:tcPr>
            <w:tcW w:w="60" w:type="dxa"/>
            <w:vAlign w:val="bottom"/>
            <w:shd w:val="clear" w:color="auto" w:fill="CCEEFF"/>
          </w:tcPr>
          <w:p>
            <w:pPr>
              <w:spacing w:after="0"/>
              <w:rPr>
                <w:sz w:val="17"/>
                <w:szCs w:val="17"/>
                <w:color w:val="auto"/>
              </w:rPr>
            </w:pPr>
          </w:p>
        </w:tc>
      </w:tr>
      <w:tr>
        <w:trPr>
          <w:trHeight w:val="213"/>
        </w:trPr>
        <w:tc>
          <w:tcPr>
            <w:tcW w:w="640" w:type="dxa"/>
            <w:vAlign w:val="bottom"/>
          </w:tcPr>
          <w:p>
            <w:pPr>
              <w:spacing w:after="0"/>
              <w:rPr>
                <w:sz w:val="18"/>
                <w:szCs w:val="18"/>
                <w:color w:val="auto"/>
              </w:rPr>
            </w:pPr>
          </w:p>
        </w:tc>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7"/>
        </w:trPr>
        <w:tc>
          <w:tcPr>
            <w:tcW w:w="640" w:type="dxa"/>
            <w:vAlign w:val="bottom"/>
          </w:tcPr>
          <w:p>
            <w:pPr>
              <w:spacing w:after="0"/>
              <w:rPr>
                <w:sz w:val="21"/>
                <w:szCs w:val="21"/>
                <w:color w:val="auto"/>
              </w:rPr>
            </w:pPr>
          </w:p>
        </w:tc>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cost</w:t>
            </w:r>
          </w:p>
        </w:tc>
        <w:tc>
          <w:tcPr>
            <w:tcW w:w="2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c>
          <w:tcPr>
            <w:tcW w:w="60" w:type="dxa"/>
            <w:vAlign w:val="bottom"/>
            <w:shd w:val="clear" w:color="auto" w:fill="CCEEFF"/>
          </w:tcPr>
          <w:p>
            <w:pPr>
              <w:spacing w:after="0"/>
              <w:rPr>
                <w:sz w:val="21"/>
                <w:szCs w:val="21"/>
                <w:color w:val="auto"/>
              </w:rPr>
            </w:pPr>
          </w:p>
        </w:tc>
      </w:tr>
      <w:tr>
        <w:trPr>
          <w:trHeight w:val="408"/>
        </w:trPr>
        <w:tc>
          <w:tcPr>
            <w:tcW w:w="640" w:type="dxa"/>
            <w:vAlign w:val="bottom"/>
          </w:tcPr>
          <w:p>
            <w:pPr>
              <w:spacing w:after="0"/>
              <w:rPr>
                <w:sz w:val="24"/>
                <w:szCs w:val="24"/>
                <w:color w:val="auto"/>
              </w:rPr>
            </w:pPr>
          </w:p>
        </w:tc>
        <w:tc>
          <w:tcPr>
            <w:tcW w:w="318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113"/>
        </w:trPr>
        <w:tc>
          <w:tcPr>
            <w:tcW w:w="64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ectPr>
          <w:pgSz w:w="11900" w:h="16838" w:orient="portrait"/>
          <w:cols w:equalWidth="0" w:num="1">
            <w:col w:w="11300"/>
          </w:cols>
          <w:pgMar w:left="320" w:top="811" w:right="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60" w:type="dxa"/>
            <w:vAlign w:val="bottom"/>
            <w:gridSpan w:val="12"/>
          </w:tcPr>
          <w:p>
            <w:pPr>
              <w:ind w:left="66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r>
      <w:tr>
        <w:trPr>
          <w:trHeight w:val="236"/>
        </w:trPr>
        <w:tc>
          <w:tcPr>
            <w:tcW w:w="6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40" w:type="dxa"/>
            <w:vAlign w:val="bottom"/>
            <w:gridSpan w:val="9"/>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7"/>
        </w:trPr>
        <w:tc>
          <w:tcPr>
            <w:tcW w:w="6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40" w:type="dxa"/>
            <w:vAlign w:val="bottom"/>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r>
      <w:tr>
        <w:trPr>
          <w:trHeight w:val="213"/>
        </w:trPr>
        <w:tc>
          <w:tcPr>
            <w:tcW w:w="640" w:type="dxa"/>
            <w:vAlign w:val="bottom"/>
          </w:tcPr>
          <w:p>
            <w:pPr>
              <w:spacing w:after="0"/>
              <w:rPr>
                <w:sz w:val="18"/>
                <w:szCs w:val="18"/>
                <w:color w:val="auto"/>
              </w:rPr>
            </w:pPr>
          </w:p>
        </w:tc>
        <w:tc>
          <w:tcPr>
            <w:tcW w:w="6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640" w:type="dxa"/>
            <w:vAlign w:val="bottom"/>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w:t>
            </w: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left w:val="single" w:sz="8" w:color="CCEEFF"/>
            </w:tcBorders>
            <w:shd w:val="clear" w:color="auto" w:fill="CCEEFF"/>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421"/>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was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40" w:type="dxa"/>
            <w:vAlign w:val="bottom"/>
          </w:tcPr>
          <w:p>
            <w:pPr>
              <w:spacing w:after="0"/>
              <w:rPr>
                <w:sz w:val="24"/>
                <w:szCs w:val="24"/>
                <w:color w:val="auto"/>
              </w:rPr>
            </w:pPr>
          </w:p>
        </w:tc>
        <w:tc>
          <w:tcPr>
            <w:tcW w:w="2340" w:type="dxa"/>
            <w:vAlign w:val="bottom"/>
            <w:gridSpan w:val="9"/>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36"/>
        </w:trPr>
        <w:tc>
          <w:tcPr>
            <w:tcW w:w="6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220" w:type="dxa"/>
            <w:vAlign w:val="bottom"/>
          </w:tcPr>
          <w:p>
            <w:pPr>
              <w:spacing w:after="0"/>
              <w:rPr>
                <w:sz w:val="20"/>
                <w:szCs w:val="20"/>
                <w:color w:val="auto"/>
              </w:rPr>
            </w:pP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4,194</w:t>
            </w:r>
          </w:p>
        </w:tc>
        <w:tc>
          <w:tcPr>
            <w:tcW w:w="54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gridSpan w:val="2"/>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54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3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4,170</w:t>
            </w:r>
          </w:p>
        </w:tc>
        <w:tc>
          <w:tcPr>
            <w:tcW w:w="54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760" w:type="dxa"/>
            <w:vAlign w:val="bottom"/>
            <w:gridSpan w:val="2"/>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gridSpan w:val="2"/>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8"/>
        </w:trPr>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Future minimum lease payments as of September 30, 2024 are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640" w:type="dxa"/>
            <w:vAlign w:val="bottom"/>
          </w:tcPr>
          <w:p>
            <w:pPr>
              <w:spacing w:after="0"/>
              <w:rPr>
                <w:sz w:val="24"/>
                <w:szCs w:val="24"/>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3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64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40" w:type="dxa"/>
            <w:vAlign w:val="bottom"/>
          </w:tcPr>
          <w:p>
            <w:pPr>
              <w:spacing w:after="0"/>
              <w:rPr>
                <w:sz w:val="18"/>
                <w:szCs w:val="18"/>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40" w:type="dxa"/>
            <w:vAlign w:val="bottom"/>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6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7"/>
        </w:trPr>
        <w:tc>
          <w:tcPr>
            <w:tcW w:w="640" w:type="dxa"/>
            <w:vAlign w:val="bottom"/>
          </w:tcPr>
          <w:p>
            <w:pPr>
              <w:spacing w:after="0"/>
              <w:rPr>
                <w:sz w:val="21"/>
                <w:szCs w:val="21"/>
                <w:color w:val="auto"/>
              </w:rPr>
            </w:pPr>
          </w:p>
        </w:tc>
        <w:tc>
          <w:tcPr>
            <w:tcW w:w="3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remaining lease payments</w:t>
            </w:r>
          </w:p>
        </w:tc>
        <w:tc>
          <w:tcPr>
            <w:tcW w:w="33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8"/>
        </w:trPr>
        <w:tc>
          <w:tcPr>
            <w:tcW w:w="6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64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ectPr>
          <w:pgSz w:w="11900" w:h="16838" w:orient="portrait"/>
          <w:cols w:equalWidth="0" w:num="1">
            <w:col w:w="11300"/>
          </w:cols>
          <w:pgMar w:left="320" w:top="575" w:right="279" w:bottom="1440" w:gutter="0" w:footer="0" w:header="0"/>
        </w:sectPr>
      </w:pPr>
    </w:p>
    <w:bookmarkStart w:id="14" w:name="page15"/>
    <w:bookmarkEnd w:id="14"/>
    <w:p>
      <w:pPr>
        <w:ind w:right="7700" w:firstLine="7"/>
        <w:spacing w:after="0" w:line="497" w:lineRule="auto"/>
        <w:tabs>
          <w:tab w:leader="none" w:pos="32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 Purchase Commitments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have made commitments to purchase approximately $597 of production machinery and equipment.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4"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nine months of 2024 and 2023 were as follows:</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7180" w:type="dxa"/>
            <w:vAlign w:val="bottom"/>
          </w:tcPr>
          <w:p>
            <w:pPr>
              <w:spacing w:after="0"/>
              <w:rPr>
                <w:sz w:val="20"/>
                <w:szCs w:val="20"/>
                <w:color w:val="auto"/>
              </w:rPr>
            </w:pPr>
          </w:p>
        </w:tc>
        <w:tc>
          <w:tcPr>
            <w:tcW w:w="3480" w:type="dxa"/>
            <w:vAlign w:val="bottom"/>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Nine-month period ended September 30,</w:t>
            </w:r>
          </w:p>
        </w:tc>
      </w:tr>
      <w:tr>
        <w:trPr>
          <w:trHeight w:val="207"/>
        </w:trPr>
        <w:tc>
          <w:tcPr>
            <w:tcW w:w="71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7"/>
                <w:szCs w:val="17"/>
                <w:color w:val="auto"/>
              </w:rPr>
            </w:pPr>
          </w:p>
        </w:tc>
      </w:tr>
      <w:tr>
        <w:trPr>
          <w:trHeight w:val="207"/>
        </w:trPr>
        <w:tc>
          <w:tcPr>
            <w:tcW w:w="7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warranty obligations – beginning</w:t>
            </w:r>
          </w:p>
        </w:tc>
        <w:tc>
          <w:tcPr>
            <w:tcW w:w="110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r>
      <w:tr>
        <w:trPr>
          <w:trHeight w:val="21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w:t>
            </w:r>
          </w:p>
        </w:tc>
        <w:tc>
          <w:tcPr>
            <w:tcW w:w="1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260</w:t>
            </w:r>
          </w:p>
        </w:tc>
      </w:tr>
      <w:tr>
        <w:trPr>
          <w:trHeight w:val="213"/>
        </w:trPr>
        <w:tc>
          <w:tcPr>
            <w:tcW w:w="7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 made</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7180" w:type="dxa"/>
            <w:vAlign w:val="bottom"/>
            <w:tcBorders>
              <w:right w:val="single" w:sz="8" w:color="CCEEFF"/>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7"/>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 obligations – ending</w:t>
            </w:r>
          </w:p>
        </w:tc>
        <w:tc>
          <w:tcPr>
            <w:tcW w:w="1100" w:type="dxa"/>
            <w:vAlign w:val="bottom"/>
          </w:tcPr>
          <w:p>
            <w:pPr>
              <w:jc w:val="right"/>
              <w:ind w:right="968"/>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w:t>
            </w:r>
          </w:p>
        </w:tc>
      </w:tr>
      <w:tr>
        <w:trPr>
          <w:trHeight w:val="20"/>
        </w:trPr>
        <w:tc>
          <w:tcPr>
            <w:tcW w:w="7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Legal Matters</w:t>
      </w:r>
    </w:p>
    <w:p>
      <w:pPr>
        <w:spacing w:after="0" w:line="224"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4"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85"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 For the three-month and nine-month periods ended September 30, 2024, revenue recognized on extended warranties was $81 and $224, respectively.</w:t>
      </w:r>
    </w:p>
    <w:p>
      <w:pPr>
        <w:spacing w:after="0" w:line="181"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As of September 30, 2024, there was deferred revenue on extended warranty contracts of $1,227, comprised of $298 expected to be recognized as revenue within one (1) year and classified as accrued expenses and other current liabilities on our consolidated balance sheet, and $929 expected to be recognized as revenue over the remaining duration of the respective contracts and classified as other noncurrent liabilities on our consolidated balance sheet.</w:t>
      </w:r>
    </w:p>
    <w:p>
      <w:pPr>
        <w:spacing w:after="0" w:line="176"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color w:val="auto"/>
        </w:rPr>
        <w:t>As of December 31, 2023, there was deferred revenue on extended warranty contracts of $1,407, comprised of $287 expected to be recognized as revenue within one (1) year and classified as accrued expenses and other current liabilities on our consolidated balance sheet, and $1,120 expected to be recognized as revenue evenly over the remaining duration of the respective contracts and classified as other noncurrent liabilities on our consolidated balance sheet.</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00"/>
          </w:cols>
          <w:pgMar w:left="320" w:top="811" w:right="279" w:bottom="1440" w:gutter="0" w:footer="0" w:header="0"/>
        </w:sectPr>
      </w:pPr>
    </w:p>
    <w:bookmarkStart w:id="15" w:name="page16"/>
    <w:bookmarkEnd w:id="15"/>
    <w:p>
      <w:pPr>
        <w:jc w:val="both"/>
        <w:spacing w:after="0" w:line="262"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BUSINESS SEGMENT INFORMATION</w:t>
      </w:r>
    </w:p>
    <w:p>
      <w:pPr>
        <w:spacing w:after="0" w:line="22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30, 2024:</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04"/>
        </w:trPr>
        <w:tc>
          <w:tcPr>
            <w:tcW w:w="4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3"/>
        </w:trPr>
        <w:tc>
          <w:tcPr>
            <w:tcW w:w="4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6"/>
        </w:trPr>
        <w:tc>
          <w:tcPr>
            <w:tcW w:w="4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32,529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35,694</w:t>
            </w:r>
          </w:p>
        </w:tc>
        <w:tc>
          <w:tcPr>
            <w:tcW w:w="580" w:type="dxa"/>
            <w:vAlign w:val="bottom"/>
          </w:tcPr>
          <w:p>
            <w:pPr>
              <w:spacing w:after="0"/>
              <w:rPr>
                <w:sz w:val="17"/>
                <w:szCs w:val="17"/>
                <w:color w:val="auto"/>
              </w:rPr>
            </w:pP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580" w:type="dxa"/>
            <w:vAlign w:val="bottom"/>
          </w:tcPr>
          <w:p>
            <w:pPr>
              <w:spacing w:after="0"/>
              <w:rPr>
                <w:sz w:val="18"/>
                <w:szCs w:val="18"/>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580" w:type="dxa"/>
            <w:vAlign w:val="bottom"/>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tcPr>
          <w:p>
            <w:pPr>
              <w:spacing w:after="0"/>
              <w:rPr>
                <w:sz w:val="18"/>
                <w:szCs w:val="18"/>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Pr>
          <w:p>
            <w:pPr>
              <w:spacing w:after="0"/>
              <w:rPr>
                <w:sz w:val="18"/>
                <w:szCs w:val="18"/>
                <w:color w:val="auto"/>
              </w:rPr>
            </w:pPr>
          </w:p>
        </w:tc>
      </w:tr>
      <w:tr>
        <w:trPr>
          <w:trHeight w:val="2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580" w:type="dxa"/>
            <w:vAlign w:val="bottom"/>
          </w:tcPr>
          <w:p>
            <w:pPr>
              <w:spacing w:after="0"/>
              <w:rPr>
                <w:sz w:val="20"/>
                <w:szCs w:val="20"/>
                <w:color w:val="auto"/>
              </w:rPr>
            </w:pPr>
          </w:p>
        </w:tc>
      </w:tr>
      <w:tr>
        <w:trPr>
          <w:trHeight w:val="409"/>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 September 30, 2023:</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4"/>
        </w:trPr>
        <w:tc>
          <w:tcPr>
            <w:tcW w:w="4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3"/>
        </w:trPr>
        <w:tc>
          <w:tcPr>
            <w:tcW w:w="4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6"/>
        </w:trPr>
        <w:tc>
          <w:tcPr>
            <w:tcW w:w="4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31,919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39,488</w:t>
            </w:r>
          </w:p>
        </w:tc>
        <w:tc>
          <w:tcPr>
            <w:tcW w:w="580" w:type="dxa"/>
            <w:vAlign w:val="bottom"/>
          </w:tcPr>
          <w:p>
            <w:pPr>
              <w:spacing w:after="0"/>
              <w:rPr>
                <w:sz w:val="17"/>
                <w:szCs w:val="17"/>
                <w:color w:val="auto"/>
              </w:rPr>
            </w:pP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(7,639)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2,135</w:t>
            </w:r>
          </w:p>
        </w:tc>
        <w:tc>
          <w:tcPr>
            <w:tcW w:w="580" w:type="dxa"/>
            <w:vAlign w:val="bottom"/>
          </w:tcPr>
          <w:p>
            <w:pPr>
              <w:spacing w:after="0"/>
              <w:rPr>
                <w:sz w:val="18"/>
                <w:szCs w:val="18"/>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w:t>
            </w:r>
          </w:p>
        </w:tc>
        <w:tc>
          <w:tcPr>
            <w:tcW w:w="580" w:type="dxa"/>
            <w:vAlign w:val="bottom"/>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580" w:type="dxa"/>
            <w:vAlign w:val="bottom"/>
          </w:tcPr>
          <w:p>
            <w:pPr>
              <w:spacing w:after="0"/>
              <w:rPr>
                <w:sz w:val="18"/>
                <w:szCs w:val="18"/>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tcPr>
          <w:p>
            <w:pPr>
              <w:spacing w:after="0"/>
              <w:rPr>
                <w:sz w:val="18"/>
                <w:szCs w:val="18"/>
                <w:color w:val="auto"/>
              </w:rPr>
            </w:pPr>
          </w:p>
        </w:tc>
      </w:tr>
      <w:tr>
        <w:trPr>
          <w:trHeight w:val="2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1,330</w:t>
            </w:r>
          </w:p>
        </w:tc>
        <w:tc>
          <w:tcPr>
            <w:tcW w:w="580" w:type="dxa"/>
            <w:vAlign w:val="bottom"/>
          </w:tcPr>
          <w:p>
            <w:pPr>
              <w:spacing w:after="0"/>
              <w:rPr>
                <w:sz w:val="20"/>
                <w:szCs w:val="20"/>
                <w:color w:val="auto"/>
              </w:rPr>
            </w:pPr>
          </w:p>
        </w:tc>
      </w:tr>
      <w:tr>
        <w:trPr>
          <w:trHeight w:val="409"/>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2024:</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04"/>
        </w:trPr>
        <w:tc>
          <w:tcPr>
            <w:tcW w:w="4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3"/>
        </w:trPr>
        <w:tc>
          <w:tcPr>
            <w:tcW w:w="4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6"/>
        </w:trPr>
        <w:tc>
          <w:tcPr>
            <w:tcW w:w="4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120,604</w:t>
            </w:r>
          </w:p>
        </w:tc>
        <w:tc>
          <w:tcPr>
            <w:tcW w:w="580" w:type="dxa"/>
            <w:vAlign w:val="bottom"/>
          </w:tcPr>
          <w:p>
            <w:pPr>
              <w:spacing w:after="0"/>
              <w:rPr>
                <w:sz w:val="17"/>
                <w:szCs w:val="17"/>
                <w:color w:val="auto"/>
              </w:rPr>
            </w:pP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26,986</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4,729</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8,491</w:t>
            </w:r>
          </w:p>
        </w:tc>
        <w:tc>
          <w:tcPr>
            <w:tcW w:w="580" w:type="dxa"/>
            <w:vAlign w:val="bottom"/>
          </w:tcPr>
          <w:p>
            <w:pPr>
              <w:spacing w:after="0"/>
              <w:rPr>
                <w:sz w:val="18"/>
                <w:szCs w:val="18"/>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w:t>
            </w:r>
          </w:p>
        </w:tc>
        <w:tc>
          <w:tcPr>
            <w:tcW w:w="580" w:type="dxa"/>
            <w:vAlign w:val="bottom"/>
          </w:tcPr>
          <w:p>
            <w:pPr>
              <w:spacing w:after="0"/>
              <w:rPr>
                <w:sz w:val="18"/>
                <w:szCs w:val="18"/>
                <w:color w:val="auto"/>
              </w:rPr>
            </w:pPr>
          </w:p>
        </w:tc>
      </w:tr>
      <w:tr>
        <w:trPr>
          <w:trHeight w:val="21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(1,630)</w:t>
            </w:r>
          </w:p>
        </w:tc>
        <w:tc>
          <w:tcPr>
            <w:tcW w:w="580" w:type="dxa"/>
            <w:vAlign w:val="bottom"/>
          </w:tcPr>
          <w:p>
            <w:pPr>
              <w:spacing w:after="0"/>
              <w:rPr>
                <w:sz w:val="18"/>
                <w:szCs w:val="18"/>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580" w:type="dxa"/>
            <w:vAlign w:val="bottom"/>
          </w:tcPr>
          <w:p>
            <w:pPr>
              <w:spacing w:after="0"/>
              <w:rPr>
                <w:sz w:val="18"/>
                <w:szCs w:val="18"/>
                <w:color w:val="auto"/>
              </w:rPr>
            </w:pPr>
          </w:p>
        </w:tc>
      </w:tr>
      <w:tr>
        <w:trPr>
          <w:trHeight w:val="2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6,118</w:t>
            </w:r>
          </w:p>
        </w:tc>
        <w:tc>
          <w:tcPr>
            <w:tcW w:w="580" w:type="dxa"/>
            <w:vAlign w:val="bottom"/>
          </w:tcPr>
          <w:p>
            <w:pPr>
              <w:spacing w:after="0"/>
              <w:rPr>
                <w:sz w:val="20"/>
                <w:szCs w:val="20"/>
                <w:color w:val="auto"/>
              </w:rPr>
            </w:pPr>
          </w:p>
        </w:tc>
      </w:tr>
      <w:tr>
        <w:trPr>
          <w:trHeight w:val="409"/>
        </w:trPr>
        <w:tc>
          <w:tcPr>
            <w:tcW w:w="4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611"/>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3"/>
        </w:trPr>
        <w:tc>
          <w:tcPr>
            <w:tcW w:w="4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Nine-month period ended September 30, 2023:</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4"/>
        </w:trPr>
        <w:tc>
          <w:tcPr>
            <w:tcW w:w="4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Battery &amp;</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Energy</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4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0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94,250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114,096</w:t>
            </w:r>
          </w:p>
        </w:tc>
      </w:tr>
      <w:tr>
        <w:trPr>
          <w:trHeight w:val="21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21,783</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6,015</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(21,972)</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5,826</w:t>
            </w:r>
          </w:p>
        </w:tc>
      </w:tr>
      <w:tr>
        <w:trPr>
          <w:trHeight w:val="21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r>
      <w:tr>
        <w:trPr>
          <w:trHeight w:val="21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(1,688)</w:t>
            </w: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(1,688)</w:t>
            </w:r>
          </w:p>
        </w:tc>
      </w:tr>
      <w:tr>
        <w:trPr>
          <w:trHeight w:val="213"/>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32"/>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Ultralife</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4,324</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business segment revenues by major source and geography.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and Government/Defense Revenue Information:</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48"/>
        </w:trPr>
        <w:tc>
          <w:tcPr>
            <w:tcW w:w="436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Three-month period ended September 30, 2024:</w:t>
            </w: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8"/>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Government/</w:t>
            </w:r>
          </w:p>
        </w:tc>
      </w:tr>
      <w:tr>
        <w:trPr>
          <w:trHeight w:val="232"/>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Defense</w:t>
            </w:r>
          </w:p>
        </w:tc>
        <w:tc>
          <w:tcPr>
            <w:tcW w:w="160" w:type="dxa"/>
            <w:vAlign w:val="bottom"/>
          </w:tcPr>
          <w:p>
            <w:pPr>
              <w:spacing w:after="0"/>
              <w:rPr>
                <w:sz w:val="20"/>
                <w:szCs w:val="20"/>
                <w:color w:val="auto"/>
              </w:rPr>
            </w:pPr>
          </w:p>
        </w:tc>
      </w:tr>
      <w:tr>
        <w:trPr>
          <w:trHeight w:val="207"/>
        </w:trPr>
        <w:tc>
          <w:tcPr>
            <w:tcW w:w="1280" w:type="dxa"/>
            <w:vAlign w:val="bottom"/>
          </w:tcPr>
          <w:p>
            <w:pPr>
              <w:spacing w:after="0"/>
              <w:rPr>
                <w:sz w:val="17"/>
                <w:szCs w:val="17"/>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32,529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22,516</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10,013</w:t>
            </w:r>
          </w:p>
        </w:tc>
      </w:tr>
      <w:tr>
        <w:trPr>
          <w:trHeight w:val="213"/>
        </w:trPr>
        <w:tc>
          <w:tcPr>
            <w:tcW w:w="1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3,165</w:t>
            </w:r>
          </w:p>
        </w:tc>
      </w:tr>
      <w:tr>
        <w:trPr>
          <w:trHeight w:val="20"/>
        </w:trPr>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128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35,694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22,516</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13,178</w:t>
            </w:r>
          </w:p>
        </w:tc>
      </w:tr>
      <w:tr>
        <w:trPr>
          <w:trHeight w:val="20"/>
        </w:trPr>
        <w:tc>
          <w:tcPr>
            <w:tcW w:w="128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8"/>
                <w:szCs w:val="18"/>
                <w:i w:val="1"/>
                <w:iCs w:val="1"/>
                <w:color w:val="auto"/>
              </w:rPr>
              <w:t>%</w:t>
            </w:r>
          </w:p>
        </w:tc>
        <w:tc>
          <w:tcPr>
            <w:tcW w:w="2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i w:val="1"/>
                <w:iCs w:val="1"/>
                <w:color w:val="auto"/>
              </w:rPr>
              <w:t>%</w:t>
            </w:r>
          </w:p>
        </w:tc>
      </w:tr>
      <w:tr>
        <w:trPr>
          <w:trHeight w:val="407"/>
        </w:trPr>
        <w:tc>
          <w:tcPr>
            <w:tcW w:w="56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Three-month period ended September 30, 2023:</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8"/>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Total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Government/</w:t>
            </w:r>
          </w:p>
        </w:tc>
      </w:tr>
      <w:tr>
        <w:trPr>
          <w:trHeight w:val="232"/>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color w:val="auto"/>
                <w:w w:val="98"/>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Defense</w:t>
            </w:r>
          </w:p>
        </w:tc>
        <w:tc>
          <w:tcPr>
            <w:tcW w:w="160" w:type="dxa"/>
            <w:vAlign w:val="bottom"/>
          </w:tcPr>
          <w:p>
            <w:pPr>
              <w:spacing w:after="0"/>
              <w:rPr>
                <w:sz w:val="20"/>
                <w:szCs w:val="20"/>
                <w:color w:val="auto"/>
              </w:rPr>
            </w:pPr>
          </w:p>
        </w:tc>
      </w:tr>
      <w:tr>
        <w:trPr>
          <w:trHeight w:val="207"/>
        </w:trPr>
        <w:tc>
          <w:tcPr>
            <w:tcW w:w="1280" w:type="dxa"/>
            <w:vAlign w:val="bottom"/>
          </w:tcPr>
          <w:p>
            <w:pPr>
              <w:spacing w:after="0"/>
              <w:rPr>
                <w:sz w:val="17"/>
                <w:szCs w:val="17"/>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Battery &amp; Energy Products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31,919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24,150</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7,769</w:t>
            </w:r>
          </w:p>
        </w:tc>
      </w:tr>
      <w:tr>
        <w:trPr>
          <w:trHeight w:val="213"/>
        </w:trPr>
        <w:tc>
          <w:tcPr>
            <w:tcW w:w="12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 Systems</w:t>
            </w:r>
          </w:p>
        </w:tc>
        <w:tc>
          <w:tcPr>
            <w:tcW w:w="2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7,569</w:t>
            </w:r>
          </w:p>
        </w:tc>
      </w:tr>
      <w:tr>
        <w:trPr>
          <w:trHeight w:val="20"/>
        </w:trPr>
        <w:tc>
          <w:tcPr>
            <w:tcW w:w="1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7"/>
        </w:trPr>
        <w:tc>
          <w:tcPr>
            <w:tcW w:w="128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39,488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24,150</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15,338</w:t>
            </w:r>
          </w:p>
        </w:tc>
      </w:tr>
      <w:tr>
        <w:trPr>
          <w:trHeight w:val="20"/>
        </w:trPr>
        <w:tc>
          <w:tcPr>
            <w:tcW w:w="1280" w:type="dxa"/>
            <w:vAlign w:val="bottom"/>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4"/>
        </w:trPr>
        <w:tc>
          <w:tcPr>
            <w:tcW w:w="12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i w:val="1"/>
                <w:iCs w:val="1"/>
                <w:color w:val="auto"/>
              </w:rPr>
              <w:t>%</w:t>
            </w:r>
          </w:p>
        </w:tc>
        <w:tc>
          <w:tcPr>
            <w:tcW w:w="2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18"/>
                <w:szCs w:val="18"/>
                <w:i w:val="1"/>
                <w:iCs w:val="1"/>
                <w:color w:val="auto"/>
              </w:rPr>
              <w:t>%</w:t>
            </w:r>
          </w:p>
        </w:tc>
      </w:tr>
    </w:tbl>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Nine-month period ended September 30, 2024:</w:t>
      </w:r>
    </w:p>
    <w:p>
      <w:pPr>
        <w:sectPr>
          <w:pgSz w:w="11900" w:h="16838" w:orient="portrait"/>
          <w:cols w:equalWidth="0" w:num="1">
            <w:col w:w="10820"/>
          </w:cols>
          <w:pgMar w:left="320" w:top="571"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Nine-month period ended September 30, 2023:</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13"/>
        </w:trPr>
        <w:tc>
          <w:tcPr>
            <w:tcW w:w="2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Government/</w:t>
            </w: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Revenue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431"/>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Defense</w:t>
            </w:r>
          </w:p>
        </w:tc>
        <w:tc>
          <w:tcPr>
            <w:tcW w:w="0" w:type="dxa"/>
            <w:vAlign w:val="bottom"/>
          </w:tcPr>
          <w:p>
            <w:pPr>
              <w:spacing w:after="0"/>
              <w:rPr>
                <w:sz w:val="1"/>
                <w:szCs w:val="1"/>
                <w:color w:val="auto"/>
              </w:rPr>
            </w:pPr>
          </w:p>
        </w:tc>
      </w:tr>
      <w:tr>
        <w:trPr>
          <w:trHeight w:val="188"/>
        </w:trPr>
        <w:tc>
          <w:tcPr>
            <w:tcW w:w="260" w:type="dxa"/>
            <w:vAlign w:val="bottom"/>
            <w:tcBorders>
              <w:top w:val="single" w:sz="8" w:color="auto"/>
            </w:tcBorders>
          </w:tcPr>
          <w:p>
            <w:pPr>
              <w:jc w:val="right"/>
              <w:ind w:right="9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104,201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74,320</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29,881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16,403</w:t>
            </w:r>
          </w:p>
        </w:tc>
        <w:tc>
          <w:tcPr>
            <w:tcW w:w="0" w:type="dxa"/>
            <w:vAlign w:val="bottom"/>
          </w:tcPr>
          <w:p>
            <w:pPr>
              <w:spacing w:after="0"/>
              <w:rPr>
                <w:sz w:val="1"/>
                <w:szCs w:val="1"/>
                <w:color w:val="auto"/>
              </w:rPr>
            </w:pPr>
          </w:p>
        </w:tc>
      </w:tr>
      <w:tr>
        <w:trPr>
          <w:trHeight w:val="207"/>
        </w:trPr>
        <w:tc>
          <w:tcPr>
            <w:tcW w:w="2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120,604</w:t>
            </w:r>
          </w:p>
        </w:tc>
        <w:tc>
          <w:tcPr>
            <w:tcW w:w="180" w:type="dxa"/>
            <w:vAlign w:val="bottom"/>
          </w:tcPr>
          <w:p>
            <w:pPr>
              <w:spacing w:after="0"/>
              <w:rPr>
                <w:sz w:val="17"/>
                <w:szCs w:val="17"/>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74,320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2"/>
        </w:trPr>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7"/>
        </w:trPr>
        <w:tc>
          <w:tcPr>
            <w:tcW w:w="26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Government/</w:t>
            </w: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Revenue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431"/>
              <w:spacing w:after="0"/>
              <w:rPr>
                <w:sz w:val="20"/>
                <w:szCs w:val="20"/>
                <w:color w:val="auto"/>
              </w:rPr>
            </w:pPr>
            <w:r>
              <w:rPr>
                <w:rFonts w:ascii="Times New Roman" w:cs="Times New Roman" w:eastAsia="Times New Roman" w:hAnsi="Times New Roman"/>
                <w:sz w:val="18"/>
                <w:szCs w:val="18"/>
                <w:color w:val="auto"/>
              </w:rPr>
              <w:t>Commercial</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251"/>
              <w:spacing w:after="0"/>
              <w:rPr>
                <w:sz w:val="20"/>
                <w:szCs w:val="20"/>
                <w:color w:val="auto"/>
              </w:rPr>
            </w:pPr>
            <w:r>
              <w:rPr>
                <w:rFonts w:ascii="Times New Roman" w:cs="Times New Roman" w:eastAsia="Times New Roman" w:hAnsi="Times New Roman"/>
                <w:sz w:val="18"/>
                <w:szCs w:val="18"/>
                <w:color w:val="auto"/>
                <w:w w:val="98"/>
              </w:rPr>
              <w:t>Defense</w:t>
            </w:r>
          </w:p>
        </w:tc>
        <w:tc>
          <w:tcPr>
            <w:tcW w:w="0" w:type="dxa"/>
            <w:vAlign w:val="bottom"/>
          </w:tcPr>
          <w:p>
            <w:pPr>
              <w:spacing w:after="0"/>
              <w:rPr>
                <w:sz w:val="1"/>
                <w:szCs w:val="1"/>
                <w:color w:val="auto"/>
              </w:rPr>
            </w:pPr>
          </w:p>
        </w:tc>
      </w:tr>
      <w:tr>
        <w:trPr>
          <w:trHeight w:val="188"/>
        </w:trPr>
        <w:tc>
          <w:tcPr>
            <w:tcW w:w="260" w:type="dxa"/>
            <w:vAlign w:val="bottom"/>
            <w:tcBorders>
              <w:top w:val="single" w:sz="8" w:color="auto"/>
            </w:tcBorders>
          </w:tcPr>
          <w:p>
            <w:pPr>
              <w:jc w:val="right"/>
              <w:ind w:right="9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94,250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73,319</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jc w:val="right"/>
              <w:ind w:right="11"/>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20,931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19,846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19,846</w:t>
            </w:r>
          </w:p>
        </w:tc>
        <w:tc>
          <w:tcPr>
            <w:tcW w:w="0" w:type="dxa"/>
            <w:vAlign w:val="bottom"/>
          </w:tcPr>
          <w:p>
            <w:pPr>
              <w:spacing w:after="0"/>
              <w:rPr>
                <w:sz w:val="1"/>
                <w:szCs w:val="1"/>
                <w:color w:val="auto"/>
              </w:rPr>
            </w:pPr>
          </w:p>
        </w:tc>
      </w:tr>
      <w:tr>
        <w:trPr>
          <w:trHeight w:val="207"/>
        </w:trPr>
        <w:tc>
          <w:tcPr>
            <w:tcW w:w="2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114,096</w:t>
            </w:r>
          </w:p>
        </w:tc>
        <w:tc>
          <w:tcPr>
            <w:tcW w:w="180" w:type="dxa"/>
            <w:vAlign w:val="bottom"/>
          </w:tcPr>
          <w:p>
            <w:pPr>
              <w:spacing w:after="0"/>
              <w:rPr>
                <w:sz w:val="17"/>
                <w:szCs w:val="17"/>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73,319</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79"/>
              </w:rPr>
              <w:t>%</w:t>
            </w: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2"/>
        </w:trPr>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-1849755</wp:posOffset>
            </wp:positionV>
            <wp:extent cx="6057900" cy="135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57900" cy="13525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-1570355</wp:posOffset>
            </wp:positionV>
            <wp:extent cx="6057900" cy="161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57900" cy="16129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-587375</wp:posOffset>
            </wp:positionV>
            <wp:extent cx="6057900" cy="135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57900" cy="135255"/>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-307975</wp:posOffset>
            </wp:positionV>
            <wp:extent cx="6057900" cy="161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7900" cy="1612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2">
            <w:col w:w="4820" w:space="720"/>
            <w:col w:w="5280"/>
          </w:cols>
          <w:pgMar w:left="320" w:top="571" w:right="7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U.S. and Non-U.S. Revenue Information</w:t>
      </w:r>
      <w:r>
        <w:rPr>
          <w:rFonts w:ascii="Times New Roman" w:cs="Times New Roman" w:eastAsia="Times New Roman" w:hAnsi="Times New Roman"/>
          <w:sz w:val="29"/>
          <w:szCs w:val="29"/>
          <w:u w:val="single" w:color="auto"/>
          <w:color w:val="auto"/>
          <w:vertAlign w:val="superscript"/>
        </w:rPr>
        <w:t>1</w:t>
      </w:r>
      <w:r>
        <w:rPr>
          <w:rFonts w:ascii="Times New Roman" w:cs="Times New Roman" w:eastAsia="Times New Roman" w:hAnsi="Times New Roman"/>
          <w:sz w:val="18"/>
          <w:szCs w:val="18"/>
          <w:u w:val="single" w:color="auto"/>
          <w:color w:val="auto"/>
        </w:rPr>
        <w:t>:</w:t>
      </w:r>
    </w:p>
    <w:p>
      <w:pPr>
        <w:spacing w:after="0" w:line="93"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color w:val="auto"/>
        </w:rPr>
        <w:t>Three-month period ended September 30,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3"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color w:val="auto"/>
        </w:rPr>
        <w:t>Three-month period ended September 30, 2023: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Nine-month period ended September 30,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Nine-month period ended September 30, 2023: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Battery &amp; Energy Products</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Communications Systems</w:t>
      </w:r>
    </w:p>
    <w:p>
      <w:pPr>
        <w:spacing w:after="0" w:line="4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300" w:type="dxa"/>
            <w:vAlign w:val="bottom"/>
          </w:tcPr>
          <w:p>
            <w:pPr>
              <w:spacing w:after="0"/>
              <w:rPr>
                <w:sz w:val="18"/>
                <w:szCs w:val="18"/>
                <w:color w:val="auto"/>
              </w:rPr>
            </w:pPr>
          </w:p>
        </w:tc>
        <w:tc>
          <w:tcPr>
            <w:tcW w:w="1400" w:type="dxa"/>
            <w:vAlign w:val="bottom"/>
            <w:gridSpan w:val="2"/>
          </w:tcPr>
          <w:p>
            <w:pPr>
              <w:jc w:val="center"/>
              <w:ind w:right="391"/>
              <w:spacing w:after="0"/>
              <w:rPr>
                <w:sz w:val="20"/>
                <w:szCs w:val="20"/>
                <w:color w:val="auto"/>
              </w:rPr>
            </w:pPr>
            <w:r>
              <w:rPr>
                <w:rFonts w:ascii="Times New Roman" w:cs="Times New Roman" w:eastAsia="Times New Roman" w:hAnsi="Times New Roman"/>
                <w:sz w:val="18"/>
                <w:szCs w:val="18"/>
                <w:color w:val="auto"/>
                <w:w w:val="97"/>
              </w:rPr>
              <w:t>United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71"/>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300" w:type="dxa"/>
            <w:vAlign w:val="bottom"/>
          </w:tcPr>
          <w:p>
            <w:pPr>
              <w:spacing w:after="0"/>
              <w:rPr>
                <w:sz w:val="20"/>
                <w:szCs w:val="20"/>
                <w:color w:val="auto"/>
              </w:rPr>
            </w:pPr>
          </w:p>
        </w:tc>
        <w:tc>
          <w:tcPr>
            <w:tcW w:w="1400" w:type="dxa"/>
            <w:vAlign w:val="bottom"/>
            <w:gridSpan w:val="2"/>
          </w:tcPr>
          <w:p>
            <w:pPr>
              <w:jc w:val="center"/>
              <w:ind w:right="411"/>
              <w:spacing w:after="0"/>
              <w:rPr>
                <w:sz w:val="20"/>
                <w:szCs w:val="20"/>
                <w:color w:val="auto"/>
              </w:rPr>
            </w:pPr>
            <w:r>
              <w:rPr>
                <w:rFonts w:ascii="Times New Roman" w:cs="Times New Roman" w:eastAsia="Times New Roman" w:hAnsi="Times New Roman"/>
                <w:sz w:val="18"/>
                <w:szCs w:val="18"/>
                <w:color w:val="auto"/>
                <w:w w:val="97"/>
              </w:rPr>
              <w:t>States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271"/>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32,529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jc w:val="right"/>
              <w:ind w:right="1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18,311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14,218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2,567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35,694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300" w:type="dxa"/>
            <w:vAlign w:val="bottom"/>
          </w:tcPr>
          <w:p>
            <w:pPr>
              <w:spacing w:after="0"/>
              <w:rPr>
                <w:sz w:val="24"/>
                <w:szCs w:val="24"/>
                <w:color w:val="auto"/>
              </w:rPr>
            </w:pPr>
          </w:p>
        </w:tc>
        <w:tc>
          <w:tcPr>
            <w:tcW w:w="1400" w:type="dxa"/>
            <w:vAlign w:val="bottom"/>
            <w:gridSpan w:val="2"/>
          </w:tcPr>
          <w:p>
            <w:pPr>
              <w:jc w:val="center"/>
              <w:ind w:right="391"/>
              <w:spacing w:after="0"/>
              <w:rPr>
                <w:sz w:val="20"/>
                <w:szCs w:val="20"/>
                <w:color w:val="auto"/>
              </w:rPr>
            </w:pPr>
            <w:r>
              <w:rPr>
                <w:rFonts w:ascii="Times New Roman" w:cs="Times New Roman" w:eastAsia="Times New Roman" w:hAnsi="Times New Roman"/>
                <w:sz w:val="18"/>
                <w:szCs w:val="18"/>
                <w:color w:val="auto"/>
                <w:w w:val="97"/>
              </w:rPr>
              <w:t>United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271"/>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300" w:type="dxa"/>
            <w:vAlign w:val="bottom"/>
          </w:tcPr>
          <w:p>
            <w:pPr>
              <w:spacing w:after="0"/>
              <w:rPr>
                <w:sz w:val="20"/>
                <w:szCs w:val="20"/>
                <w:color w:val="auto"/>
              </w:rPr>
            </w:pPr>
          </w:p>
        </w:tc>
        <w:tc>
          <w:tcPr>
            <w:tcW w:w="1400" w:type="dxa"/>
            <w:vAlign w:val="bottom"/>
            <w:gridSpan w:val="2"/>
          </w:tcPr>
          <w:p>
            <w:pPr>
              <w:jc w:val="center"/>
              <w:ind w:right="411"/>
              <w:spacing w:after="0"/>
              <w:rPr>
                <w:sz w:val="20"/>
                <w:szCs w:val="20"/>
                <w:color w:val="auto"/>
              </w:rPr>
            </w:pPr>
            <w:r>
              <w:rPr>
                <w:rFonts w:ascii="Times New Roman" w:cs="Times New Roman" w:eastAsia="Times New Roman" w:hAnsi="Times New Roman"/>
                <w:sz w:val="18"/>
                <w:szCs w:val="18"/>
                <w:color w:val="auto"/>
                <w:w w:val="97"/>
              </w:rPr>
              <w:t>States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271"/>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31,919</w:t>
            </w:r>
          </w:p>
        </w:tc>
        <w:tc>
          <w:tcPr>
            <w:tcW w:w="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jc w:val="right"/>
              <w:ind w:right="1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15,926</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15,993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4,348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300" w:type="dxa"/>
            <w:vAlign w:val="bottom"/>
          </w:tcPr>
          <w:p>
            <w:pPr>
              <w:spacing w:after="0"/>
              <w:rPr>
                <w:sz w:val="24"/>
                <w:szCs w:val="24"/>
                <w:color w:val="auto"/>
              </w:rPr>
            </w:pPr>
          </w:p>
        </w:tc>
        <w:tc>
          <w:tcPr>
            <w:tcW w:w="1400" w:type="dxa"/>
            <w:vAlign w:val="bottom"/>
            <w:gridSpan w:val="2"/>
          </w:tcPr>
          <w:p>
            <w:pPr>
              <w:jc w:val="center"/>
              <w:ind w:right="391"/>
              <w:spacing w:after="0"/>
              <w:rPr>
                <w:sz w:val="20"/>
                <w:szCs w:val="20"/>
                <w:color w:val="auto"/>
              </w:rPr>
            </w:pPr>
            <w:r>
              <w:rPr>
                <w:rFonts w:ascii="Times New Roman" w:cs="Times New Roman" w:eastAsia="Times New Roman" w:hAnsi="Times New Roman"/>
                <w:sz w:val="18"/>
                <w:szCs w:val="18"/>
                <w:color w:val="auto"/>
                <w:w w:val="97"/>
              </w:rPr>
              <w:t>United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271"/>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300" w:type="dxa"/>
            <w:vAlign w:val="bottom"/>
          </w:tcPr>
          <w:p>
            <w:pPr>
              <w:spacing w:after="0"/>
              <w:rPr>
                <w:sz w:val="20"/>
                <w:szCs w:val="20"/>
                <w:color w:val="auto"/>
              </w:rPr>
            </w:pPr>
          </w:p>
        </w:tc>
        <w:tc>
          <w:tcPr>
            <w:tcW w:w="1400" w:type="dxa"/>
            <w:vAlign w:val="bottom"/>
            <w:gridSpan w:val="2"/>
          </w:tcPr>
          <w:p>
            <w:pPr>
              <w:jc w:val="center"/>
              <w:ind w:right="411"/>
              <w:spacing w:after="0"/>
              <w:rPr>
                <w:sz w:val="20"/>
                <w:szCs w:val="20"/>
                <w:color w:val="auto"/>
              </w:rPr>
            </w:pPr>
            <w:r>
              <w:rPr>
                <w:rFonts w:ascii="Times New Roman" w:cs="Times New Roman" w:eastAsia="Times New Roman" w:hAnsi="Times New Roman"/>
                <w:sz w:val="18"/>
                <w:szCs w:val="18"/>
                <w:color w:val="auto"/>
                <w:w w:val="97"/>
              </w:rPr>
              <w:t>States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271"/>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104,201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jc w:val="right"/>
              <w:ind w:right="1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57,326</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46,875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16,403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11,412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120,604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color w:val="auto"/>
                <w:w w:val="94"/>
              </w:rPr>
              <w:t>Total</w:t>
            </w:r>
          </w:p>
        </w:tc>
        <w:tc>
          <w:tcPr>
            <w:tcW w:w="300" w:type="dxa"/>
            <w:vAlign w:val="bottom"/>
          </w:tcPr>
          <w:p>
            <w:pPr>
              <w:spacing w:after="0"/>
              <w:rPr>
                <w:sz w:val="24"/>
                <w:szCs w:val="24"/>
                <w:color w:val="auto"/>
              </w:rPr>
            </w:pPr>
          </w:p>
        </w:tc>
        <w:tc>
          <w:tcPr>
            <w:tcW w:w="1400" w:type="dxa"/>
            <w:vAlign w:val="bottom"/>
            <w:gridSpan w:val="2"/>
          </w:tcPr>
          <w:p>
            <w:pPr>
              <w:jc w:val="center"/>
              <w:ind w:right="391"/>
              <w:spacing w:after="0"/>
              <w:rPr>
                <w:sz w:val="20"/>
                <w:szCs w:val="20"/>
                <w:color w:val="auto"/>
              </w:rPr>
            </w:pPr>
            <w:r>
              <w:rPr>
                <w:rFonts w:ascii="Times New Roman" w:cs="Times New Roman" w:eastAsia="Times New Roman" w:hAnsi="Times New Roman"/>
                <w:sz w:val="18"/>
                <w:szCs w:val="18"/>
                <w:color w:val="auto"/>
                <w:w w:val="97"/>
              </w:rPr>
              <w:t>United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271"/>
              <w:spacing w:after="0"/>
              <w:rPr>
                <w:sz w:val="20"/>
                <w:szCs w:val="20"/>
                <w:color w:val="auto"/>
              </w:rPr>
            </w:pPr>
            <w:r>
              <w:rPr>
                <w:rFonts w:ascii="Times New Roman" w:cs="Times New Roman" w:eastAsia="Times New Roman" w:hAnsi="Times New Roman"/>
                <w:sz w:val="18"/>
                <w:szCs w:val="18"/>
                <w:color w:val="auto"/>
                <w:w w:val="99"/>
              </w:rPr>
              <w:t>Non-United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8"/>
              </w:rPr>
              <w:t>Revenue</w:t>
            </w:r>
          </w:p>
        </w:tc>
        <w:tc>
          <w:tcPr>
            <w:tcW w:w="300" w:type="dxa"/>
            <w:vAlign w:val="bottom"/>
          </w:tcPr>
          <w:p>
            <w:pPr>
              <w:spacing w:after="0"/>
              <w:rPr>
                <w:sz w:val="20"/>
                <w:szCs w:val="20"/>
                <w:color w:val="auto"/>
              </w:rPr>
            </w:pPr>
          </w:p>
        </w:tc>
        <w:tc>
          <w:tcPr>
            <w:tcW w:w="1400" w:type="dxa"/>
            <w:vAlign w:val="bottom"/>
            <w:gridSpan w:val="2"/>
          </w:tcPr>
          <w:p>
            <w:pPr>
              <w:jc w:val="center"/>
              <w:ind w:right="411"/>
              <w:spacing w:after="0"/>
              <w:rPr>
                <w:sz w:val="20"/>
                <w:szCs w:val="20"/>
                <w:color w:val="auto"/>
              </w:rPr>
            </w:pPr>
            <w:r>
              <w:rPr>
                <w:rFonts w:ascii="Times New Roman" w:cs="Times New Roman" w:eastAsia="Times New Roman" w:hAnsi="Times New Roman"/>
                <w:sz w:val="18"/>
                <w:szCs w:val="18"/>
                <w:color w:val="auto"/>
                <w:w w:val="97"/>
              </w:rPr>
              <w:t>States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271"/>
              <w:spacing w:after="0"/>
              <w:rPr>
                <w:sz w:val="20"/>
                <w:szCs w:val="20"/>
                <w:color w:val="auto"/>
              </w:rPr>
            </w:pPr>
            <w:r>
              <w:rPr>
                <w:rFonts w:ascii="Times New Roman" w:cs="Times New Roman" w:eastAsia="Times New Roman" w:hAnsi="Times New Roman"/>
                <w:sz w:val="18"/>
                <w:szCs w:val="18"/>
                <w:color w:val="auto"/>
                <w:w w:val="97"/>
              </w:rPr>
              <w:t>States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94,250</w:t>
            </w:r>
          </w:p>
        </w:tc>
        <w:tc>
          <w:tcPr>
            <w:tcW w:w="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jc w:val="right"/>
              <w:ind w:right="1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47,088</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47,162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19,846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11,170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8,676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114,096</w:t>
            </w:r>
          </w:p>
        </w:tc>
        <w:tc>
          <w:tcPr>
            <w:tcW w:w="140" w:type="dxa"/>
            <w:vAlign w:val="bottom"/>
          </w:tcPr>
          <w:p>
            <w:pPr>
              <w:spacing w:after="0"/>
              <w:rPr>
                <w:sz w:val="17"/>
                <w:szCs w:val="17"/>
                <w:color w:val="auto"/>
              </w:rPr>
            </w:pPr>
          </w:p>
        </w:tc>
        <w:tc>
          <w:tcPr>
            <w:tcW w:w="30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w w:val="93"/>
              </w:rPr>
              <w:t>%</w:t>
            </w: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-4374515</wp:posOffset>
            </wp:positionV>
            <wp:extent cx="6057900" cy="135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57900" cy="135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-4095115</wp:posOffset>
            </wp:positionV>
            <wp:extent cx="6057900" cy="161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57900" cy="1612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-3112135</wp:posOffset>
            </wp:positionV>
            <wp:extent cx="6057900" cy="135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57900" cy="135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-2832735</wp:posOffset>
            </wp:positionV>
            <wp:extent cx="6057900" cy="161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7900" cy="1612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-1849755</wp:posOffset>
            </wp:positionV>
            <wp:extent cx="6057900" cy="135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7900" cy="135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-1570355</wp:posOffset>
            </wp:positionV>
            <wp:extent cx="6057900" cy="161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57900" cy="1612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-587375</wp:posOffset>
            </wp:positionV>
            <wp:extent cx="6057900" cy="135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7900" cy="135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-307975</wp:posOffset>
            </wp:positionV>
            <wp:extent cx="6057900" cy="161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7900" cy="16129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4980" w:space="720"/>
            <w:col w:w="5120"/>
          </w:cols>
          <w:pgMar w:left="320" w:top="575" w:right="759" w:bottom="1440" w:gutter="0" w:footer="0" w:header="0"/>
        </w:sectPr>
      </w:pPr>
    </w:p>
    <w:p>
      <w:pPr>
        <w:ind w:left="5540" w:right="1820" w:hanging="5533"/>
        <w:spacing w:after="0" w:line="364" w:lineRule="auto"/>
        <w:tabs>
          <w:tab w:leader="none" w:pos="123"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Sales classified to U.S. include shipments to U.S.-based prime contractors which in some cases may serve non-U.S. projects.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820"/>
          </w:cols>
          <w:pgMar w:left="320" w:top="575" w:right="759" w:bottom="1440" w:gutter="0" w:footer="0" w:header="0"/>
          <w:type w:val="continuous"/>
        </w:sectPr>
      </w:pPr>
    </w:p>
    <w:bookmarkStart w:id="18" w:name="page19"/>
    <w:bookmarkEnd w:id="18"/>
    <w:p>
      <w:pPr>
        <w:ind w:right="8120" w:firstLine="7"/>
        <w:spacing w:after="0" w:line="526" w:lineRule="auto"/>
        <w:tabs>
          <w:tab w:leader="none" w:pos="320" w:val="left"/>
        </w:tabs>
        <w:numPr>
          <w:ilvl w:val="0"/>
          <w:numId w:val="1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SUBSEQUENT EVENTS Acquisition of Electrochem Solutions, Inc.</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31, 2024, the Company completed the acquisition of all issued and outstanding shares of Electrochem Solutions, Inc., a Massachusetts corporation (“Electrochem”), pursuant to a stock purchase agreement (the “Agreement”) with Greatbatch Ltd., a New York corporation (the “Seller”), dated September 27, 2024. The Agreement established a purchase price of $50 million for the acquisition (the “Acquisition”) subject to customary post-closing working capital and net cash adjustments.</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in Raynham, MA and with over forty years of battery technology experience in critical applications, Electrochem designs and manufactures primary lithium metal and ultracapacitor cells and battery packs serving energy, military and various environmental, industrial and utility end markets on a global basis. Acquiring Electrochem advances our strategy of more fully realizing the operating leverage of our business model through scale and manufacturing cost efficiencies. Electrochem brings a blue-chip customer base with little or no overlap with Ultralife’s customers, long-tenured technical resources which we plan to utilize in progressing our global new product initiatives, and a complimentary portfolio of highly engineered thionyl, sulfuryl and bromine chloride cells and packs which can be commercially cost prohibitive to substitute or switch out. We view this acquisition as an avenue to create highly attractive opportunities to drive revenue growth through heightened cross-selling platforms and extend our reach into underserved adjacent markets that demand uncompromised safety, service, reliability and quality. In addition, the combination of Electrochem and Ultralife creates achievable opportunities for gross margin expansion through the realization of vertical integration, supply chain synergies and lean initiatives. With Electrochem we are increasing our value to our customers and significantly strengthening our competitive position in our end markets.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funded the purchase price for the Acquisition through the New Credit Agreement, as defined and described below.</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Agreement contains customary terms and conditions including representations and warranties, subject to a mutually acceptable buyer-side representation and warranty insurance policy obtained by the Company, the cost of which was shared equally between the Company and the Seller.</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acquisition of Electrochem will be accounted for as a business combination, and accordingly, the assets acquired and liabilities assumed will be recognized at fair value as of the acquisition date. The operating results and cash flows of Electrochem will be included in the consolidated financial statements from the date of acquisition in the Company’s Battery &amp; Energy Products segment.</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Due to the timing of the acquisition, the initial accounting is not yet complete. The Company is in the process of preparing the preliminary estimate of the fair value of assets acquired and liabilities assumed and the associated adjustments for the supplemental pro forma revenue and earnings information.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incurred non-recurring transaction costs of $250, including due diligence and consulting services. Such costs are reported as selling, general and administrative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Credit Agreement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31, 2024, Ultralife, SWE, CLB, Excell USA, and Electrochem, as borrowers, and certain other subsidiaries of the Company, entered into a new Credit and Security Agreement with KeyBank National Association (“KeyBank” or the “Bank”), as lender and administrative agent (the “New Credit Agreement”). The proceeds of the loans under the New Credit Agreement were used, in part, to repay outstanding indebtedness under the Company’s Amended Credit Agreement.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New Credit Agreement, among other things, provides in its term loan provisions for a 5-year, $55 million senior secured term loan (the “Term Loan” or “Term Loan Facility”). The Term Loan is subject to repayment in quarterly installments commencing March 31, 2025 in amounts as set forth in the in the New Credit Agreement. Interest is payable on the unpaid principal outstanding under the Term Loan. All amounts of unpaid principal and accrued and unpaid interest remaining due under the Term Loan are scheduled to be paid in full October 31, 2029.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closing of the Acquisition on October 31, 2024, the Company borrowed the full amount of the Term Loan Facility.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New Credit Agreement also provides under its revolving credit provisions for revolving loans, letters of credit, and swing loans (“Revolving Credit Facility”). Upon the effectiveness of the New Credit Agreement, any amounts outstanding under letters of credit issued pursuant to the Amended Credit Agreement became issued under the New Credit Agreement. The availability under the Revolving Credit Facility is subject to certain borrowing base limits based on trade receivables and inventories. All unpaid principal and accrued and unpaid interest with respect to the Revolving Credit Facility is due and payable in full on October 31, 2029.</w:t>
      </w:r>
    </w:p>
    <w:p>
      <w:pPr>
        <w:spacing w:after="0" w:line="1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Company may voluntarily prepay principal amounts outstanding under the New Credit Agreement at any time subject to certain advance notifications and other restrictions.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customary affirmative and negative covenants, the Company must maintain a consolidated fixed charge coverage ratio, as defined in the New Credit Agreement, of equal to or greater than 1.15 to 1.00 for the fiscal quarter ending March 31, 2025, and for each fiscal quarter thereafter, as calculated for the four (4) consecutive fiscal quarters ending on such date, and a consolidated senior leverage ratio, as defined in the New Credit Agreement, not to exceed (i) 3.50 to 1.00 for the fiscal quarters ending March 31, 2025 through December 31, 2025, (ii) 3.25 to 1.00 for the fiscal quarters ending March 31, 2026 through December 31, 2026, (iii) 3.00 to 1.00 for the fiscal quarter ending March 31, 2027 and on the last day of each fiscal quarter thereafter, for the remaining term of the New Credit Agreement.</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Borrowings under the New Credit Agreement are secured by substantially all the assets of the Company and certain of its present and future subsidiaries who are or become parties to, or guarantors under the new Credit Agreement.</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Interest will accrue on outstanding indebtedness under the Term Loan Facility and Revolving Credit Facilities at a variable rate of interest based on designated interest rate benchmarks plus a varying margin determined by reference to the consolidated senior leverage ratio in effect from time to time.</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Company must pay a fee of twenty, twenty-five or thirty basis points (depending on the consolidated senior leverage ratio in effect from time to time) based on the average daily unused availability under the Revolving Credit Facility.</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Payments must be made by the Company to the extent borrowings exceed the maximum amount then permitted to be borrowed and from the proceeds of certain transactions. Upon the occurrence of an event of default, the outstanding obligations may be accelerated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the Bank will have other customary remedies including resort to the security interest the Company provided to the Bank.</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and supply chain disruptions affecting our business, revenues and earnings adversely; our reliance on certain key customers; reductions or delays in U.S. and foreign military spending; our efforts to develop new products or new commercial applications for our products; potential disruptions in our supply of raw materials and components; breaches in information systems security and other disruptions in our information technology systems; our ability to recruit and retain top management and key personnel; our resources being overwhelmed by our growth; the continued impact of COVID-19, or other pandemics that may arise, causing delays in the manufacture and delivery of our mission critical products to end customers; the unique risks associated with our China operations; fluctuations in the price of oil and the resulting impact on the demand for downhole drilling; possible future declines in demand for the products that use our batteries or communications systems; variability in our quarterly and annual results and the price of our common stock; safety risks, including the risk of fire; rising interest rates increasing the cost of our variable borrowings; purchases by our customers of product quantities not meeting the volume expectations in our supply agreements; potential costs attributable to the warranties we supply with our products and services; our inability to comply with changes to the regulations for the shipment of our products; our entrance into new end-markets which could lead to additional financial exposure; negative publicity concerning Lithium-ion batteries; our ability to utilize our net operating loss carryforwards; our exposure to foreign currency fluctuations; possible impairments of our goodwill and other intangible assets;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“foresee,” “could,” “likely,” or words of similar import are intended to identify forward-looking statements. For further discussion of certain of the matters described above and other risks and uncertainties, see Item 1A, “Risk Factors” in our Annual Report on Form 10-K for the year ended December 31, 2023.</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to reflect new information or risks, future events or other developments.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948"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financial information in this MD&amp;A is presented in thousands of dollars, except for share and per share amounts, unless otherwise specified.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spacing w:after="0" w:line="186"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8"/>
          <w:szCs w:val="18"/>
          <w:color w:val="auto"/>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Ultralife HiRate®, Ultralife Thin Cell®, Ultralife Batteries Inc.®, Lithium Power®, McDowell Research®, AMTI</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ABLE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ACCUTRONICS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ACCUPRO</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ENTELLION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SWE Southwest Electronic Energy Group</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SWE SEASAFE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Excell Battery Group</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and Criterion Gauge</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brands, among others. We have sales, operations and product development facilities in North America, Europe and Asia.</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 in Item 1 of Part 1 of this Form 10-Q.)</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Consolidated revenues of $35,694 for the three-month period ended September 30, 2024, decreased by $3,794 or 9.6%, from $39,488 for the three-month period ended September 30, 2023, reflecting decreases in government/defense sales of 14.1% and commercial sales of 6.8%. Sales for our Battery &amp; Energy Products segment increased 1.9% from $31,919 for the third quarter of 2023 to $32,529 for the third quarter of 2024, and sales for our Communications Systems segment decreased 58.2% from $7,569 to $3,165.</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Gross profit was $8,682, or 24.3% of revenue, for the three-month period ended September 30, 2024, compared to $9,774, or 24.8% of revenue, for the same quarter a year ago. The 50-basis point decline primarily resulted from lower factory volume and the lower-margin product mix for our Communications Systems segment.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expenses increased to $8,171 for the three-month period ended September 30, 2024, compared to $7,639 for the three-month period ended September 30, 2023. The increase of $532 or 7.0% was primarily attributable to investments in new product development, the addition of sales resources to support future growth, and the recognition of legal and other fees recognized in the period directly relating to the execution of a stock purchase agreement on September 27, 2024 to acquire Electrochem Solutions, Inc. Operating expenses represented 22.9% of revenues compared to 19.3% of revenues for the year-earlier period.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18"/>
          <w:szCs w:val="18"/>
          <w:color w:val="auto"/>
        </w:rPr>
        <w:t>Operating income for the three-month period ended September 30, 2024 was $511, or 1.4% of revenues, compared to $2,135 or 5.4% of revenue for the year-earlier period. The decrease in operating income resulted from a 9.6% decline in revenues, the cost of our investments in new product development, the cost of additional sales resources to support future organic growth and expenses directly relating to the execution of a stock purchase agreement on September 27, 2024 to acquire Electrochem Solutions, Inc.</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Net income attributable to Ultralife Corporation was $258 or $0.02 per share – basic and diluted on a GAAP basis, compared to $1,330 or $0.08 per share – basic and diluted for, the third quarter of 2023.</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Adjusted EBITDA, defined as net income (loss) attributable to Ultralife Corporation before net interest expense, provision (benefit) for income taxes, depreciation and amortization, and stock-based compensation expense, plus/minus expenses/income that we do not consider reflective of our ongoing operations, amounted to $1,919, or 5.4% of revenues, for the third quarter of 2024, compared to $3,480 or 8.8% of revenues, for the third quarter of 2023. See the section “Adjusted EBITDA” beginning on Page 23 for a reconciliation of adjusted EBITDA to net income attributable to Ultralife Corporation.</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top priorities continue to be gross margin increases through focused initiatives on material deflation and lean productivity and growing our opportunity funnels and customer wins to continue fueling our growth. We remain optimistic that we are well positioned to sustain long-term profitable growth.</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 Periods Ended September 30, 2024 and September 30, 2023</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three-month period ended September 30, 2024 were $35,694, a decrease of $3,794, or 9.6%, from $39,488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three-month period ended September 30, 2023. Overall, government/defense sales decreased 14.1% and commercial sales decreased 6.8%.</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Battery &amp; Energy Products revenues increased $610, or 1.9%, from $31,919 for the three-month period ended September 30, 2023 to $32,529 for the three-month period ended September 30, 2024. The revenue growth was primarily attributable to an increase in government/defense sales of $2,244 or 28.9% reflecting strong demand from our U.S.-based global prime, partially offset by a decrease of $1,634 or 6.8% in commercial sales, The decline in commercial sales primarily resulted from a 12.4% decrease in medical battery sales and a 10.9% in industrial market sales, partially offset by a 1.5% increase in oil &amp; gas market sales.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Communications Systems sales decreased $4,404, or 58.2%, from $7,569 for the three-month period ended September 30, 2023 to $3,165 for the three-month period ended September 30, 2024. The decrease was primarily attributable to large shipments in the 2023 period of vehicle-amplifier adaptor orders to a global defense contractor for the U.S. Army and of integrated systems of amplifiers and radio vehicle mounts to a major international defense contractor for an ongoing allied country government/defense modernization program which had been delayed from earlier periods due to supply chain disruptions and the timing of orders for the current year period.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$27,012 for the quarter ended September 30, 2024, a decrease of $2,702, or 9.1%,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$29,714 reported for the same three-month period a year ago. Consolidated cost of products sold as a percentage of total revenue increased from 75.2% for the three-month period ended September 30, 2023 to 75.7% for the three-month period ended September 30, 2024. Correspondingly, consolidated gross margin decreased from 24.8% for the three-month period ended September 30, 2023, to 24.3% for the three-month period ended September 30, 2024, primarily reflecting lower factory volume and product mix for our Communications Systems segment.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third quarter of 2024 was $8,047, an increase of $319 or 4.1% from gross profit of $7,728 for the third quarter of 2023. Battery &amp; Energy Products’ gross margin of 24.7% increased by 50-basis points from the 24.2% gross margin for the year-earlier period, primarily reflecting higher factory volume in our Newark, NY facility, partially offset by some inefficiencies resulting from delays in raw material components.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third quarter of 2024 was $635 or 20.0% of revenues, compared to gross profit of $2,046 or 27.0% of revenues for the third quarter of 2023. The 700-basis point decrease in gross margin was primarily due to lower factory volume and unfavorable product mix as compared to the year-earlier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three-month period ended September 30, 2024 were $8,171, an increase of $532, or 7.0%, from the $7,639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three-month period ended September 30, 2023. The increase was primarily attributable to investments in new product development and the addition of experienced sales resources to drive organic sales growth and expenses directly relating to the execution of a stock purchase agreement on September 27, 2024 to acquire Electrochem Solutions, Inc. in the 2024 third quarter.</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Overall, operating expenses were 22.9% of revenue for the quarter ended September 30, 2024 compared to 19.3% of revenue for the quarter ended September 30, 2023. Amortization expense associated with intangible assets related to our acquisitions was $229 for the third quarter of 2024 ($204 in selling, general and administrative expenses and $25 in research and development costs), compared to $227 for the third quarter of 2023 ($203 in selling, general, and administrative expenses and $24 in research and development costs). Research and development costs were $2,101 for the three-month period ended September 30, 2024, an increase of $232 or 12.4%, from $1,869 for the three-month period ended September 30, 2023. The increase is largely attributable to the timing of new product development in both of our businesses as we aggressively pursue both government/defense major programs and commercial opportunities. Selling, general, and administrative expenses were $6,070 for the three-month period ended September 30, 2024, an increase of $300 or 5.2% from $5,770 for the third quarter of 2023. The period over period increase was primarily attributable to the recognition of legal and other fees incurred directly relating to the execution of a stock purchase agreement on September 27, 2024 to acquire Electrochem Solutions, Inc. and additional sales resources to support future organic growth.</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Other (Expense) Income. </w:t>
      </w:r>
      <w:r>
        <w:rPr>
          <w:rFonts w:ascii="Times New Roman" w:cs="Times New Roman" w:eastAsia="Times New Roman" w:hAnsi="Times New Roman"/>
          <w:sz w:val="18"/>
          <w:szCs w:val="18"/>
          <w:color w:val="auto"/>
        </w:rPr>
        <w:t>Other expense totaled $158 for the three-month period ended September 30, 2024, compared to $386 for the three-month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2023. Interest and financing expense decreased $413, or 70.3%, from $586 for the third quarter of 2023 to $173 for the comparable period in 2024. The decrease is due to the continued paydown of debt in the third quarter of 2024. Miscellaneous income amounted to $15 for the third quarter of 2024 compared to $200 for the third quarter of 2023, primarily attributable to foreign exchange gains due to fluctuations in foreign currency exchange rates.</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income tax provision for the 2024 third quarter was $74, compared to $446 for the third quarter of 2023. Our effective tax rate decreased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21.0% for the third quarter of 2024 as compared to 25.5% for the third quarter of 2023, primarily attributable to the geographic mix of our operating results. The income tax provision for the third quarter of 2024 is comprised of a $173 current provision for taxes expected to be paid on income primarily from foreign jurisdictions and a deferred tax benefit of $99. For the comparable 2023 period, the income tax provision for the third quarter of 2023 is comprised of an $89 current provision for taxes expected to be paid on income primarily in foreign jurisdictions, representing a cash-based effective tax rate of 5.1%, and a $357 deferred tax provision which primarily represents non-cash charges for U.S. taxes that we expect will be fully offset by net operating loss carryforwards and other tax credits for the foreseeable future. The period over period change in the cash-based current tax provisions is primarily attributable to the geographic mix of our operating results. See Note 6 to the consolidated financial statements in Item 1 of Part I of this Form 10-Q for additional information regarding our income taxes.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Ultralife. </w:t>
      </w:r>
      <w:r>
        <w:rPr>
          <w:rFonts w:ascii="Times New Roman" w:cs="Times New Roman" w:eastAsia="Times New Roman" w:hAnsi="Times New Roman"/>
          <w:sz w:val="18"/>
          <w:szCs w:val="18"/>
          <w:color w:val="auto"/>
        </w:rPr>
        <w:t>Net income attributable to Ultralife was $258, or $0.02 per share – basic and diluted on a GAAP basis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three-month period ended September 30, 2024, compared to $1,330, or $0.08 per share – basic and diluted, for the three-month period ended September 30, 2023. Adjusted EPS was $0.01 on a diluted basis for the third quarter of 2024, compared to $0.10 for the third quarter of 2023. Adjusted EPS excludes the provision (benefit) for deferred taxes of ($99) and $357 for the 2024 and 2023 periods, respectively, which primarily represent non-cash charges (benefits) for U.S. taxes that we expect will be fully offset by net operating loss carryforwards and other tax credits for the foreseeable future. See the section “Adjusted EPS” on Page 26 for a reconciliation of adjusted EPS to EPS.</w:t>
      </w:r>
    </w:p>
    <w:p>
      <w:pPr>
        <w:spacing w:after="0" w:line="18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Weighted average shares outstanding used to compute diluted earnings per share increased from 16,303,139 for the third quarter of 2023 to 16,874,057 for the third quarter of 2024. The increase is attributable to stock option exercises since the third quarter of 2023 and a greater average stock price in the current quarter. Accordingly, dilutive shares of 249,082 were added to basic weighted average shares for the 2024 period compared to 65,275 for the 2023 period.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Nine-Month Periods Ended September 30, 2024 and September 30, 2023</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Consolidated revenues for the nine-month period ended September 30, 2024 were $120,604, an increase of $6,508, or 5.7%, over $114,096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nine-month period ended September 30, 2023. Overall, government/defense sales increased $5,507 or 13.5% and commercial sales increased $1,001 or 1.4%. On January 25, 2023, the Company experienced a ransomware cyberattack which impacted our ability to process orders, ship products, provide services to our customers and effectively manage our sales and operating planning process over a several week period for our Newark, NY location and an even longer period for our Virginia Beach, VA location. A large portion of our time during the quarter was devoted to data restoration, systems security augmentation, and regulatory reporting of the cyberattack, all of which were successfully accomplished with no ransom paid. Management continues to work on its cybersecurity insurance claim covering the cost of engaging external cybersecurity experts and the business interruption impact.</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Battery &amp; Energy Products revenues increased $9,951, or 10.6%, from $94,250 for the nine-month period ended September 30, 2023 to $104,201 for the nine-month period ended September 30, 2024. The increase was attributable to a $8,950 or 42.8% increase in government/defense sales and a $1,001 or 1.4% increase in commercial sales. The increase in government/defense sales primarily reflects continued strong demand from our largest U.S.-based global prime. The growth in commercial sales was driven by a $4,146 or 16.7% increase in medical sales due to continuing surging demand for our core medical battery products from global medical device OEM’s, partially offset by a decrease of $2,591 or 8.3% in oil &amp; gas sales and a $550 or 3.2% decrease in industrial sales due primarily to general economic conditions.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Communications Systems revenues decreased $3,443, or 17.3%, from $19,846 for the nine-month period ended September 30, 2023 to $16,403 for the nine-month period ended September 30, 2024. This decrease was primarily attributable to shipments of vehicle-amplifier adaptor orders to a global defense contractor for the U.S. Army and of integrated systems of amplifiers and radio vehicle mounts to a major international defense contractor for an ongoing allied country government/defense modernization program in 2023 and the timing of orders in 2024.</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Cost of Products Sold / Gross Profit. </w:t>
      </w:r>
      <w:r>
        <w:rPr>
          <w:rFonts w:ascii="Times New Roman" w:cs="Times New Roman" w:eastAsia="Times New Roman" w:hAnsi="Times New Roman"/>
          <w:sz w:val="18"/>
          <w:szCs w:val="18"/>
          <w:color w:val="auto"/>
        </w:rPr>
        <w:t>Cost of products sold totaled $88,889 for the nine-month period ended September 30, 2024, an increase of $2,591,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from the $86,298 reported for the same nine-month period a year ago. Consolidated cost of products sold as a percentage of total revenue decreased from 75.6% for the nine-month period ended September 30, 2023 to 73.7% for the nine-month period ended September 30, 2024. Correspondingly, consolidated gross margin increased from 24.4% for the nine-month period ended September 30, 2023, to 26.3% for the nine-month period ended September 30, 2024, primarily reflecting higher factory volume, level loading of production and improved price realization for our Battery &amp; Energy Products Segment, tempered by lower volume experienced in our Communications Systems segment.</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our Battery &amp; Energy Products segment, gross profit for the first nine months of 2024 was $26,986 an increase of $5,203 or 23.9% over gross profit of $21,783 for the comparable 2023 period. Battery &amp; Energy Products’ gross margin of 25.9% increased by 90 basis points from the 25.0% gross margin for the year-earlier period, primarily reflecting higher factory volume, more level-loaded production driving utilization and price realization.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our Communications Systems segment, gross profit for the first nine months of 2024 was $4,729 or 28.8% of revenues, compared to gross profit of $6,015 or 30.3% of revenues, for the comparable 2023 period. The decrease of 150 basis points was primarily due to lower factory volume and unfavorable product mix compared to last year’s nine-month period.</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the nine-month period ended September 30, 2024 were $23,224, an increase of $1,252 or 5.7%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$21,972 for the nine-month period ended September 30, 2023. The increase is primarily attributable to commissions on higher sales, greater participation in trade shows, the addition of experienced sales resources, investments in new product development and the recognition of expenses directly relating to the signing of the stock purchase agreement on September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to acquire Electrochem Solutions, Inc. Both periods reflected continued tight control over discretionary spending.</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Overall, operating expenses as a percentage of revenues were 19.3% for both the nine-month period ended September 30, 2024 and the nine-month period ended September 30, 2023. Amortization expense associated with intangible assets related to our acquisitions was $684 for the first nine months of 2024 ($609 in selling, general and administrative expenses and $75 in research and development costs), compared with $663 for the first nine months of 2023 ($591 in selling, general, and administrative expenses and $72 in research and development costs). Research and development costs were $5,854 for the nine-month period ended September 30, 2024, an increase of $175 or 3.1%, from $5,679 for the nine-months ended September 30, 2023. The increase reflects higher investments in new product development in both of our segments to drive organic sales growth. Selling, general, and administrative expenses were $17,370 for the 2024 nine-month period, an increase of $1,077 or 6.6% over the $16,293 for the year-earlier period, primarily reflecting commissions on higher sales, greater participation in trade shows, the addition of experienced sales resources and the recognition of expenses directly relating to the execution of a stock purchase agreement on September 27, 2024 to acquire Electrochem Solutions, Inc.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Other Income (Expense). </w:t>
      </w:r>
      <w:r>
        <w:rPr>
          <w:rFonts w:ascii="Times New Roman" w:cs="Times New Roman" w:eastAsia="Times New Roman" w:hAnsi="Times New Roman"/>
          <w:sz w:val="18"/>
          <w:szCs w:val="18"/>
          <w:color w:val="auto"/>
        </w:rPr>
        <w:t>Other expense totaled $685 for the nine-month period ended September 30, 2024, compared to other income of $178 for the nine-month period ended September 30, 2023. Other income (expense) for the 2024 period includes a preliminary payment of $235 from our insurance carrier pertaining to the cyberattack experienced by the Company in the first quarter of 2023, and other income for the 2023 period includes $1,544 attributable to an Employee Retention Credit (“ERC”) claimed by the Company under Section 2301 of the Coronavirus Aid, Relief and Economic Security Act. Interest and financing expense decreased $339 or 23.4% from $1,450 for the first nine months of 2023 to $1,111 for the comparable period in 2024. The decrease is primarily due to the reduction of our debt during the second and third quarters of 2024. Excluding the $235 gain attributable to insurance proceeds in 2024, miscellaneous income was $191, and excluding the $1,544 ERC gain in the 2023 period, miscellaneous income amounted to $84, primarily attributable to foreign exchange gains and loss due to fluctuations in foreign currency exchange rates.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income tax provision for the 2024 nine-month period was $1,630, compared to $1,688 for the 2023 nine-month period. Our effective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decreased to 20.9% for the 2024 period as compared to 28.1% for the 2023 period, primarily attributable to the geographic mix of our operating results. The income tax provision for the first nine months of 2024 is comprised of a $335 current provision for taxes expected to be paid on income primarily in foreign jurisdictions, representing a cash-based effective tax rate of 4.3%, and a $1,295 deferred tax provision which primarily represents non-cash charges for U.S. taxes that we expect will be fully offset by net operating loss carryforwards and other tax credits for the foreseeable future. For the comparable 2023 period, the income tax provision for the first nine months of 2023 is comprised of a $443 current provision for taxes expected to be paid on income primarily in foreign jurisdictions, representing a cash-based effective tax rate of 7.4%, and an $1,245 deferred tax provision which primarily represents non-cash charges for U.S. taxes that we expect will be fully offset by net operating loss carryforwards and other tax credits for the foreseeable future. The period over period change in the cash-based taxes is primarily attributable to the geographic mix of our operating results. See Note 6 to the consolidated financial statements in Item 1 of Part I of this Form 10-Q for additional information regarding our income taxes.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Ultralife. </w:t>
      </w:r>
      <w:r>
        <w:rPr>
          <w:rFonts w:ascii="Times New Roman" w:cs="Times New Roman" w:eastAsia="Times New Roman" w:hAnsi="Times New Roman"/>
          <w:sz w:val="18"/>
          <w:szCs w:val="18"/>
          <w:color w:val="auto"/>
        </w:rPr>
        <w:t>Net income attributable to Ultralife was $6,118, or $0.37 per share – basic and diluted on a GAAP basis for the nine-month period ended September 30, 2024, compared to $4,324, or $0.27 per share – basic and diluted, for the nine-month period ended September 30, 2023. Adjusted EPS was $0.44 on a diluted basis for the 2024 period, compared to $0.34 for the 2023 period. Adjusted EPS excludes the provision for deferred taxes of $1,295 and $1,245 for the 2024 and 2023 periods, respectively, which primarily represents non-cash charges for U.S. taxes that we expect will be fully offset by net operating loss carryforwards and other tax credits for the foreseeable future. See the section “Adjusted EPS” on Page 26 for a reconciliation of adjusted EPS to EPS.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Weighted average shares outstanding used to compute diluted earnings per share increased from 16,174,341 for the first nine-months of 2023 to 16,742,120 for the first nine-months of 2024. The increase is attributable to stock option exercises since the third quarter of 2023 and a greater average stock price in the current period. Accordingly, diluted shares of 212,072 were added to basic weighted average shares outstanding in 2024 compared to 2,441 for the 2023 period.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evaluating our business, we consider and use adjusted EBITDA, a non-GAAP financial measure, as a supplemental measure of our operating performance. We define adjusted EBITDA as net income (loss) attributable to Ultralife before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GAAP.</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 w:name="page26"/>
    <w:bookmarkEnd w:id="25"/>
    <w:p>
      <w:pPr>
        <w:jc w:val="both"/>
        <w:spacing w:after="0" w:line="251" w:lineRule="auto"/>
        <w:rPr>
          <w:sz w:val="20"/>
          <w:szCs w:val="20"/>
          <w:color w:val="auto"/>
        </w:rPr>
      </w:pPr>
      <w:r>
        <w:rPr>
          <w:rFonts w:ascii="Times New Roman" w:cs="Times New Roman" w:eastAsia="Times New Roman" w:hAnsi="Times New Roman"/>
          <w:sz w:val="18"/>
          <w:szCs w:val="18"/>
          <w:color w:val="auto"/>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eliminating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term adjusted EBITDA is not defined under GAAP and is not a measure of operating income (loss), operating performance or liquidity presented in accordance with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GAAP. Some of these limitations include, but are not limited to, the following:</w:t>
      </w:r>
    </w:p>
    <w:p>
      <w:pPr>
        <w:spacing w:after="0" w:line="181" w:lineRule="exact"/>
        <w:rPr>
          <w:sz w:val="20"/>
          <w:szCs w:val="20"/>
          <w:color w:val="auto"/>
        </w:rPr>
      </w:pPr>
    </w:p>
    <w:p>
      <w:pPr>
        <w:jc w:val="both"/>
        <w:ind w:left="960" w:hanging="313"/>
        <w:spacing w:after="0" w:line="257"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0" w:lineRule="exact"/>
        <w:rPr>
          <w:rFonts w:ascii="Times New Roman" w:cs="Times New Roman" w:eastAsia="Times New Roman" w:hAnsi="Times New Roman"/>
          <w:sz w:val="18"/>
          <w:szCs w:val="18"/>
          <w:color w:val="auto"/>
        </w:rPr>
      </w:pPr>
    </w:p>
    <w:p>
      <w:pPr>
        <w:ind w:left="960" w:hanging="313"/>
        <w:spacing w:after="0" w:line="277"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62" w:lineRule="exact"/>
        <w:rPr>
          <w:rFonts w:ascii="Times New Roman" w:cs="Times New Roman" w:eastAsia="Times New Roman" w:hAnsi="Times New Roman"/>
          <w:sz w:val="18"/>
          <w:szCs w:val="18"/>
          <w:color w:val="auto"/>
        </w:rPr>
      </w:pPr>
    </w:p>
    <w:p>
      <w:pPr>
        <w:jc w:val="both"/>
        <w:ind w:left="960" w:hanging="313"/>
        <w:spacing w:after="0" w:line="26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7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 limiting its usefulness as a comparative measure.</w:t>
      </w:r>
    </w:p>
    <w:p>
      <w:pPr>
        <w:spacing w:after="0" w:line="2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2"/>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is calculated as follows for the periods presented: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20" w:type="dxa"/>
            <w:vAlign w:val="bottom"/>
          </w:tcPr>
          <w:p>
            <w:pPr>
              <w:spacing w:after="0"/>
              <w:rPr>
                <w:sz w:val="24"/>
                <w:szCs w:val="24"/>
                <w:color w:val="auto"/>
              </w:rPr>
            </w:pPr>
          </w:p>
        </w:tc>
        <w:tc>
          <w:tcPr>
            <w:tcW w:w="24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Nine-Month Period Ended</w:t>
            </w:r>
          </w:p>
        </w:tc>
        <w:tc>
          <w:tcPr>
            <w:tcW w:w="0" w:type="dxa"/>
            <w:vAlign w:val="bottom"/>
          </w:tcPr>
          <w:p>
            <w:pPr>
              <w:spacing w:after="0"/>
              <w:rPr>
                <w:sz w:val="1"/>
                <w:szCs w:val="1"/>
                <w:color w:val="auto"/>
              </w:rPr>
            </w:pPr>
          </w:p>
        </w:tc>
      </w:tr>
      <w:tr>
        <w:trPr>
          <w:trHeight w:val="184"/>
        </w:trPr>
        <w:tc>
          <w:tcPr>
            <w:tcW w:w="5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September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1"/>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1"/>
              <w:spacing w:after="0" w:line="184" w:lineRule="exact"/>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1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13"/>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provision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13"/>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3"/>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Cybersecurity insurance policy deductible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Non-recurring acquisition costs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60" w:type="dxa"/>
            <w:vAlign w:val="bottom"/>
            <w:vMerge w:val="restart"/>
          </w:tcPr>
          <w:p>
            <w:pPr>
              <w:jc w:val="right"/>
              <w:ind w:right="17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2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Adjusted Earnings Per Share</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evaluating our business, we consider and use adjusted EPS, a non-GAAP financial measure, as a supplemental measure of our business performance. We define adjusted EPS as net income attributable to Ultralife Corporation excluding the provision (benefit) for deferred income taxes divided by our weighted average shares outstanding on both a basic and diluted basis. We believe that this information is useful in providing period-to-period comparisons of our results by reflecting the portion of our tax provision that will be predominantly offset by our U.S. net operating loss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 Corporation.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EPS is calculated as follows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Three-Month Period Ended</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3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8"/>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8"/>
              </w:rPr>
              <w:t>September 30, 2023</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420"/>
              <w:spacing w:after="0" w:line="184" w:lineRule="exact"/>
              <w:rPr>
                <w:sz w:val="20"/>
                <w:szCs w:val="20"/>
                <w:color w:val="auto"/>
              </w:rPr>
            </w:pPr>
            <w:r>
              <w:rPr>
                <w:rFonts w:ascii="Times New Roman" w:cs="Times New Roman" w:eastAsia="Times New Roman" w:hAnsi="Times New Roman"/>
                <w:sz w:val="18"/>
                <w:szCs w:val="18"/>
                <w:b w:val="1"/>
                <w:bCs w:val="1"/>
                <w:color w:val="auto"/>
              </w:rPr>
              <w:t>Per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1"/>
              <w:spacing w:after="0" w:line="184" w:lineRule="exact"/>
              <w:rPr>
                <w:sz w:val="20"/>
                <w:szCs w:val="20"/>
                <w:color w:val="auto"/>
              </w:rPr>
            </w:pPr>
            <w:r>
              <w:rPr>
                <w:rFonts w:ascii="Times New Roman" w:cs="Times New Roman" w:eastAsia="Times New Roman" w:hAnsi="Times New Roman"/>
                <w:sz w:val="18"/>
                <w:szCs w:val="18"/>
                <w:b w:val="1"/>
                <w:bCs w:val="1"/>
                <w:color w:val="auto"/>
                <w:w w:val="96"/>
              </w:rPr>
              <w:t>Per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Per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1"/>
              <w:spacing w:after="0" w:line="184" w:lineRule="exact"/>
              <w:rPr>
                <w:sz w:val="20"/>
                <w:szCs w:val="20"/>
                <w:color w:val="auto"/>
              </w:rPr>
            </w:pPr>
            <w:r>
              <w:rPr>
                <w:rFonts w:ascii="Times New Roman" w:cs="Times New Roman" w:eastAsia="Times New Roman" w:hAnsi="Times New Roman"/>
                <w:sz w:val="18"/>
                <w:szCs w:val="18"/>
                <w:b w:val="1"/>
                <w:bCs w:val="1"/>
                <w:color w:val="auto"/>
                <w:w w:val="96"/>
              </w:rPr>
              <w:t>Per</w:t>
            </w:r>
          </w:p>
        </w:tc>
        <w:tc>
          <w:tcPr>
            <w:tcW w:w="100" w:type="dxa"/>
            <w:vAlign w:val="bottom"/>
          </w:tcPr>
          <w:p>
            <w:pPr>
              <w:spacing w:after="0"/>
              <w:rPr>
                <w:sz w:val="16"/>
                <w:szCs w:val="16"/>
                <w:color w:val="auto"/>
              </w:rPr>
            </w:pPr>
          </w:p>
        </w:tc>
      </w:tr>
      <w:tr>
        <w:trPr>
          <w:trHeight w:val="213"/>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36"/>
        </w:trPr>
        <w:tc>
          <w:tcPr>
            <w:tcW w:w="3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r>
      <w:tr>
        <w:trPr>
          <w:trHeight w:val="20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194"/>
        </w:trPr>
        <w:tc>
          <w:tcPr>
            <w:tcW w:w="39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16,303</w:t>
            </w:r>
          </w:p>
        </w:tc>
      </w:tr>
      <w:tr>
        <w:trPr>
          <w:trHeight w:val="640"/>
        </w:trPr>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Nine-Month Period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3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8"/>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8"/>
              </w:rPr>
              <w:t>September 30, 2023</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420"/>
              <w:spacing w:after="0" w:line="184" w:lineRule="exact"/>
              <w:rPr>
                <w:sz w:val="20"/>
                <w:szCs w:val="20"/>
                <w:color w:val="auto"/>
              </w:rPr>
            </w:pPr>
            <w:r>
              <w:rPr>
                <w:rFonts w:ascii="Times New Roman" w:cs="Times New Roman" w:eastAsia="Times New Roman" w:hAnsi="Times New Roman"/>
                <w:sz w:val="18"/>
                <w:szCs w:val="18"/>
                <w:b w:val="1"/>
                <w:bCs w:val="1"/>
                <w:color w:val="auto"/>
              </w:rPr>
              <w:t>Per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1"/>
              <w:spacing w:after="0" w:line="184" w:lineRule="exact"/>
              <w:rPr>
                <w:sz w:val="20"/>
                <w:szCs w:val="20"/>
                <w:color w:val="auto"/>
              </w:rPr>
            </w:pPr>
            <w:r>
              <w:rPr>
                <w:rFonts w:ascii="Times New Roman" w:cs="Times New Roman" w:eastAsia="Times New Roman" w:hAnsi="Times New Roman"/>
                <w:sz w:val="18"/>
                <w:szCs w:val="18"/>
                <w:b w:val="1"/>
                <w:bCs w:val="1"/>
                <w:color w:val="auto"/>
                <w:w w:val="96"/>
              </w:rPr>
              <w:t>Per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rPr>
              <w:t>Per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71"/>
              <w:spacing w:after="0" w:line="184" w:lineRule="exact"/>
              <w:rPr>
                <w:sz w:val="20"/>
                <w:szCs w:val="20"/>
                <w:color w:val="auto"/>
              </w:rPr>
            </w:pPr>
            <w:r>
              <w:rPr>
                <w:rFonts w:ascii="Times New Roman" w:cs="Times New Roman" w:eastAsia="Times New Roman" w:hAnsi="Times New Roman"/>
                <w:sz w:val="18"/>
                <w:szCs w:val="18"/>
                <w:b w:val="1"/>
                <w:bCs w:val="1"/>
                <w:color w:val="auto"/>
                <w:w w:val="96"/>
              </w:rPr>
              <w:t>Per</w:t>
            </w:r>
          </w:p>
        </w:tc>
        <w:tc>
          <w:tcPr>
            <w:tcW w:w="100" w:type="dxa"/>
            <w:vAlign w:val="bottom"/>
          </w:tcPr>
          <w:p>
            <w:pPr>
              <w:spacing w:after="0"/>
              <w:rPr>
                <w:sz w:val="16"/>
                <w:szCs w:val="16"/>
                <w:color w:val="auto"/>
              </w:rPr>
            </w:pPr>
          </w:p>
        </w:tc>
      </w:tr>
      <w:tr>
        <w:trPr>
          <w:trHeight w:val="213"/>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Basic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36"/>
        </w:trPr>
        <w:tc>
          <w:tcPr>
            <w:tcW w:w="3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r>
      <w:tr>
        <w:trPr>
          <w:trHeight w:val="20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Ultralife Corporation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6,118</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1,295</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7,413</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5,569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194"/>
        </w:trPr>
        <w:tc>
          <w:tcPr>
            <w:tcW w:w="39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16,174</w:t>
            </w:r>
          </w:p>
        </w:tc>
      </w:tr>
      <w:tr>
        <w:trPr>
          <w:trHeight w:val="428"/>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3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of September 30, 2024, cash totaled $6,774, as compared to $10,278 at December 31, 2023. The decrease reflects a $17,712 reduction in our outstanding debt, largely offset by strong income and cash generation during the period.</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For the nine-month period ended September 30, 2024, cash generated from operations was $13,590, as compared to $503 used in operations for the nine-month period ended September 30, 2023. For the 2024 period, cash generated from operations was comprised of net income of $6,176, plus non-cash items totaling $4,807 for depreciation, amortization, stock-based compensation, and deferred taxes, plus $2,607 attributable to reduced working capital.</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2024 was $1,326 for capital expenditures, primarily reflecting investments in equipment for new products transitioning to higher-volume manufacturing.</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2024 was $15,820, representing a $17,712 reduction in our outstanding debt and $68 in debt issuance costs paid during the period in connection with the Fourth Amendment Agreement, partially offset by $1,960 in cash generated from employee stock option exercise proceeds.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continue to have significant U.S. net operating loss carryforwards available to utilize as an offset to future taxable income. See Note 6 to the consolidated financial statements of this Form 10-Q for additional information.</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Going forward, we expect positive operating cash flow and the availability under our Revolving Credit Facility will be sufficient to meet our general funding requirements for the foreseeable future.</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provide flexibility in accessing the capital markets, on March 30, 2021, the Company filed a shelf registration statement on Form S-3 (File No. 333-254846) (the “Prior Registration Statement”) registering securities in an aggregate amount of $100,000,000. None of the $100,000,000 of registered securities were sold under the Prior Registration Statement (the “Unsold Securities”). Under the rules of the Securities and Exchange Commission (the “SEC”) the Prior Registration Statement was set to expire on April 2, 2024. Therefore, on March 29, 2024, the Company filed a new shelf registration statement on Form S-3 (File No. 333-278360) (the “New Registration Statement”) to replace the Prior Registration Statement. The New Registration Statement includes all $100,000,000 of the Unsold Securities registered on the Prior Registration Statement. During the grace period afforded by Rule 415(a)</w:t>
      </w:r>
    </w:p>
    <w:p>
      <w:pPr>
        <w:spacing w:after="0" w:line="5" w:lineRule="exact"/>
        <w:rPr>
          <w:sz w:val="20"/>
          <w:szCs w:val="20"/>
          <w:color w:val="auto"/>
        </w:rPr>
      </w:pPr>
    </w:p>
    <w:p>
      <w:pPr>
        <w:jc w:val="both"/>
        <w:ind w:firstLine="7"/>
        <w:spacing w:after="0" w:line="248" w:lineRule="auto"/>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of 1933, as amended (the “Securities Act”), we may offer and sell the Unsold Securities under the Prior Registration Statement until the SEC declares the New Registration Statement effective. Pursuant to Rule 415(a)(6) under the Securities Act, the offering of the Unsold Securities under the Prior Registration Statement will be deemed terminated as of the date of effectiveness of the New Registration Statement. Upon the filing of an appropriate prospectus supplement or supplements under either the Prior Registration Statement, or upon its effectiveness the New Registration Statement, we may offer and sell our securities from time to time in one or more offerings, at our discretion. We intend to use the net proceeds resulting from any sales of these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 differentiated products for attractive growth markets.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As of September 30, 2024, the Company had $3,368 outstanding borrowings on the Revolving Credit Facility and $4,667 on the Term Loan Facility. The Company was in full compliance with all covenants under the Amended Credit Agreement as of September 30,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have made commitments to purchase approximately $597 of production machinery and equipment.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Critical Accounting Policies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2023 Annual Report on Form 10-K should be reviewed for a greater understanding of how our financial performance is recorded and reported.</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During the first nine months of 2024, there were no significant changes in the manner in which our significant accounting policies were applied or in which related assumptions and estimates were developed.</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667"/>
        </w:trPr>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408"/>
        </w:trPr>
        <w:tc>
          <w:tcPr>
            <w:tcW w:w="4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2"/>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Index</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Incorporated by Reference from</w:t>
            </w:r>
          </w:p>
        </w:tc>
      </w:tr>
      <w:tr>
        <w:trPr>
          <w:trHeight w:val="167"/>
        </w:trPr>
        <w:tc>
          <w:tcPr>
            <w:tcW w:w="480" w:type="dxa"/>
            <w:vAlign w:val="bottom"/>
          </w:tcPr>
          <w:p>
            <w:pPr>
              <w:spacing w:after="0"/>
              <w:rPr>
                <w:sz w:val="14"/>
                <w:szCs w:val="14"/>
                <w:color w:val="auto"/>
              </w:rPr>
            </w:pPr>
          </w:p>
        </w:tc>
        <w:tc>
          <w:tcPr>
            <w:tcW w:w="6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10.1</w:t>
            </w:r>
          </w:p>
        </w:tc>
        <w:tc>
          <w:tcPr>
            <w:tcW w:w="4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80" w:type="dxa"/>
            <w:vAlign w:val="bottom"/>
            <w:tcBorders>
              <w:top w:val="single" w:sz="8" w:color="auto"/>
            </w:tcBorders>
            <w:gridSpan w:val="6"/>
          </w:tcPr>
          <w:p>
            <w:pPr>
              <w:spacing w:after="0" w:line="167"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Stock Purchase Agreement dated September 27, 2024</w:t>
              </w:r>
            </w:hyperlink>
          </w:p>
        </w:tc>
        <w:tc>
          <w:tcPr>
            <w:tcW w:w="220" w:type="dxa"/>
            <w:vAlign w:val="bottom"/>
          </w:tcPr>
          <w:p>
            <w:pPr>
              <w:spacing w:after="0"/>
              <w:rPr>
                <w:sz w:val="14"/>
                <w:szCs w:val="14"/>
                <w:color w:val="auto"/>
              </w:rPr>
            </w:pPr>
          </w:p>
        </w:tc>
        <w:tc>
          <w:tcPr>
            <w:tcW w:w="328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w w:val="99"/>
              </w:rPr>
              <w:t>Filed as Exhibit 10.1 to the Company’s Form</w:t>
            </w:r>
          </w:p>
        </w:tc>
      </w:tr>
      <w:tr>
        <w:trPr>
          <w:trHeight w:val="215"/>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8-K filed October 3, 2024</w:t>
            </w:r>
          </w:p>
        </w:tc>
      </w:tr>
      <w:tr>
        <w:trPr>
          <w:trHeight w:val="192"/>
        </w:trPr>
        <w:tc>
          <w:tcPr>
            <w:tcW w:w="1100" w:type="dxa"/>
            <w:vAlign w:val="bottom"/>
            <w:gridSpan w:val="2"/>
          </w:tcPr>
          <w:p>
            <w:pPr>
              <w:ind w:left="480"/>
              <w:spacing w:after="0" w:line="192" w:lineRule="exact"/>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80" w:type="dxa"/>
            <w:vAlign w:val="bottom"/>
            <w:gridSpan w:val="6"/>
          </w:tcPr>
          <w:p>
            <w:pPr>
              <w:spacing w:after="0" w:line="192"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Credit and Security Agreement dated as of October 31, 2024</w:t>
              </w:r>
            </w:hyperlink>
          </w:p>
        </w:tc>
        <w:tc>
          <w:tcPr>
            <w:tcW w:w="3500" w:type="dxa"/>
            <w:vAlign w:val="bottom"/>
            <w:gridSpan w:val="2"/>
          </w:tcPr>
          <w:p>
            <w:pPr>
              <w:ind w:left="220"/>
              <w:spacing w:after="0" w:line="192" w:lineRule="exact"/>
              <w:rPr>
                <w:sz w:val="20"/>
                <w:szCs w:val="20"/>
                <w:color w:val="auto"/>
              </w:rPr>
            </w:pPr>
            <w:r>
              <w:rPr>
                <w:rFonts w:ascii="Times New Roman" w:cs="Times New Roman" w:eastAsia="Times New Roman" w:hAnsi="Times New Roman"/>
                <w:sz w:val="18"/>
                <w:szCs w:val="18"/>
                <w:color w:val="auto"/>
                <w:w w:val="99"/>
              </w:rPr>
              <w:t>Filed as Exhibit 10.2 to the Company’s Form</w:t>
            </w:r>
          </w:p>
        </w:tc>
      </w:tr>
      <w:tr>
        <w:trPr>
          <w:trHeight w:val="215"/>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560" w:type="dxa"/>
            <w:vAlign w:val="bottom"/>
          </w:tcPr>
          <w:p>
            <w:pPr>
              <w:spacing w:after="0"/>
              <w:rPr>
                <w:sz w:val="18"/>
                <w:szCs w:val="18"/>
                <w:color w:val="auto"/>
              </w:rPr>
            </w:pP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8-K filed November 6, 2024</w:t>
            </w:r>
          </w:p>
        </w:tc>
      </w:tr>
      <w:tr>
        <w:trPr>
          <w:trHeight w:val="192"/>
        </w:trPr>
        <w:tc>
          <w:tcPr>
            <w:tcW w:w="1100" w:type="dxa"/>
            <w:vAlign w:val="bottom"/>
            <w:gridSpan w:val="2"/>
          </w:tcPr>
          <w:p>
            <w:pPr>
              <w:ind w:left="480"/>
              <w:spacing w:after="0" w:line="192" w:lineRule="exact"/>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40" w:type="dxa"/>
            <w:vAlign w:val="bottom"/>
            <w:tcBorders>
              <w:bottom w:val="single" w:sz="8" w:color="0000EE"/>
            </w:tcBorders>
            <w:gridSpan w:val="3"/>
          </w:tcPr>
          <w:p>
            <w:pPr>
              <w:spacing w:after="0" w:line="192" w:lineRule="exact"/>
              <w:rPr>
                <w:sz w:val="20"/>
                <w:szCs w:val="20"/>
                <w:color w:val="auto"/>
              </w:rPr>
            </w:pPr>
            <w:r>
              <w:rPr>
                <w:rFonts w:ascii="Times New Roman" w:cs="Times New Roman" w:eastAsia="Times New Roman" w:hAnsi="Times New Roman"/>
                <w:sz w:val="18"/>
                <w:szCs w:val="18"/>
                <w:color w:val="0000EE"/>
                <w:w w:val="98"/>
              </w:rPr>
              <w:t>Rule 13a-14(a) / 15d-14(a) CEO Certifications</w:t>
            </w:r>
          </w:p>
        </w:tc>
        <w:tc>
          <w:tcPr>
            <w:tcW w:w="2540" w:type="dxa"/>
            <w:vAlign w:val="bottom"/>
            <w:gridSpan w:val="3"/>
          </w:tcPr>
          <w:p>
            <w:pPr>
              <w:spacing w:after="0"/>
              <w:rPr>
                <w:sz w:val="16"/>
                <w:szCs w:val="16"/>
                <w:color w:val="auto"/>
              </w:rPr>
            </w:pPr>
          </w:p>
        </w:tc>
        <w:tc>
          <w:tcPr>
            <w:tcW w:w="3500" w:type="dxa"/>
            <w:vAlign w:val="bottom"/>
            <w:gridSpan w:val="2"/>
          </w:tcPr>
          <w:p>
            <w:pPr>
              <w:ind w:left="220"/>
              <w:spacing w:after="0" w:line="192" w:lineRule="exact"/>
              <w:rPr>
                <w:sz w:val="20"/>
                <w:szCs w:val="20"/>
                <w:color w:val="auto"/>
              </w:rPr>
            </w:pPr>
            <w:r>
              <w:rPr>
                <w:rFonts w:ascii="Times New Roman" w:cs="Times New Roman" w:eastAsia="Times New Roman" w:hAnsi="Times New Roman"/>
                <w:sz w:val="18"/>
                <w:szCs w:val="18"/>
                <w:color w:val="auto"/>
              </w:rPr>
              <w:t>Filed herewith</w:t>
            </w:r>
          </w:p>
        </w:tc>
      </w:tr>
      <w:tr>
        <w:trPr>
          <w:trHeight w:val="193"/>
        </w:trPr>
        <w:tc>
          <w:tcPr>
            <w:tcW w:w="1100" w:type="dxa"/>
            <w:vAlign w:val="bottom"/>
            <w:gridSpan w:val="2"/>
          </w:tcPr>
          <w:p>
            <w:pPr>
              <w:ind w:left="480"/>
              <w:spacing w:after="0" w:line="194" w:lineRule="exact"/>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Rule 13a-14(a) / 15d-14(a) CFO Certifications</w:t>
            </w:r>
          </w:p>
        </w:tc>
        <w:tc>
          <w:tcPr>
            <w:tcW w:w="350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8"/>
                <w:szCs w:val="18"/>
                <w:color w:val="auto"/>
              </w:rPr>
              <w:t>Filed herewith</w:t>
            </w:r>
          </w:p>
        </w:tc>
      </w:tr>
      <w:tr>
        <w:trPr>
          <w:trHeight w:val="193"/>
        </w:trPr>
        <w:tc>
          <w:tcPr>
            <w:tcW w:w="1100" w:type="dxa"/>
            <w:vAlign w:val="bottom"/>
            <w:gridSpan w:val="2"/>
          </w:tcPr>
          <w:p>
            <w:pPr>
              <w:ind w:left="480"/>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Borders>
              <w:top w:val="single" w:sz="8" w:color="0000EE"/>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8"/>
              </w:rPr>
              <w:t>Section 1350 Certifications</w:t>
            </w:r>
          </w:p>
        </w:tc>
        <w:tc>
          <w:tcPr>
            <w:tcW w:w="1360" w:type="dxa"/>
            <w:vAlign w:val="bottom"/>
            <w:tcBorders>
              <w:top w:val="single" w:sz="8" w:color="0000EE"/>
            </w:tcBorders>
          </w:tcPr>
          <w:p>
            <w:pPr>
              <w:spacing w:after="0"/>
              <w:rPr>
                <w:sz w:val="16"/>
                <w:szCs w:val="16"/>
                <w:color w:val="auto"/>
              </w:rPr>
            </w:pPr>
          </w:p>
        </w:tc>
        <w:tc>
          <w:tcPr>
            <w:tcW w:w="2560" w:type="dxa"/>
            <w:vAlign w:val="bottom"/>
            <w:gridSpan w:val="4"/>
          </w:tcPr>
          <w:p>
            <w:pPr>
              <w:spacing w:after="0"/>
              <w:rPr>
                <w:sz w:val="16"/>
                <w:szCs w:val="16"/>
                <w:color w:val="auto"/>
              </w:rPr>
            </w:pPr>
          </w:p>
        </w:tc>
        <w:tc>
          <w:tcPr>
            <w:tcW w:w="350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15"/>
        </w:trPr>
        <w:tc>
          <w:tcPr>
            <w:tcW w:w="4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101.INS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4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4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4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4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48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3"/>
        </w:trPr>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3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2"/>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101)</w:t>
            </w: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480"/>
        <w:spacing w:after="0" w:line="254"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Consolidated Balance Sheets as of September 30, 2024 and December 31, 2023, (ii) Consolidated Statements of Income and Comprehensive Income for the three and nine months ended September 30, 2024 and 2023, (iii) Consolidated Statements of Cash Flows for the nine months ended September 30, 2024 and 2023, (iv) Consolidated Statements of Changes in Stockholders’ Equity for the three and nine months ended September 30, 2024 and 2023, and (v) Notes to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31" w:name="page32"/>
    <w:bookmarkEnd w:id="3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ULTRALIFE CORPORATION</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(Registrant)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1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 Michael E. Manna</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8"/>
                <w:szCs w:val="18"/>
                <w:color w:val="auto"/>
              </w:rPr>
              <w:t>Michael E. Manna</w:t>
            </w:r>
          </w:p>
        </w:tc>
        <w:tc>
          <w:tcPr>
            <w:tcW w:w="6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600"/>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1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0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 Philip A. Fain</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ind w:left="240"/>
              <w:spacing w:after="0" w:line="189" w:lineRule="exact"/>
              <w:rPr>
                <w:sz w:val="20"/>
                <w:szCs w:val="20"/>
                <w:color w:val="auto"/>
              </w:rPr>
            </w:pPr>
            <w:r>
              <w:rPr>
                <w:rFonts w:ascii="Times New Roman" w:cs="Times New Roman" w:eastAsia="Times New Roman" w:hAnsi="Times New Roman"/>
                <w:sz w:val="18"/>
                <w:szCs w:val="18"/>
                <w:color w:val="auto"/>
              </w:rPr>
              <w:t>Philip A. Fain</w:t>
            </w:r>
          </w:p>
        </w:tc>
        <w:tc>
          <w:tcPr>
            <w:tcW w:w="6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0" w:type="dxa"/>
            <w:vAlign w:val="bottom"/>
          </w:tcPr>
          <w:p>
            <w:pPr>
              <w:spacing w:after="0"/>
              <w:rPr>
                <w:sz w:val="1"/>
                <w:szCs w:val="1"/>
                <w:color w:val="auto"/>
              </w:rPr>
            </w:pPr>
          </w:p>
        </w:tc>
      </w:tr>
      <w:tr>
        <w:trPr>
          <w:trHeight w:val="232"/>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w:t>
            </w: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571" w:right="4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Manna, certify that:</w:t>
      </w:r>
    </w:p>
    <w:p>
      <w:pPr>
        <w:spacing w:after="0" w:line="220" w:lineRule="exact"/>
        <w:rPr>
          <w:sz w:val="20"/>
          <w:szCs w:val="20"/>
          <w:color w:val="auto"/>
        </w:rPr>
      </w:pPr>
    </w:p>
    <w:p>
      <w:pPr>
        <w:ind w:left="640" w:hanging="63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20" w:hanging="63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Date: November 12, 2024</w:t>
            </w:r>
          </w:p>
        </w:tc>
        <w:tc>
          <w:tcPr>
            <w:tcW w:w="682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By:  /s/ Michael E. Manna</w:t>
            </w:r>
          </w:p>
        </w:tc>
      </w:tr>
      <w:tr>
        <w:trPr>
          <w:trHeight w:val="20"/>
        </w:trPr>
        <w:tc>
          <w:tcPr>
            <w:tcW w:w="4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r>
      <w:tr>
        <w:trPr>
          <w:trHeight w:val="188"/>
        </w:trPr>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2"/>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A. Fain, certify that:</w:t>
      </w:r>
    </w:p>
    <w:p>
      <w:pPr>
        <w:spacing w:after="0" w:line="220" w:lineRule="exact"/>
        <w:rPr>
          <w:sz w:val="20"/>
          <w:szCs w:val="20"/>
          <w:color w:val="auto"/>
        </w:rPr>
      </w:pPr>
    </w:p>
    <w:p>
      <w:pPr>
        <w:ind w:left="640" w:hanging="63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Ultralife Corporation;</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40" w:hanging="633"/>
        <w:spacing w:after="0" w:line="27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40" w:right="20" w:hanging="633"/>
        <w:spacing w:after="0" w:line="27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280" w:hanging="313"/>
        <w:spacing w:after="0" w:line="277"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53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Philip A. Fain</w:t>
            </w:r>
          </w:p>
        </w:tc>
      </w:tr>
      <w:tr>
        <w:trPr>
          <w:trHeight w:val="20"/>
        </w:trPr>
        <w:tc>
          <w:tcPr>
            <w:tcW w:w="4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r>
      <w:tr>
        <w:trPr>
          <w:trHeight w:val="188"/>
        </w:trPr>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Philip A. Fain</w:t>
            </w:r>
          </w:p>
        </w:tc>
      </w:tr>
      <w:tr>
        <w:trPr>
          <w:trHeight w:val="232"/>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Quarterly Report on Form 10-Q for the quarter ended September 30, 2024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1"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1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Michael E. Manna</w:t>
            </w:r>
          </w:p>
        </w:tc>
      </w:tr>
      <w:tr>
        <w:trPr>
          <w:trHeight w:val="20"/>
        </w:trPr>
        <w:tc>
          <w:tcPr>
            <w:tcW w:w="4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r>
      <w:tr>
        <w:trPr>
          <w:trHeight w:val="188"/>
        </w:trPr>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Michael E. Manna</w:t>
            </w:r>
          </w:p>
        </w:tc>
      </w:tr>
      <w:tr>
        <w:trPr>
          <w:trHeight w:val="232"/>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86"/>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17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Philip A. Fain</w:t>
            </w:r>
          </w:p>
        </w:tc>
      </w:tr>
      <w:tr>
        <w:trPr>
          <w:trHeight w:val="20"/>
        </w:trPr>
        <w:tc>
          <w:tcPr>
            <w:tcW w:w="44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r>
      <w:tr>
        <w:trPr>
          <w:trHeight w:val="188"/>
        </w:trPr>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Philip A. Fain</w:t>
            </w:r>
          </w:p>
        </w:tc>
      </w:tr>
      <w:tr>
        <w:trPr>
          <w:trHeight w:val="232"/>
        </w:trPr>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3"/>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1"/>
      <w:numFmt w:val="bullet"/>
      <w:start w:val="1"/>
    </w:lvl>
  </w:abstractNum>
  <w:abstractNum w:abstractNumId="11">
    <w:nsid w:val="DED7263"/>
    <w:multiLevelType w:val="hybridMultilevel"/>
    <w:lvl w:ilvl="0">
      <w:lvlJc w:val="left"/>
      <w:lvlText w:val="%1."/>
      <w:numFmt w:val="decimal"/>
      <w:start w:val="1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5"/>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0" Type="http://schemas.openxmlformats.org/officeDocument/2006/relationships/hyperlink" Target="http://www.sec.gov/Archives/edgar/data/875657/000143774924030645/ex_729650.htm" TargetMode="External"/><Relationship Id="rId61" Type="http://schemas.openxmlformats.org/officeDocument/2006/relationships/hyperlink" Target="http://www.sec.gov/Archives/edgar/data/875657/000143774924033673/ex_7434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2024-11-12T16:40:01Z</dcterms:created>
  <dcterms:modified xsi:type="dcterms:W3CDTF">2024-11-12T16:40:01Z</dcterms:modified>
</cp:coreProperties>
</file>