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ind w:left="4880"/>
        <w:spacing w:after="0"/>
        <w:rPr>
          <w:sz w:val="20"/>
          <w:szCs w:val="20"/>
          <w:color w:val="auto"/>
        </w:rPr>
      </w:pPr>
      <w:r>
        <w:rPr>
          <w:rFonts w:ascii="Arial" w:cs="Arial" w:eastAsia="Arial" w:hAnsi="Arial"/>
          <w:sz w:val="14"/>
          <w:szCs w:val="14"/>
          <w:b w:val="1"/>
          <w:bCs w:val="1"/>
          <w:color w:val="auto"/>
        </w:rPr>
        <w:t>_______________________</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3" w:lineRule="exact"/>
        <w:rPr>
          <w:sz w:val="24"/>
          <w:szCs w:val="24"/>
          <w:color w:val="auto"/>
        </w:rPr>
      </w:pPr>
    </w:p>
    <w:p>
      <w:pPr>
        <w:ind w:left="4880"/>
        <w:spacing w:after="0"/>
        <w:rPr>
          <w:sz w:val="20"/>
          <w:szCs w:val="20"/>
          <w:color w:val="auto"/>
        </w:rPr>
      </w:pPr>
      <w:r>
        <w:rPr>
          <w:rFonts w:ascii="Arial" w:cs="Arial" w:eastAsia="Arial" w:hAnsi="Arial"/>
          <w:sz w:val="14"/>
          <w:szCs w:val="14"/>
          <w:b w:val="1"/>
          <w:bCs w:val="1"/>
          <w:color w:val="auto"/>
        </w:rPr>
        <w:t>_______________________</w:t>
      </w:r>
    </w:p>
    <w:p>
      <w:pPr>
        <w:spacing w:after="0" w:line="201" w:lineRule="exact"/>
        <w:rPr>
          <w:sz w:val="24"/>
          <w:szCs w:val="24"/>
          <w:color w:val="auto"/>
        </w:rPr>
      </w:pPr>
    </w:p>
    <w:p>
      <w:pPr>
        <w:jc w:val="center"/>
        <w:ind w:left="536" w:right="496"/>
        <w:spacing w:after="0" w:line="252" w:lineRule="auto"/>
        <w:rPr>
          <w:sz w:val="20"/>
          <w:szCs w:val="20"/>
          <w:color w:val="auto"/>
        </w:rPr>
      </w:pPr>
      <w:r>
        <w:rPr>
          <w:rFonts w:ascii="Arial" w:cs="Arial" w:eastAsia="Arial" w:hAnsi="Arial"/>
          <w:sz w:val="20"/>
          <w:szCs w:val="20"/>
          <w:b w:val="1"/>
          <w:bCs w:val="1"/>
          <w:color w:val="auto"/>
        </w:rPr>
        <w:t>[ X ] ANNUAL REPORT PURSUANT TO SECTION 13 OR 15(d) OF THE SECURITIES EXCHANGE ACT OF 1934 For the fiscal year ended December 31,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7" w:lineRule="exact"/>
        <w:rPr>
          <w:sz w:val="24"/>
          <w:szCs w:val="24"/>
          <w:color w:val="auto"/>
        </w:rPr>
      </w:pPr>
    </w:p>
    <w:p>
      <w:pPr>
        <w:ind w:left="700" w:hanging="164"/>
        <w:spacing w:after="0"/>
        <w:tabs>
          <w:tab w:leader="none" w:pos="7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TRANSITION REPORT PURSUANT TO SECTION 13 OR 15(d) OF THE SECURITIES EXCHANGE ACT OF 1934</w:t>
      </w:r>
    </w:p>
    <w:p>
      <w:pPr>
        <w:spacing w:after="0" w:line="11" w:lineRule="exact"/>
        <w:rPr>
          <w:rFonts w:ascii="Arial" w:cs="Arial" w:eastAsia="Arial" w:hAnsi="Arial"/>
          <w:sz w:val="19"/>
          <w:szCs w:val="19"/>
          <w:b w:val="1"/>
          <w:bCs w:val="1"/>
          <w:color w:val="auto"/>
        </w:rPr>
      </w:pPr>
    </w:p>
    <w:p>
      <w:pPr>
        <w:ind w:left="388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For the transition period from ____ to ____</w:t>
      </w:r>
    </w:p>
    <w:p>
      <w:pPr>
        <w:spacing w:after="0" w:line="36" w:lineRule="exact"/>
        <w:rPr>
          <w:rFonts w:ascii="Arial" w:cs="Arial" w:eastAsia="Arial" w:hAnsi="Arial"/>
          <w:sz w:val="19"/>
          <w:szCs w:val="19"/>
          <w:b w:val="1"/>
          <w:bCs w:val="1"/>
          <w:color w:val="auto"/>
        </w:rPr>
      </w:pPr>
    </w:p>
    <w:p>
      <w:pPr>
        <w:ind w:left="4400"/>
        <w:spacing w:after="0"/>
        <w:rPr>
          <w:rFonts w:ascii="Arial" w:cs="Arial" w:eastAsia="Arial" w:hAnsi="Arial"/>
          <w:sz w:val="19"/>
          <w:szCs w:val="19"/>
          <w:b w:val="1"/>
          <w:bCs w:val="1"/>
          <w:color w:val="auto"/>
        </w:rPr>
      </w:pPr>
      <w:r>
        <w:rPr>
          <w:rFonts w:ascii="Arial" w:cs="Arial" w:eastAsia="Arial" w:hAnsi="Arial"/>
          <w:sz w:val="18"/>
          <w:szCs w:val="18"/>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223520</wp:posOffset>
            </wp:positionV>
            <wp:extent cx="3738880"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38880"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Internal Revenue Service – Employer Identification No. 16-1387013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2000 Technology Parkway, Newark, New York 14513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(315) 332-7100</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80"/>
          </w:cols>
          <w:pgMar w:left="240" w:top="634" w:right="279" w:bottom="1440" w:gutter="0" w:footer="0" w:header="0"/>
        </w:sectPr>
      </w:pPr>
    </w:p>
    <w:p>
      <w:pPr>
        <w:spacing w:after="0" w:line="163" w:lineRule="exact"/>
        <w:rPr>
          <w:sz w:val="24"/>
          <w:szCs w:val="24"/>
          <w:color w:val="auto"/>
        </w:rPr>
      </w:pPr>
    </w:p>
    <w:p>
      <w:pPr>
        <w:ind w:left="236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8" w:lineRule="exact"/>
        <w:rPr>
          <w:sz w:val="24"/>
          <w:szCs w:val="24"/>
          <w:color w:val="auto"/>
        </w:rPr>
      </w:pPr>
    </w:p>
    <w:p>
      <w:pPr>
        <w:sectPr>
          <w:pgSz w:w="11900" w:h="16838" w:orient="portrait"/>
          <w:cols w:equalWidth="0" w:num="2">
            <w:col w:w="6720" w:space="720"/>
            <w:col w:w="3940"/>
          </w:cols>
          <w:pgMar w:left="240" w:top="634" w:right="27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Market</w:t>
      </w:r>
    </w:p>
    <w:p>
      <w:pPr>
        <w:spacing w:after="0" w:line="97" w:lineRule="exact"/>
        <w:rPr>
          <w:sz w:val="24"/>
          <w:szCs w:val="24"/>
          <w:color w:val="auto"/>
        </w:rPr>
      </w:pPr>
    </w:p>
    <w:p>
      <w:pPr>
        <w:sectPr>
          <w:pgSz w:w="11900" w:h="16838" w:orient="portrait"/>
          <w:cols w:equalWidth="0" w:num="2">
            <w:col w:w="7020" w:space="720"/>
            <w:col w:w="3640"/>
          </w:cols>
          <w:pgMar w:left="240" w:top="634"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ind w:right="2800"/>
        <w:spacing w:after="0" w:line="283"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214"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87" w:lineRule="exact"/>
        <w:rPr>
          <w:sz w:val="24"/>
          <w:szCs w:val="24"/>
          <w:color w:val="auto"/>
        </w:rPr>
      </w:pPr>
    </w:p>
    <w:p>
      <w:pPr>
        <w:jc w:val="both"/>
        <w:ind w:right="60"/>
        <w:spacing w:after="0" w:line="210"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ectPr>
          <w:pgSz w:w="11900" w:h="16838" w:orient="portrait"/>
          <w:cols w:equalWidth="0" w:num="1">
            <w:col w:w="11380"/>
          </w:cols>
          <w:pgMar w:left="240" w:top="634" w:right="279" w:bottom="1440" w:gutter="0" w:footer="0" w:header="0"/>
          <w:type w:val="continuous"/>
        </w:sectPr>
      </w:pPr>
    </w:p>
    <w:bookmarkStart w:id="1" w:name="page2"/>
    <w:bookmarkEnd w:id="1"/>
    <w:p>
      <w:pPr>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86" w:lineRule="exact"/>
        <w:rPr>
          <w:sz w:val="20"/>
          <w:szCs w:val="20"/>
          <w:color w:val="auto"/>
        </w:rPr>
      </w:pPr>
    </w:p>
    <w:p>
      <w:pPr>
        <w:ind w:right="660"/>
        <w:spacing w:after="0" w:line="21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Large accelerated filer</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r>
        <w:rPr>
          <w:rFonts w:ascii="MS PGothic" w:cs="MS PGothic" w:eastAsia="MS PGothic" w:hAnsi="MS PGothic"/>
          <w:sz w:val="16"/>
          <w:szCs w:val="16"/>
          <w:color w:val="auto"/>
        </w:rPr>
        <w:t>☒</w:t>
      </w:r>
    </w:p>
    <w:p>
      <w:pPr>
        <w:spacing w:after="0" w:line="5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12b-2 of the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15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aggregate market value of the voting stock held by non-affiliates of the registrant as of the close of business on June 27, 2014 was approximately $49,300,000, based on the closing price of the registrant’s common stock on the NASDAQ Global Market on that date.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As of March 6, 2015, the registrant had 17,340,813 shares of common stock outstanding, net of 1,600,731 treasury shares.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Certain portions of the registrant’s definitive proxy statement relating to the June 2, 2015 Annual Meeting of Shareholders are specifically incorporated by reference in Part III, Items 10, 11, 12, 13 and 14 of this Annual Report on Form 10-K, except for the equity plan information required by Item 12 as set forth herein.</w:t>
      </w:r>
    </w:p>
    <w:p>
      <w:pPr>
        <w:sectPr>
          <w:pgSz w:w="11900" w:h="16838" w:orient="portrait"/>
          <w:cols w:equalWidth="0" w:num="1">
            <w:col w:w="11400"/>
          </w:cols>
          <w:pgMar w:left="240" w:top="6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2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4"/>
              </w:rPr>
              <w:t>Ultralife Corporation</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920" w:type="dxa"/>
            <w:vAlign w:val="bottom"/>
            <w:gridSpan w:val="11"/>
          </w:tcPr>
          <w:p>
            <w:pPr>
              <w:jc w:val="center"/>
              <w:ind w:right="3140"/>
              <w:spacing w:after="0"/>
              <w:rPr>
                <w:sz w:val="20"/>
                <w:szCs w:val="20"/>
                <w:color w:val="auto"/>
              </w:rPr>
            </w:pPr>
            <w:r>
              <w:rPr>
                <w:rFonts w:ascii="Arial" w:cs="Arial" w:eastAsia="Arial" w:hAnsi="Arial"/>
                <w:sz w:val="18"/>
                <w:szCs w:val="18"/>
                <w:b w:val="1"/>
                <w:bCs w:val="1"/>
                <w:color w:val="auto"/>
                <w:w w:val="93"/>
              </w:rPr>
              <w:t>Index to Annual Report on Form 10-K</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Page</w:t>
            </w:r>
          </w:p>
        </w:tc>
      </w:tr>
      <w:tr>
        <w:trPr>
          <w:trHeight w:val="189"/>
        </w:trPr>
        <w:tc>
          <w:tcPr>
            <w:tcW w:w="5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w w:val="84"/>
              </w:rPr>
              <w:t>PART I</w:t>
            </w:r>
          </w:p>
        </w:tc>
        <w:tc>
          <w:tcPr>
            <w:tcW w:w="240" w:type="dxa"/>
            <w:vAlign w:val="bottom"/>
            <w:gridSpan w:val="3"/>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gridSpan w:val="2"/>
          </w:tcPr>
          <w:p>
            <w:pPr>
              <w:jc w:val="center"/>
              <w:ind w:left="2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17">
              <w:r>
                <w:rPr>
                  <w:rFonts w:ascii="Arial" w:cs="Arial" w:eastAsia="Arial" w:hAnsi="Arial"/>
                  <w:sz w:val="18"/>
                  <w:szCs w:val="18"/>
                  <w:color w:val="0000EE"/>
                  <w:w w:val="80"/>
                </w:rPr>
                <w:t>Item 1A</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gridSpan w:val="5"/>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8200" w:type="dxa"/>
            <w:vAlign w:val="bottom"/>
            <w:gridSpan w:val="17"/>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25">
              <w:r>
                <w:rPr>
                  <w:rFonts w:ascii="Arial" w:cs="Arial" w:eastAsia="Arial" w:hAnsi="Arial"/>
                  <w:sz w:val="18"/>
                  <w:szCs w:val="18"/>
                  <w:color w:val="0000EE"/>
                  <w:w w:val="80"/>
                </w:rPr>
                <w:t>Item 1B</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Item 2</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060" w:type="dxa"/>
            <w:vAlign w:val="bottom"/>
            <w:gridSpan w:val="12"/>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37"/>
        </w:trPr>
        <w:tc>
          <w:tcPr>
            <w:tcW w:w="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820" w:type="dxa"/>
            <w:vAlign w:val="bottom"/>
          </w:tcPr>
          <w:p>
            <w:pPr>
              <w:spacing w:after="0"/>
              <w:rPr>
                <w:sz w:val="20"/>
                <w:szCs w:val="20"/>
                <w:color w:val="auto"/>
              </w:rPr>
            </w:pPr>
          </w:p>
        </w:tc>
        <w:tc>
          <w:tcPr>
            <w:tcW w:w="912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30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466"/>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II</w:t>
            </w:r>
          </w:p>
        </w:tc>
        <w:tc>
          <w:tcPr>
            <w:tcW w:w="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the Registrant’s Common Equity, Related Stockholder Matters and</w:t>
              </w:r>
            </w:hyperlink>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40" w:type="dxa"/>
            <w:vAlign w:val="bottom"/>
            <w:tcBorders>
              <w:top w:val="single" w:sz="8" w:color="0000EE"/>
            </w:tcBorders>
            <w:gridSpan w:val="11"/>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Issuer Purchases of Equity Securities</w:t>
              </w:r>
            </w:hyperlink>
          </w:p>
        </w:tc>
        <w:tc>
          <w:tcPr>
            <w:tcW w:w="2840" w:type="dxa"/>
            <w:vAlign w:val="bottom"/>
            <w:tcBorders>
              <w:top w:val="single" w:sz="8" w:color="0000EE"/>
            </w:tcBorders>
            <w:gridSpan w:val="8"/>
          </w:tcPr>
          <w:p>
            <w:pPr>
              <w:spacing w:after="0"/>
              <w:rPr>
                <w:sz w:val="19"/>
                <w:szCs w:val="19"/>
                <w:color w:val="auto"/>
              </w:rPr>
            </w:pPr>
          </w:p>
        </w:tc>
        <w:tc>
          <w:tcPr>
            <w:tcW w:w="3460" w:type="dxa"/>
            <w:vAlign w:val="bottom"/>
            <w:gridSpan w:val="2"/>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30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7</w:t>
              </w:r>
            </w:hyperlink>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w:t>
              </w:r>
            </w:hyperlink>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gridSpan w:val="4"/>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Operations</w:t>
              </w:r>
            </w:hyperlink>
          </w:p>
        </w:tc>
        <w:tc>
          <w:tcPr>
            <w:tcW w:w="4720" w:type="dxa"/>
            <w:vAlign w:val="bottom"/>
            <w:tcBorders>
              <w:top w:val="single" w:sz="8" w:color="0000EE"/>
            </w:tcBorders>
            <w:gridSpan w:val="14"/>
          </w:tcPr>
          <w:p>
            <w:pPr>
              <w:spacing w:after="0"/>
              <w:rPr>
                <w:sz w:val="19"/>
                <w:szCs w:val="19"/>
                <w:color w:val="auto"/>
              </w:rPr>
            </w:pPr>
          </w:p>
        </w:tc>
        <w:tc>
          <w:tcPr>
            <w:tcW w:w="3480" w:type="dxa"/>
            <w:vAlign w:val="bottom"/>
            <w:gridSpan w:val="3"/>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30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37"/>
        </w:trPr>
        <w:tc>
          <w:tcPr>
            <w:tcW w:w="540" w:type="dxa"/>
            <w:vAlign w:val="bottom"/>
            <w:gridSpan w:val="2"/>
          </w:tcPr>
          <w:p>
            <w:pPr>
              <w:spacing w:after="0"/>
              <w:rPr>
                <w:rFonts w:ascii="Arial" w:cs="Arial" w:eastAsia="Arial" w:hAnsi="Arial"/>
                <w:sz w:val="18"/>
                <w:szCs w:val="18"/>
                <w:color w:val="0000EE"/>
                <w:w w:val="80"/>
              </w:rPr>
            </w:pPr>
            <w:hyperlink w:anchor="page39">
              <w:r>
                <w:rPr>
                  <w:rFonts w:ascii="Arial" w:cs="Arial" w:eastAsia="Arial" w:hAnsi="Arial"/>
                  <w:sz w:val="18"/>
                  <w:szCs w:val="18"/>
                  <w:color w:val="0000EE"/>
                  <w:w w:val="80"/>
                </w:rPr>
                <w:t>Item 7A</w:t>
              </w:r>
            </w:hyperlink>
          </w:p>
        </w:tc>
        <w:tc>
          <w:tcPr>
            <w:tcW w:w="24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912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300" w:type="dxa"/>
            <w:vAlign w:val="bottom"/>
          </w:tcPr>
          <w:p>
            <w:pPr>
              <w:spacing w:after="0"/>
              <w:rPr>
                <w:sz w:val="20"/>
                <w:szCs w:val="20"/>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Item 8</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43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4760" w:type="dxa"/>
            <w:vAlign w:val="bottom"/>
            <w:gridSpan w:val="7"/>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9</w:t>
              </w:r>
            </w:hyperlink>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w:t>
              </w:r>
            </w:hyperlink>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gridSpan w:val="4"/>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Disclosure</w:t>
              </w:r>
            </w:hyperlink>
          </w:p>
        </w:tc>
        <w:tc>
          <w:tcPr>
            <w:tcW w:w="4760" w:type="dxa"/>
            <w:vAlign w:val="bottom"/>
            <w:tcBorders>
              <w:top w:val="single" w:sz="8" w:color="0000EE"/>
            </w:tcBorders>
            <w:gridSpan w:val="16"/>
          </w:tcPr>
          <w:p>
            <w:pPr>
              <w:spacing w:after="0"/>
              <w:rPr>
                <w:sz w:val="19"/>
                <w:szCs w:val="19"/>
                <w:color w:val="auto"/>
              </w:rPr>
            </w:pPr>
          </w:p>
        </w:tc>
        <w:tc>
          <w:tcPr>
            <w:tcW w:w="3440" w:type="dxa"/>
            <w:vAlign w:val="bottom"/>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30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67">
              <w:r>
                <w:rPr>
                  <w:rFonts w:ascii="Arial" w:cs="Arial" w:eastAsia="Arial" w:hAnsi="Arial"/>
                  <w:sz w:val="18"/>
                  <w:szCs w:val="18"/>
                  <w:color w:val="0000EE"/>
                  <w:w w:val="80"/>
                </w:rPr>
                <w:t>Item 9A</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1720" w:type="dxa"/>
            <w:vAlign w:val="bottom"/>
            <w:gridSpan w:val="8"/>
          </w:tcPr>
          <w:p>
            <w:pPr>
              <w:spacing w:after="0"/>
              <w:rPr>
                <w:rFonts w:ascii="Arial" w:cs="Arial" w:eastAsia="Arial" w:hAnsi="Arial"/>
                <w:sz w:val="18"/>
                <w:szCs w:val="18"/>
                <w:color w:val="0000EE"/>
                <w:w w:val="84"/>
              </w:rPr>
            </w:pPr>
            <w:hyperlink w:anchor="page67">
              <w:r>
                <w:rPr>
                  <w:rFonts w:ascii="Arial" w:cs="Arial" w:eastAsia="Arial" w:hAnsi="Arial"/>
                  <w:sz w:val="18"/>
                  <w:szCs w:val="18"/>
                  <w:color w:val="0000EE"/>
                  <w:w w:val="84"/>
                </w:rPr>
                <w:t>Controls and Procedures</w:t>
              </w:r>
            </w:hyperlink>
          </w:p>
        </w:tc>
        <w:tc>
          <w:tcPr>
            <w:tcW w:w="7400" w:type="dxa"/>
            <w:vAlign w:val="bottom"/>
            <w:gridSpan w:val="14"/>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30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67">
              <w:r>
                <w:rPr>
                  <w:rFonts w:ascii="Arial" w:cs="Arial" w:eastAsia="Arial" w:hAnsi="Arial"/>
                  <w:sz w:val="18"/>
                  <w:szCs w:val="18"/>
                  <w:color w:val="0000EE"/>
                  <w:w w:val="80"/>
                </w:rPr>
                <w:t>Item 9B</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1720" w:type="dxa"/>
            <w:vAlign w:val="bottom"/>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400" w:type="dxa"/>
            <w:vAlign w:val="bottom"/>
            <w:gridSpan w:val="14"/>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30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493"/>
        </w:trPr>
        <w:tc>
          <w:tcPr>
            <w:tcW w:w="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10</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912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 of the Registrant</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30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11</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5340" w:type="dxa"/>
            <w:vAlign w:val="bottom"/>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3780" w:type="dxa"/>
            <w:vAlign w:val="bottom"/>
            <w:gridSpan w:val="4"/>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30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12</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52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Security Ownership of Certain Beneficial Owners and Management and</w:t>
              </w:r>
            </w:hyperlink>
          </w:p>
        </w:tc>
        <w:tc>
          <w:tcPr>
            <w:tcW w:w="3920" w:type="dxa"/>
            <w:vAlign w:val="bottom"/>
            <w:gridSpan w:val="5"/>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4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Related Stockholder Matters</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30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13</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5160" w:type="dxa"/>
            <w:vAlign w:val="bottom"/>
            <w:gridSpan w:val="16"/>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Certain Relationships, Related Transactions and Director Independence</w:t>
              </w:r>
            </w:hyperlink>
          </w:p>
        </w:tc>
        <w:tc>
          <w:tcPr>
            <w:tcW w:w="3960" w:type="dxa"/>
            <w:vAlign w:val="bottom"/>
            <w:gridSpan w:val="6"/>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30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9">
              <w:r>
                <w:rPr>
                  <w:rFonts w:ascii="Arial" w:cs="Arial" w:eastAsia="Arial" w:hAnsi="Arial"/>
                  <w:sz w:val="18"/>
                  <w:szCs w:val="18"/>
                  <w:color w:val="0000EE"/>
                  <w:w w:val="83"/>
                </w:rPr>
                <w:t>Item 14</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516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3960" w:type="dxa"/>
            <w:vAlign w:val="bottom"/>
            <w:gridSpan w:val="6"/>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30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466"/>
        </w:trPr>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9">
              <w:r>
                <w:rPr>
                  <w:rFonts w:ascii="Arial" w:cs="Arial" w:eastAsia="Arial" w:hAnsi="Arial"/>
                  <w:sz w:val="18"/>
                  <w:szCs w:val="18"/>
                  <w:color w:val="0000EE"/>
                  <w:w w:val="83"/>
                </w:rPr>
                <w:t>Item 15</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3100" w:type="dxa"/>
            <w:vAlign w:val="bottom"/>
            <w:gridSpan w:val="1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Exhibits and Financial Statement Schedule</w:t>
              </w:r>
            </w:hyperlink>
          </w:p>
        </w:tc>
        <w:tc>
          <w:tcPr>
            <w:tcW w:w="6020" w:type="dxa"/>
            <w:vAlign w:val="bottom"/>
            <w:gridSpan w:val="9"/>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30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20" w:type="dxa"/>
            <w:vAlign w:val="bottom"/>
            <w:gridSpan w:val="9"/>
          </w:tcPr>
          <w:p>
            <w:pPr>
              <w:spacing w:after="0"/>
              <w:rPr>
                <w:sz w:val="19"/>
                <w:szCs w:val="19"/>
                <w:color w:val="auto"/>
              </w:rPr>
            </w:pPr>
          </w:p>
        </w:tc>
        <w:tc>
          <w:tcPr>
            <w:tcW w:w="380" w:type="dxa"/>
            <w:vAlign w:val="bottom"/>
            <w:gridSpan w:val="2"/>
          </w:tcPr>
          <w:p>
            <w:pPr>
              <w:jc w:val="center"/>
              <w:ind w:left="11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3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20" w:type="dxa"/>
            <w:vAlign w:val="bottom"/>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Index to Exhibits</w:t>
              </w:r>
            </w:hyperlink>
          </w:p>
        </w:tc>
        <w:tc>
          <w:tcPr>
            <w:tcW w:w="380" w:type="dxa"/>
            <w:vAlign w:val="bottom"/>
            <w:gridSpan w:val="2"/>
          </w:tcPr>
          <w:p>
            <w:pPr>
              <w:jc w:val="center"/>
              <w:ind w:left="11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30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60" w:top="7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reduced U.S. and foreign military spending, including the uncertainty associated with government budget approvals; possible future declines in demand for the products that use our batteries; the successful commercialization of our products; possible impairments of our goodwill and other intangible assets; the unique risks associated with our Chinese operations; our resources being overwhelmed by our growth prospects; possible breaches in security and other disruptions; residual effects of negative news related to our industries; potential costs because of the warranties we supply with our products and services; the risk that we are unable to protect our proprietary and intellectual property; potential disruptions in our supply of raw materials and components; our ability to comply with government regulations regarding the use of “conflict minerals;” our exposure to foreign currency fluctuations; our customers’ demand falling short of volume expectations in our supply agreements; safety risks, including the risk of fire; exposure to possible violations of the U.S. Foreign Corrupt Practices Act, the U.K. Bribery Act or other anti-corruption laws; our ability to utilize our net operating loss carryforwards; our ability to comply with changes to the regulations for the shipment of our products; rules and procedures regarding contracting with the U.S. and foreign governments; possible audits of our contracts by the U.S. and foreign governments and their respective defense agencies; known and unknown environmental matters; technological innovations in the non-rechargeable and rechargeable battery industries; general domestic and global economic conditions; competition and customer strategies; and other risks and uncertainties, certain of which are beyond our control.</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 on Form 10-K.</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used in this annual report, unless otherwise indicated, the terms “we”, “our” and “us” refer to Ultralife Corporation (“Ultralife”) and includes our wholly-owned subsidiaries, Ultralife Batteries (UK) Ltd., ABLE New Energy Co., Limited and its wholly-owned subsidiary ABLE New Energy Co., Ltd, and our majority-owned joint venture Ultralife Batteries India Private Limited.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4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472" w:right="239" w:bottom="1440" w:gutter="0" w:footer="0" w:header="0"/>
        </w:sectPr>
      </w:pPr>
    </w:p>
    <w:bookmarkStart w:id="4" w:name="page5"/>
    <w:bookmarkEnd w:id="4"/>
    <w:p>
      <w:pPr>
        <w:jc w:val="both"/>
        <w:ind w:firstLine="648"/>
        <w:spacing w:after="0" w:line="242" w:lineRule="auto"/>
        <w:rPr>
          <w:sz w:val="20"/>
          <w:szCs w:val="20"/>
          <w:color w:val="auto"/>
        </w:rPr>
      </w:pPr>
      <w:r>
        <w:rPr>
          <w:rFonts w:ascii="Arial" w:cs="Arial" w:eastAsia="Arial" w:hAnsi="Arial"/>
          <w:sz w:val="16"/>
          <w:szCs w:val="16"/>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Arial" w:cs="Arial" w:eastAsia="Arial" w:hAnsi="Arial"/>
          <w:sz w:val="26"/>
          <w:szCs w:val="26"/>
          <w:color w:val="auto"/>
          <w:vertAlign w:val="superscript"/>
        </w:rPr>
        <w:t>®</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Batteries, Lithium Power</w:t>
      </w:r>
      <w:r>
        <w:rPr>
          <w:rFonts w:ascii="Arial" w:cs="Arial" w:eastAsia="Arial" w:hAnsi="Arial"/>
          <w:sz w:val="30"/>
          <w:szCs w:val="30"/>
          <w:color w:val="auto"/>
          <w:vertAlign w:val="superscript"/>
        </w:rPr>
        <w:t>®</w:t>
      </w:r>
      <w:r>
        <w:rPr>
          <w:rFonts w:ascii="Arial" w:cs="Arial" w:eastAsia="Arial" w:hAnsi="Arial"/>
          <w:sz w:val="18"/>
          <w:szCs w:val="18"/>
          <w:color w:val="auto"/>
        </w:rPr>
        <w:t>, McDowell Research</w:t>
      </w:r>
      <w:r>
        <w:rPr>
          <w:rFonts w:ascii="Arial" w:cs="Arial" w:eastAsia="Arial" w:hAnsi="Arial"/>
          <w:sz w:val="30"/>
          <w:szCs w:val="30"/>
          <w:color w:val="auto"/>
          <w:vertAlign w:val="superscript"/>
        </w:rPr>
        <w:t>®</w:t>
      </w:r>
      <w:r>
        <w:rPr>
          <w:rFonts w:ascii="Arial" w:cs="Arial" w:eastAsia="Arial" w:hAnsi="Arial"/>
          <w:sz w:val="18"/>
          <w:szCs w:val="18"/>
          <w:color w:val="auto"/>
        </w:rPr>
        <w:t>, AMTI</w:t>
      </w:r>
      <w:r>
        <w:rPr>
          <w:rFonts w:ascii="Arial" w:cs="Arial" w:eastAsia="Arial" w:hAnsi="Arial"/>
          <w:sz w:val="30"/>
          <w:szCs w:val="30"/>
          <w:color w:val="auto"/>
          <w:vertAlign w:val="superscript"/>
        </w:rPr>
        <w:t>TM</w:t>
      </w:r>
      <w:r>
        <w:rPr>
          <w:rFonts w:ascii="Arial" w:cs="Arial" w:eastAsia="Arial" w:hAnsi="Arial"/>
          <w:sz w:val="18"/>
          <w:szCs w:val="18"/>
          <w:color w:val="auto"/>
        </w:rPr>
        <w:t>, and ABLE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brands. We have sales, operations and product development facilities in North America and Asia.</w:t>
      </w:r>
    </w:p>
    <w:p>
      <w:pPr>
        <w:spacing w:after="0" w:line="2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website address is www.ultralifecorp.com. We make available free of charge via a hyperlink on our website (see Investor Relations link) our annual report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manufacture and/or market a family of lithium manganese dioxide (Li-MnO</w:t>
      </w:r>
      <w:r>
        <w:rPr>
          <w:rFonts w:ascii="Arial" w:cs="Arial" w:eastAsia="Arial" w:hAnsi="Arial"/>
          <w:sz w:val="26"/>
          <w:szCs w:val="26"/>
          <w:color w:val="auto"/>
          <w:vertAlign w:val="subscript"/>
        </w:rPr>
        <w:t>2</w:t>
      </w:r>
      <w:r>
        <w:rPr>
          <w:rFonts w:ascii="Arial" w:cs="Arial" w:eastAsia="Arial" w:hAnsi="Arial"/>
          <w:sz w:val="16"/>
          <w:szCs w:val="16"/>
          <w:color w:val="auto"/>
        </w:rPr>
        <w:t>),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ability to design and produce lightweight, high-energy lithium ion rechargeable batteries and charging systems in a variety of custom sizes, shapes, and thicknesses offers substantial benefits to our customers. We market lithium ion rechargeable batteries comprising cells manufactured by qualified cell manufacturers. Our rechargeable products can be used in a wide variety of applications including communications, medical and other portable electronic devices Our Multi-Kilowatt Module lithium ion battery system is a large format battery utilizable for energy storage, battery back-up, and remote power applications. We believe that the chemistry of our lithium ion batteries provides significant advantages over other currently available rechargeable batteries. These advantages include: higher energy density, lighter weight, longer operating time, longer time between charges and a wider operating temperature range. Conventional rechargeable batteries such as nickel metal hydride and nickel cadmium are heavier, have lower energy and require more frequent charging.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Within this segment, we also seek to fund, and have historically been successful in obtaining funding for, the development of new products that we hope will advance our technologies through contracts with both government agencies and third parties.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4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665" w:right="239" w:bottom="1440" w:gutter="0" w:footer="0" w:header="0"/>
        </w:sectPr>
      </w:pPr>
    </w:p>
    <w:bookmarkStart w:id="5" w:name="page6"/>
    <w:bookmarkEnd w:id="5"/>
    <w:p>
      <w:pPr>
        <w:jc w:val="both"/>
        <w:ind w:firstLine="648"/>
        <w:spacing w:after="0" w:line="342" w:lineRule="auto"/>
        <w:rPr>
          <w:sz w:val="20"/>
          <w:szCs w:val="20"/>
          <w:color w:val="auto"/>
        </w:rPr>
      </w:pPr>
      <w:r>
        <w:rPr>
          <w:rFonts w:ascii="Arial" w:cs="Arial" w:eastAsia="Arial" w:hAnsi="Arial"/>
          <w:sz w:val="16"/>
          <w:szCs w:val="16"/>
          <w:color w:val="auto"/>
        </w:rPr>
        <w:t>We continue to obtain development contracts for intellectual property that we believe will enhance our efforts to commercialize new products that we develop. Revenues in this segment that pertain to technology contracts may vary widely each year, depending upon the quantity and size of contracts obtained.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this segment for the year ended December 31, 2014 were $56,772 and segment contribution (gross profit) was $15,516.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All systems are packaged to meet specific customer needs in rugged enclosures to allow for their use in extreme environments. We market these products to all branches of the U.S. military and approved foreign defense organizations, as well as, U.S. and international prime defense contractors.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this segment for the year ended December 31, 2014 were $9,722 and segment contribution (gross profit) was $3,834.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allocate revenues and cost of sales between the above operating segments. The balance of income and expense, including but not limited to research and development expenses, and selling, general and administrative expenses, are reported as Corporate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revenues for this category for the year ended December 31, 2014 and our corporate expenses were $20,793.</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2014 Consolidated Financial Statements and Notes thereto contained in this Annual Report on Form 10-K for additional information on the expenses referred to above. For information relating to total assets by segment, revenues for the last two years by segment, and contribution by segment for the last two years, see Note 10 in the 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 In June 1994, we formed a subsidiary, Ultralife Batteries (UK) Ltd. (“Ultralife UK”), which acquired certain assets of Dowty Group PLC (“Dowty”) and provided us with a presence in Europe. In 2012, certain of our Ultralife UK operations were discontinued. See Note 2 to our Consolidated Financial Statements for more information.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including a wide range of lithium-thionyl chloride and lithium-manganese batteries and coin cells, and provided additional exposure to new consumer markets.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2006, we finalized the acquisition of substantially all the assets of McDowell Research, Ltd. (“McDowell”), a manufacturer of military communications accessories located originally in Waco, Texas, whose operations were relocated to our Newark, New York facility during the second half of 2007, which enhanced our channels into the military communications area and strengthened our presence in global defense markets. In January 2012, we relocated these operations to our Virginia Beach, Virginia facility in order to gain operational efficiencies.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4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In September 2007, we acquired RedBlack Communications, Inc. (“RedBlack”), located in Hollywood, Maryland, an engineering and technical services firm specializing in the design, integration, and fielding of mobile, modular and fixed-site communication and electronic systems. On September 28, 2012, we entered into and closed a stock purchase agreement to sell 100% of our capital stock in RedBlack to BCF Solutions, Inc. See Note 2 to our Consolidated Financial Statements for more information.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carbon mono-fluoride hybrid, and lithium thionyl chloride technologies.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 competitive with other battery technologies on a price per unit of energy or volume basis.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the highest available energy density and stable voltage, which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in a longer operating life for the battery and, 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48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665" w:right="2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 for a variety of companies. Additionally, we sell our 9-volt battery to the broader consumer market through national and regional retail chains and Internet retailers.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Although designs exist using other battery configurations, such as three 2/3 A or 1/2 AA-type battery cells, we believe that our 9-volt solution is superior to these alternatives. Our current 9-volt battery manufacturing capacity is adequate to meet forecasted customer demand over the next three years.</w:t>
      </w:r>
    </w:p>
    <w:p>
      <w:pPr>
        <w:spacing w:after="0" w:line="12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i w:val="1"/>
          <w:iCs w:val="1"/>
          <w:color w:val="auto"/>
        </w:rPr>
        <w:t xml:space="preserve">Cylindrical Batteries. </w:t>
      </w:r>
      <w:r>
        <w:rPr>
          <w:rFonts w:ascii="Arial" w:cs="Arial" w:eastAsia="Arial" w:hAnsi="Arial"/>
          <w:sz w:val="16"/>
          <w:szCs w:val="16"/>
          <w:color w:val="auto"/>
        </w:rPr>
        <w:t>Featuring high energy, wide temperature range, long shelf life and operating life, our cylindrical cells and batteries, based on both</w:t>
      </w:r>
      <w:r>
        <w:rPr>
          <w:rFonts w:ascii="Arial" w:cs="Arial" w:eastAsia="Arial" w:hAnsi="Arial"/>
          <w:sz w:val="16"/>
          <w:szCs w:val="16"/>
          <w:i w:val="1"/>
          <w:iCs w:val="1"/>
          <w:color w:val="auto"/>
        </w:rPr>
        <w:t xml:space="preserve"> </w:t>
      </w:r>
      <w:r>
        <w:rPr>
          <w:rFonts w:ascii="Arial" w:cs="Arial" w:eastAsia="Arial" w:hAnsi="Arial"/>
          <w:sz w:val="16"/>
          <w:szCs w:val="16"/>
          <w:color w:val="auto"/>
        </w:rPr>
        <w:t>lithium manganese dioxide, lithium manganese dioxide carbon monoflouride hybris and lithium thionyl chloride technologies, represent some of the most advanced lithium power sources currently available. We market a wide range of cylindrical non-rechargeable lithium cells and batteries in various sizes under</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both the Ultralife HiRate and ABLE brands. These include: D, C, 5/4 C, 1/2 AA, 2/3 A and other sizes, which are sold individually as well as packaged into multi-cell battery packs, including our leading BA-5390 military battery, an alternative to the competing Li-SO</w:t>
      </w:r>
      <w:r>
        <w:rPr>
          <w:rFonts w:ascii="Arial" w:cs="Arial" w:eastAsia="Arial" w:hAnsi="Arial"/>
          <w:sz w:val="30"/>
          <w:szCs w:val="30"/>
          <w:color w:val="auto"/>
          <w:vertAlign w:val="subscript"/>
        </w:rPr>
        <w:t>2</w:t>
      </w:r>
      <w:r>
        <w:rPr>
          <w:rFonts w:ascii="Arial" w:cs="Arial" w:eastAsia="Arial" w:hAnsi="Arial"/>
          <w:sz w:val="18"/>
          <w:szCs w:val="18"/>
          <w:color w:val="auto"/>
        </w:rPr>
        <w:t xml:space="preserve"> BA-5590 battery, and one of the most widely used battery types in the U.S. armed forces for portable applications. Our BA-5390 battery provides 50% to 100% more energy (mission time) than the BA-5590, and it is used in approximately 60 military applications. With the recent introduction of our lithium carbon mono-fluoride hybrid chemistry, we now offer a D-cell that has 100% more energy than the competing Li-SO</w:t>
      </w:r>
      <w:r>
        <w:rPr>
          <w:rFonts w:ascii="Arial" w:cs="Arial" w:eastAsia="Arial" w:hAnsi="Arial"/>
          <w:sz w:val="30"/>
          <w:szCs w:val="30"/>
          <w:color w:val="auto"/>
          <w:vertAlign w:val="subscript"/>
        </w:rPr>
        <w:t>2</w:t>
      </w:r>
      <w:r>
        <w:rPr>
          <w:rFonts w:ascii="Arial" w:cs="Arial" w:eastAsia="Arial" w:hAnsi="Arial"/>
          <w:sz w:val="18"/>
          <w:szCs w:val="18"/>
          <w:color w:val="auto"/>
        </w:rPr>
        <w:t xml:space="preserve"> D-cell. This chemistry has been expanded into other sizes over the past year, all with class leading energy density.</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market our line of lithium cells and batteries to the OEM market for commercial, defense, medical,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7"/>
          <w:szCs w:val="17"/>
          <w:i w:val="1"/>
          <w:iCs w:val="1"/>
          <w:color w:val="auto"/>
        </w:rPr>
        <w:t xml:space="preserve">Thin Cell Batteries. </w:t>
      </w:r>
      <w:r>
        <w:rPr>
          <w:rFonts w:ascii="Arial" w:cs="Arial" w:eastAsia="Arial" w:hAnsi="Arial"/>
          <w:sz w:val="17"/>
          <w:szCs w:val="17"/>
          <w:color w:val="auto"/>
        </w:rPr>
        <w:t>We manufacture a range of thin lithium manganese dioxide batteries under the Thin Cell</w:t>
      </w:r>
      <w:r>
        <w:rPr>
          <w:rFonts w:ascii="Courier New" w:cs="Courier New" w:eastAsia="Courier New" w:hAnsi="Courier New"/>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brand. Thin Cell batteries are flat,</w:t>
      </w:r>
      <w:r>
        <w:rPr>
          <w:rFonts w:ascii="Arial" w:cs="Arial" w:eastAsia="Arial" w:hAnsi="Arial"/>
          <w:sz w:val="17"/>
          <w:szCs w:val="17"/>
          <w:i w:val="1"/>
          <w:iCs w:val="1"/>
          <w:color w:val="auto"/>
        </w:rPr>
        <w:t xml:space="preserve"> </w:t>
      </w:r>
      <w:r>
        <w:rPr>
          <w:rFonts w:ascii="Arial" w:cs="Arial" w:eastAsia="Arial" w:hAnsi="Arial"/>
          <w:sz w:val="17"/>
          <w:szCs w:val="17"/>
          <w:color w:val="auto"/>
        </w:rPr>
        <w:t>lightweight batteries providing a unique combination of high energy, long shelf life, wide operating temperature range and very low profile. With their thin prismatic form and a high ratio of active materials to packaging, Thin Cell batteries can efficiently fill most battery cavities. We are currently marketing these batteries to OEMs for applications such as displays, wearable medical devices, theft detection systems, and RFID devices.</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contrast to non-rechargeable batteries, after a rechargeable battery is discharged, it can be recharged and reused many times. Generally, discharge and recharge cycles can be repeated hundreds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4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665" w:right="239" w:bottom="1440" w:gutter="0" w:footer="0" w:header="0"/>
        </w:sectPr>
      </w:pPr>
    </w:p>
    <w:bookmarkStart w:id="8" w:name="page9"/>
    <w:bookmarkEnd w:id="8"/>
    <w:p>
      <w:pPr>
        <w:jc w:val="both"/>
        <w:ind w:firstLine="648"/>
        <w:spacing w:after="0" w:line="287"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Lithium Ion Cells and Batteries. </w:t>
      </w:r>
      <w:r>
        <w:rPr>
          <w:rFonts w:ascii="Arial" w:cs="Arial" w:eastAsia="Arial" w:hAnsi="Arial"/>
          <w:sz w:val="17"/>
          <w:szCs w:val="17"/>
          <w:color w:val="auto"/>
        </w:rPr>
        <w:t>We market a variety of lithium ion cells and rechargeable batteries comprising cells manufactured by reputable cell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These products are used in a wide variety of applications including communications, medical and other portable electronic devices.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Battery Charging Systems and Accessories. </w:t>
      </w:r>
      <w:r>
        <w:rPr>
          <w:rFonts w:ascii="Arial" w:cs="Arial" w:eastAsia="Arial" w:hAnsi="Arial"/>
          <w:sz w:val="17"/>
          <w:szCs w:val="17"/>
          <w:color w:val="auto"/>
        </w:rPr>
        <w:t>To provide our customers with complete power system solutions, we offer a wide range of rugged military</w:t>
      </w:r>
      <w:r>
        <w:rPr>
          <w:rFonts w:ascii="Arial" w:cs="Arial" w:eastAsia="Arial" w:hAnsi="Arial"/>
          <w:sz w:val="17"/>
          <w:szCs w:val="17"/>
          <w:i w:val="1"/>
          <w:iCs w:val="1"/>
          <w:color w:val="auto"/>
        </w:rPr>
        <w:t xml:space="preserve"> </w:t>
      </w:r>
      <w:r>
        <w:rPr>
          <w:rFonts w:ascii="Arial" w:cs="Arial" w:eastAsia="Arial" w:hAnsi="Arial"/>
          <w:sz w:val="17"/>
          <w:szCs w:val="17"/>
          <w:color w:val="auto"/>
        </w:rPr>
        <w:t>and commercial battery charging systems and accessories including smart chargers, multi-bay charging systems and a variety of cables.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Multi-Kilowatt Module. </w:t>
      </w:r>
      <w:r>
        <w:rPr>
          <w:rFonts w:ascii="Arial" w:cs="Arial" w:eastAsia="Arial" w:hAnsi="Arial"/>
          <w:sz w:val="17"/>
          <w:szCs w:val="17"/>
          <w:color w:val="auto"/>
        </w:rPr>
        <w:t>Our Multi-Kilowatt Module lithium ion battery system is a large format battery utilizable for energy storage, battery back-up,</w:t>
      </w:r>
      <w:r>
        <w:rPr>
          <w:rFonts w:ascii="Arial" w:cs="Arial" w:eastAsia="Arial" w:hAnsi="Arial"/>
          <w:sz w:val="17"/>
          <w:szCs w:val="17"/>
          <w:i w:val="1"/>
          <w:iCs w:val="1"/>
          <w:color w:val="auto"/>
        </w:rPr>
        <w:t xml:space="preserve"> </w:t>
      </w:r>
      <w:r>
        <w:rPr>
          <w:rFonts w:ascii="Arial" w:cs="Arial" w:eastAsia="Arial" w:hAnsi="Arial"/>
          <w:sz w:val="17"/>
          <w:szCs w:val="17"/>
          <w:color w:val="auto"/>
        </w:rPr>
        <w:t>and remote power applications. This product is a direct replacement of 2.5 kWh and greater lead acid batteries in 24V or 48V applications. It can be connected in multiples to obtain higher-voltages and is capable of over 3,000 cycles while maintaining 80% of its capacity.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advancement of existing products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both government agencies and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We package all systems to meet specific customer needs in rugged enclosures to allow their use in extreme environments.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manpack and handheld tactical transceivers and can be used on mobile or fixed site applications.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 xml:space="preserve">Integrated Systems. </w:t>
      </w:r>
      <w:r>
        <w:rPr>
          <w:rFonts w:ascii="Arial" w:cs="Arial" w:eastAsia="Arial" w:hAnsi="Arial"/>
          <w:sz w:val="16"/>
          <w:szCs w:val="16"/>
          <w:color w:val="auto"/>
        </w:rPr>
        <w:t>Our integrated systems include: SATCOM systems; rugged, deployable case systems; multiband transceiver kits; briefcase power</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dual transceiver cases;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48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665" w:right="239" w:bottom="1440" w:gutter="0" w:footer="0" w:header="0"/>
        </w:sectPr>
      </w:pPr>
    </w:p>
    <w:bookmarkStart w:id="9" w:name="page10"/>
    <w:bookmarkEnd w:id="9"/>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w:t>
      </w:r>
      <w:r>
        <w:rPr>
          <w:rFonts w:ascii="Arial" w:cs="Arial" w:eastAsia="Arial" w:hAnsi="Arial"/>
          <w:sz w:val="18"/>
          <w:szCs w:val="18"/>
          <w:i w:val="1"/>
          <w:iCs w:val="1"/>
          <w:color w:val="auto"/>
        </w:rPr>
        <w:t xml:space="preserve"> </w:t>
      </w:r>
      <w:r>
        <w:rPr>
          <w:rFonts w:ascii="Arial" w:cs="Arial" w:eastAsia="Arial" w:hAnsi="Arial"/>
          <w:sz w:val="18"/>
          <w:szCs w:val="18"/>
          <w:color w:val="auto"/>
        </w:rPr>
        <w:t>Rover power supplies; interoperable power adapters and chargers; portable power systems; tactical combat and AC to DC power supplies, among many others. We can provide power supplies for virtually all tactical communications devices.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Communications and Electronics. </w:t>
      </w:r>
      <w:r>
        <w:rPr>
          <w:rFonts w:ascii="Arial" w:cs="Arial" w:eastAsia="Arial" w:hAnsi="Arial"/>
          <w:sz w:val="18"/>
          <w:szCs w:val="18"/>
          <w:color w:val="auto"/>
        </w:rPr>
        <w:t>Our communications and electronics services include the design, integration, and fielding of portable, 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fixed-site communications systems. Capabilities include engineering, rapid prototyping, and systems integration.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While OEM agreements and contracts contain volume-based pricing based on expected volumes, industry practices dictate that pricing is rarely adjusted retroactively when contract volumes are not achieved. Every effort is made to adjust future prices accordingly, but the ability to adjust prices is generally based on market conditions.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Our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significant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debarment from government contracting or subcontracting for a period of time.</w:t>
      </w:r>
    </w:p>
    <w:p>
      <w:pPr>
        <w:spacing w:after="0" w:line="15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the years ended December 31, 2014 and 2013, we had one major customer, a large defense primary contractor, which comprised 18% and 25% of our revenues, respectively, in each year. There were no other customers that comprised greater than 10% of our total revenues during these years.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2014, sales to U.S. and non-U.S. customers were approximately $39,400 and $ 27,100, respectively. For more information relating to revenues by country for the last two fiscal years and long-lived assets for the last two fiscal years by country of origin, see Note 10 in the Notes to the Consolidated Financial Statements included in Item 8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target sales of our non-rechargeable products to manufacturers of security and safety equipment,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665" w:right="239" w:bottom="1440" w:gutter="0" w:footer="0" w:header="0"/>
        </w:sectPr>
      </w:pPr>
    </w:p>
    <w:bookmarkStart w:id="10" w:name="page11"/>
    <w:bookmarkEnd w:id="10"/>
    <w:p>
      <w:pPr>
        <w:jc w:val="both"/>
        <w:ind w:firstLine="648"/>
        <w:spacing w:after="0" w:line="289" w:lineRule="auto"/>
        <w:rPr>
          <w:sz w:val="20"/>
          <w:szCs w:val="20"/>
          <w:color w:val="auto"/>
        </w:rPr>
      </w:pPr>
      <w:r>
        <w:rPr>
          <w:rFonts w:ascii="Arial" w:cs="Arial" w:eastAsia="Arial" w:hAnsi="Arial"/>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through a number of national retailers. Most military procurements are done directly by the specific government organizations requiring products, based on a competitive bidding process. For those military procurements that are not bid, the procurements are typically subject to an audit of the product’s underlying cost structure and associated profitability. Additionally, we are typically required to successfully meet contractual specifications and to pass various qualification testing for the products under contract by the military. An inability by us to pass these tests for our new products in a timely fashion could have a material adverse effect on future growth prospects. When a government contract is awarded, there is a government procedure that allows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market our products to defense organizations in the U.S. and other countries. These efforts have resulted in us winning significant contracts. In September 2010, we were awarded a production contract by the Defense Logistics Agency for up to five years, with a maximum total potential of $42,100, to provide our BA-5390 non-rechargeable lithium manganese dioxide batteries to the U.S. military. Production deliveries began in the first quarter of 2011. Through December 31, 2014, we have received orders for deliveries under this contract totaling approximately $9,600. This contract is set to expire in 2015.</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target sales of our lithium ion rechargeable batteries and charging systems to OEM customers, as well as distributors and resellers focused on our target markets. We seek design wins with OEMs, and believe that our design capabilities, product characteristics and solution integration will drive OEMs to incorporate our batteries into their product offerings, resulting in revenue growth opportunities for us.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continue to expand our marketing activities as part of our strategic plan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2014 and 2013, our backlog related to Battery &amp; Energy Products was approximately $14,100 and $6,100, respectively. The increase in our backlog related to Battery &amp; Energy Products is primarily due to higher demand for our 9-volt batteries from smoke detector OEMs, orders for our primary batteries from the U.S. Department of Defense, chargers orders from a large defense prime contractor and adoption of our new products in medical and other commercial markets. The majority of the 2014 backlog is related to orders that are expected to ship throughout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organizations in the U.S. and internationally. We market our products to defense organizations and OEMs in the U.S. and internationally.</w:t>
      </w:r>
    </w:p>
    <w:p>
      <w:pPr>
        <w:spacing w:after="0" w:line="3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2014 and 2013, our backlog related to Communications Systems orders was approximately $700 and $200, respectively. The increase in our backlog related to Communications Systems orders is primarily due to new product sales such as the MRC ARU and integrated systems supporting OEMs. The majority of the 2014 backlog was related to orders that are expected to ship throughout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on licenses of technology as well as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hold twenty-four patents in the U.S. and foreign countries. Our patents protect technology that makes automated production more cost-effective and protects important competitive features of our products. However, we do not consider our business to be dependent on patent protection.</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Trademarks are an important aspect of our business. We sell our products under a number of trademarks, which we own or use under license. The following are registered trademarks of ours: Ultralifeâ, Ultralife Thin Cellâ, Ultralife HiRateâ, The New Power GenerationÒ, LithiumPowerÒ, SmartCircuitÒ, We Are PowerÒ, AMTIÒ, ABLEÔ, McDowell Research®, and Max Juice For More Gigs®.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manufacture our products from raw materials and component parts that we purchase. Our manufacturing facilities in Newark, New York are ISO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9001:2008, ISO 14001, and ISO 13485 certified. Our manufacturing facilities in Shenzhen, China are ISO 9001:2008 and ISO 14001 certified.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manufacturing facilities in Virginia Beach, Virginia are ISO 9001:2008 certified.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our future raw material purchases to fluctuate based on our knowledge regarding the timing of customer orders, the related need to build inventory in anticipation of orders and actual shipment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Newark, New York and Shenzhen, China facilities have the capacity to produce cylindrical cells, 9-volt batteries, and thin cells. Capacity, however, is also related to individual operations,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the planned increases will be adequate to meet foreseeable customer demand.</w:t>
      </w:r>
    </w:p>
    <w:p>
      <w:pPr>
        <w:spacing w:after="0" w:line="18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5"/>
          <w:szCs w:val="15"/>
          <w:color w:val="auto"/>
        </w:rPr>
        <w:t>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product,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would not in the future. All other raw materials utilized by us are readily available from many sources.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877" w:right="239" w:bottom="1440" w:gutter="0" w:footer="0" w:header="0"/>
        </w:sectPr>
      </w:pPr>
    </w:p>
    <w:bookmarkStart w:id="12" w:name="page13"/>
    <w:bookmarkEnd w:id="12"/>
    <w:p>
      <w:pPr>
        <w:jc w:val="both"/>
        <w:ind w:firstLine="648"/>
        <w:spacing w:after="0" w:line="342" w:lineRule="auto"/>
        <w:rPr>
          <w:sz w:val="20"/>
          <w:szCs w:val="20"/>
          <w:color w:val="auto"/>
        </w:rPr>
      </w:pPr>
      <w:r>
        <w:rPr>
          <w:rFonts w:ascii="Arial" w:cs="Arial" w:eastAsia="Arial" w:hAnsi="Arial"/>
          <w:sz w:val="16"/>
          <w:szCs w:val="16"/>
          <w:color w:val="auto"/>
        </w:rPr>
        <w:t>We use various utilities to provide heat, light and power to our facilities. As energy costs rise, we continue to seek ways to reduce these costs and will initiate energy-saving projects at times to assist in this effort. It is possible, however, that rising energy costs may have an adverse effect on our financial results.</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that the raw materials and components utilized for our rechargeable batteries are readily available from many sources. Although we believe that alternative sources are available to supply materials that could replace materials we use, any interruption in our supply from any supplier that serves currently as our sole source could delay product shipments and adversely affect our financial performance and relationships with our customers.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$14,718 and $15,489 as of December 31,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i w:val="1"/>
          <w:iCs w:val="1"/>
          <w:color w:val="auto"/>
        </w:rPr>
        <w: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that could replace materials we use, any interruption in our supply from any supplier that serves currently as our sole source could delay product shipments and adversely affect our financial performance and relationships with our customers.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carrying value of our Communications Systems inventory, including raw materials, work in process and finished goods, amounted to approximately $11,368 and $10,564 as of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concentrate significant resources on research and development activities to improve upon our technological capabilities and to design new products for customers’ applications. We conduct our research and development in Newark, New York, Virginia Beach, Virginia, Tallahassee, Florida and Shenzhen, China. During 2014 and 2013, we expended $5,648 and $6,262, respectively, on research and development, including $315 and $403, respectively, on customer sponsored research and development activities, which are included in cost of goods sold. Research and development expense was $5,333 and $5,859 in 2014 and 2013, respectively. We expect that research and development expenditures in the future will be fairly consistent with those in 2014, as we anticipate that new product development initiatives will drive our growth. As in the past, we will continue to make funding decisions for our research and development efforts based upon strategic demand for customer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internally develop non-rechargeable cells and batteries that broaden our product offering to our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internally develop our rechargeable product portfolio, including batteries, battery management systems, cables and charging systems, as our customers’ needs for portable power continue to grow.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U.S. government sponsors research and development programs designed to improve the performance and safety of existing battery systems and to develop new battery systems.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internally develop a variety of communications accessories and systems for the global defense market to meet the ever-changing demands of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the materials utilized in our batteries may pose safety problems if improperly used, stored, or handled. We have designed our batteries to minimize safety hazards both in manufacturing and use.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any such new regulations, however, or if regulations are introduced that limit our or our customers’ ability to transport our products in a cost-effective manner, this could have a material adverse effect on our business, financial condition and results of operations.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European Union’s Restriction of Hazardous Substances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this directive.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European Union’s Battery Directive "on batteries and accumulators and waste batteries and accumulators" (the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Directive applies to all types of batteries except those used to protect European Member States' security, for military purposes, or sent into space. To achieve these objectives, the Directive prohibits the marketing of some batteries containing hazardous substances. It establishes schemes aimed at high level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665" w:right="2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7"/>
          <w:szCs w:val="17"/>
          <w:color w:val="auto"/>
        </w:rPr>
        <w:t>China’s “Management Methods for Controlling Pollution Caused by Electronic Information Products Regulation” (“China RoHS”) provides a two-step, broad regulatory framework including similar hazardous substance restrictions similar to those imposed by the European Union’s RoHS directive, and applies to methods for the control and reduction of pollution and other public hazards to the environment caused during the production, sale, and import of electronic information products (“EIP”) in China affecting a broad range of electronic products and parts.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we believe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National, state and local laws impose various environmental controls on the manufacture, transportation, storage, use and disposal of batteries and of certain chemicals used in the manufacture of batteries. Although we believe that our operations are in substantial compliance with current environmental regulations,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2014 and 2013, we spent approximately $45 and $38, respectively, on environmental controls, including costs to properly dispose of potentially hazardous waste.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 and are described in the Code of Federal Regulations. The Department of State Directorate of Defense Trade Controls interprets and enforces ITAR. Its goal is to safeguard U.S. national security and further U.S. foreign policy objectives.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related EAR are enforced and interpreted by the Bureau of Industry and Security in the Commerce Department. The Department of Defense is also involved in the review and approval process. Physical enforcement of import and export laws at border crossings is performed by Customs and Border Protection, an agency of the Department of Homeland Security.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Products and services developed and manufactured in our foreign locations are subject to the export and import controls of the nation in which the foreign location operates.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we are in substantial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affect on our business through increased costs of compliance or reduction in the international growth prospects available to us.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665" w:right="239" w:bottom="1440" w:gutter="0" w:footer="0" w:header="0"/>
        </w:sectPr>
      </w:pPr>
    </w:p>
    <w:bookmarkStart w:id="15" w:name="page16"/>
    <w:bookmarkEnd w:id="15"/>
    <w:p>
      <w:pPr>
        <w:jc w:val="both"/>
        <w:ind w:firstLine="648"/>
        <w:spacing w:after="0" w:line="264" w:lineRule="auto"/>
        <w:rPr>
          <w:sz w:val="20"/>
          <w:szCs w:val="20"/>
          <w:color w:val="auto"/>
        </w:rPr>
      </w:pPr>
      <w:r>
        <w:rPr>
          <w:rFonts w:ascii="Arial" w:cs="Arial" w:eastAsia="Arial" w:hAnsi="Arial"/>
          <w:sz w:val="18"/>
          <w:szCs w:val="18"/>
          <w:color w:val="auto"/>
        </w:rPr>
        <w:t>Our future estimated costs associated with our compliance with ITAR, EAR, and the foreign export and import controls we are subject to based on our current sales volumes are not significant. However, we continue to evaluate the impact of these regulations, and actual costs could differ from our current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9-volt battery, among other sizes, is designed to conform to the dimensional and electrical standards of the American National Standards Institute.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 of our products are recognized by authorized certification bodies such as Underwriters Laboratories, Intertek and SGS.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aware of any regulatory requirements regarding the disposal of communications products</w:t>
      </w:r>
      <w:r>
        <w:rPr>
          <w:rFonts w:ascii="Arial" w:cs="Arial" w:eastAsia="Arial" w:hAnsi="Arial"/>
          <w:sz w:val="18"/>
          <w:szCs w:val="18"/>
          <w:color w:val="0066FF"/>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first report was filed by the statutory due date of June 2, 2014 for the 2013 calendar year and we continue to implement appropriate measures with our suppliers in order to better ascertain the origin of the conflict minerals in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significant expertise, which we believe would be difficult to reproduce without substantial time and expense in the non-rechargeable battery market.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we employed a total of 594 permanent and temporary employees: 25 in research and development, 488 in production and 81 in sales and administration. None of our employees are represented by a labor union.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665"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a certain key customer.</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years ended December 31, 2014 and 2013, we had one major customer, a large defense primary contractor, which comprised 18% and 25% of our revenues, respectively in each year. There were no other customers that comprised greater than 10% of our total revenues during these years. While we consider our relationship with this prime contractor to be good, the reduction, delay or cancellation of orders from this customer for any reason would reduce our revenue and operating income and could materially and adversely affect our business, operating results and financial condition in other ways.</w:t>
      </w:r>
    </w:p>
    <w:p>
      <w:pPr>
        <w:spacing w:after="0" w:line="3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Reductions in U.S. and foreign military spending could continue to have a material adverse effect on our business, financial condition and results of operations.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 significant portion of our revenues is derived from contracts with the U.S. and foreign militaries or OEMs that supply the U.S. and foreign militaries. In the years ended December 31, 2014 and 2013, approximately $31,200 or 47% and $52,300 or 66%, respectively, of our revenues were comprised of sales made directly or indirectly to the U.S. and foreign militaries.</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While significant gains have been made in commercial markets with our Battery &amp; Energy Products business, we are still highly dependent on sales to U.S. Government customers. The percentage of our net revenue that was derived from sales to U.S. Government customers, including the Department of Defense, whether directly or through prime contractors, was approximately $24,000 or 36% in 2014 and $39,600 or 50% in 2013. Therefore, any significant disruption or deterioration of our relationship with the U.S. Government could still significantly reduce our revenue. Our competitors continuously engage in efforts to expand their business relationships with the U.S. Government and will continue these efforts in the future, and the U.S. Government may choose to use other contractors.</w:t>
      </w:r>
    </w:p>
    <w:p>
      <w:pPr>
        <w:spacing w:after="0" w:line="193"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continued decline in U.S. military expenditures could result in a reduction in the military’s demand for our products, which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decline in demand for products using our batteries or communications systems could reduce demand for our products and/or our products could become obsolete.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47" w:lineRule="exact"/>
        <w:rPr>
          <w:sz w:val="20"/>
          <w:szCs w:val="20"/>
          <w:color w:val="auto"/>
        </w:rPr>
      </w:pPr>
    </w:p>
    <w:p>
      <w:pPr>
        <w:ind w:left="760" w:hanging="10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661" w:right="239" w:bottom="1440" w:gutter="0" w:footer="0" w:header="0"/>
        </w:sectPr>
      </w:pPr>
    </w:p>
    <w:bookmarkStart w:id="17" w:name="page18"/>
    <w:bookmarkEnd w:id="17"/>
    <w:p>
      <w:pPr>
        <w:jc w:val="both"/>
        <w:ind w:firstLine="648"/>
        <w:spacing w:after="0" w:line="291"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are comprised of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commercial applications for our products could be prolonged or could fail.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are involved with developing certain products for new commercial applications, we cannot assure that acceptance of our products will occur due to the highly competitive nature of the business. There are many new product and technology entrants into the marketplace, and we must continually reassess the market segments in which our products can be successful and seek to engage customers in those segments that will adopt our products for use in their products. In addition, these companies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 indefinite-lived intangible assets, and other intangible assets, could negatively impact our results of operations.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goodwill and indefinite-lived intangible assets are subject to an impairment test on an annual basis and are also tested whenever events and circumstances indicate that goodwill and/or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There is a possibility that our goodwill and other intangible assets, particularly in our Communications Systems business, could be impaired should there be a significant change in our internal forecasts and other assumptions we use in our impairment analysis. Future determinations of significant write-offs of goodwill or intangible assets as a result of an impairment test or any accelerated amortization of other intangible assets could have a negative impact, although cashless, on our results of operations and financial condition.</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completed our annual impairment analysis for goodwill and indefinite-lived intangible assets, in accordance with the applicable accounting guidance, and have concluded that we do not have any impairment of goodwill or indefinite-lived intangible assets at December 31, 2014. Our impairment analysis was primarily focused on the goodwill and intangible assets pertaining to our Communications Systems business due to the steep reduction in revenues for that business in 2014. The goodwill and net book value of intangible assets amounts to $18,275 for the segment at December 31, 2014. Our testing took into account the growth in the large opportunity pipeline for Communications Systems products as well as the maturity of the opportunities, and assumed the future award of certain major projects based on our knowledge of the status of these projects and the probability of award at the current time. Until an award is actually consummated and resulting purchase orders are issued, there are no guarantees that the underlying projects will contribute to revenues and operating income to justify the level of goodwill and intangible assets on our balance sheet. Accordingly, we will continue our practice of updating our analysis as warranted on an ongoing basis.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and other civil disturbances that are outside of our control. Any such disruptions could depress our earnings and have other material adverse effects on our business, financial condition and results of operations.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example, during 2014 the landlord for our China facility informed us that the local village government in Shenzhen was exercising its right of eminent domain and that the lease for our facility would not be extended past its expiration in October 2014 due to zoning changes. Accordingly, we developed and executed a plan to find a replacement facility, entered into a five-year lease, negotiated compensation from the local government for our forfeited leasehold improvements and move expenses, refurbished the replacement facility to meet our operational needs and relocated all of our operations and employees to the new facility. While this situation was handled on time, on plan and with no known disruption to our business, there can be no assurances that other situations posing risks to the business will be successfully remediated to the same extent.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operating results may vary significantly from quarter-to-quarter and from year-to-year depending on factors such as the timing and shipment of significant orders, new product introductions,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the changes in revenue. Due to such variances in operating results, we have sometimes failed to meet, and in the future may not meet, market expectations regarding our future operating results.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 These fluctuations, as well as general economic, political, competitive and market conditions, may have a material adverse effect on the market price of our common stock.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Breaches in security and other disruptions, could diminish our ability to generate revenues or contain costs and negatively impact our business in other ways.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face certain security threats, including threats to our information technology infrastructure, attempts to gain access to our proprietary or classified information, and threats to physical security. Our information technology networks and related systems are critical to the operation of our business and essential to our ability to successfully perform day-to-day operations. The risks of a security breach or disruption, particularly through cyber attack or cyber intrusion, including actions taken by computer hackers, foreign governments and cyber terrorists, has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results of operations and liquidity.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publicity of lithium-ion batteries may negatively impact the industries or markets we operate 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unable to predict the impact, severity or duration of negative publicity and how it may impact the industries or markets we serve. Ongoing negative attention being given to lithium ion batteries that are integrated into the power systems of new commercial aircraft and electric motor vehicles may have an impact on the lithium ion battery industry as a whole, regardless of the designed usage of those batteries. The residual effects of such events could have an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the warranties we supply with our products and services.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systems products, we now offer up to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the ability to put in place a succession plan and recruit experienced, competent management is critical to the success of the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loss of top management and key personnel could significantly harm our business, and the ability to put in place a succession plan and recruit experienced, competent management is critical to the success of our business. The continuity of our officers and executive team are vital to the successful implementation of our business model and growth strategy designed to deliver sustainable, consistent profitability. A top management priority has been the development and implementation of a formal succession plan to mitigate the risks associated with the loss of senior executives. There is no guarantee that we will be successful in our efforts to effectively implement our succession plan.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109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i w:val="1"/>
          <w:iCs w:val="1"/>
          <w:color w:val="auto"/>
        </w:rPr>
        <w:t>Any inability to protect our proprietary and intellectual property could allow our competitors and others to produce competing products based on our proprietary and intellectual property.</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patents will be sufficiently broad to protect our technology, (2) that any patents issued to us will not be challenged, invalidated or circumvented, or (3) as to the degree or adequacy of protection any patents or patent applications may or will afford.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of raw materials and components could be disrupted.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involvement with supplying defense products to the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3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i w:val="1"/>
          <w:iCs w:val="1"/>
          <w:color w:val="auto"/>
        </w:rPr>
        <w:t xml:space="preserve">Compliance with government regulations regarding the use of </w:t>
      </w:r>
      <w:r>
        <w:rPr>
          <w:rFonts w:ascii="Arial" w:cs="Arial" w:eastAsia="Arial" w:hAnsi="Arial"/>
          <w:sz w:val="22"/>
          <w:szCs w:val="22"/>
          <w:color w:val="auto"/>
        </w:rPr>
        <w:t>"</w:t>
      </w:r>
      <w:r>
        <w:rPr>
          <w:rFonts w:ascii="Arial" w:cs="Arial" w:eastAsia="Arial" w:hAnsi="Arial"/>
          <w:sz w:val="22"/>
          <w:szCs w:val="22"/>
          <w:i w:val="1"/>
          <w:iCs w:val="1"/>
          <w:color w:val="auto"/>
        </w:rPr>
        <w:t>conflict minerals</w:t>
      </w:r>
      <w:r>
        <w:rPr>
          <w:rFonts w:ascii="Arial" w:cs="Arial" w:eastAsia="Arial" w:hAnsi="Arial"/>
          <w:sz w:val="22"/>
          <w:szCs w:val="22"/>
          <w:color w:val="auto"/>
        </w:rPr>
        <w:t>"</w:t>
      </w:r>
      <w:r>
        <w:rPr>
          <w:rFonts w:ascii="Arial" w:cs="Arial" w:eastAsia="Arial" w:hAnsi="Arial"/>
          <w:sz w:val="22"/>
          <w:szCs w:val="22"/>
          <w:i w:val="1"/>
          <w:iCs w:val="1"/>
          <w:color w:val="auto"/>
        </w:rPr>
        <w:t xml:space="preserve"> may result in increased costs and risks to the company.</w:t>
      </w:r>
    </w:p>
    <w:p>
      <w:pPr>
        <w:spacing w:after="0" w:line="18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 xml:space="preserve">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w:t>
      </w:r>
      <w:r>
        <w:rPr>
          <w:rFonts w:ascii="Arial" w:cs="Arial" w:eastAsia="Arial" w:hAnsi="Arial"/>
          <w:sz w:val="17"/>
          <w:szCs w:val="17"/>
          <w:color w:val="252525"/>
        </w:rPr>
        <w:t>could incur significant costs related to implementing a process that will</w:t>
      </w:r>
      <w:r>
        <w:rPr>
          <w:rFonts w:ascii="Arial" w:cs="Arial" w:eastAsia="Arial" w:hAnsi="Arial"/>
          <w:sz w:val="17"/>
          <w:szCs w:val="17"/>
          <w:color w:val="auto"/>
        </w:rPr>
        <w:t xml:space="preserve"> </w:t>
      </w:r>
      <w:r>
        <w:rPr>
          <w:rFonts w:ascii="Arial" w:cs="Arial" w:eastAsia="Arial" w:hAnsi="Arial"/>
          <w:sz w:val="17"/>
          <w:szCs w:val="17"/>
          <w:color w:val="252525"/>
        </w:rPr>
        <w:t xml:space="preserve">meet the mandates of the Act. </w:t>
      </w:r>
      <w:r>
        <w:rPr>
          <w:rFonts w:ascii="Arial" w:cs="Arial" w:eastAsia="Arial" w:hAnsi="Arial"/>
          <w:sz w:val="17"/>
          <w:szCs w:val="17"/>
          <w:color w:val="000000"/>
        </w:rPr>
        <w:t>Additionally, customers typically rely on us to provide critical data regarding the parts they purchase, including conflict mineral</w:t>
      </w:r>
      <w:r>
        <w:rPr>
          <w:rFonts w:ascii="Arial" w:cs="Arial" w:eastAsia="Arial" w:hAnsi="Arial"/>
          <w:sz w:val="17"/>
          <w:szCs w:val="17"/>
          <w:color w:val="252525"/>
        </w:rPr>
        <w:t xml:space="preserve"> </w:t>
      </w:r>
      <w:r>
        <w:rPr>
          <w:rFonts w:ascii="Arial" w:cs="Arial" w:eastAsia="Arial" w:hAnsi="Arial"/>
          <w:sz w:val="17"/>
          <w:szCs w:val="17"/>
          <w:color w:val="000000"/>
        </w:rPr>
        <w:t xml:space="preserve">information. Our material sourcing is broad-based and multi-tiered, and we may not be able to easily verify the origins for conflict minerals used in the products we sell. We have many suppliers and each provides conflict mineral information in a different manner, if at all. </w:t>
      </w:r>
      <w:r>
        <w:rPr>
          <w:rFonts w:ascii="Arial" w:cs="Arial" w:eastAsia="Arial" w:hAnsi="Arial"/>
          <w:sz w:val="17"/>
          <w:szCs w:val="17"/>
          <w:color w:val="252525"/>
        </w:rPr>
        <w:t>Accordingly, because the supply</w:t>
      </w:r>
      <w:r>
        <w:rPr>
          <w:rFonts w:ascii="Arial" w:cs="Arial" w:eastAsia="Arial" w:hAnsi="Arial"/>
          <w:sz w:val="17"/>
          <w:szCs w:val="17"/>
          <w:color w:val="000000"/>
        </w:rPr>
        <w:t xml:space="preserve"> </w:t>
      </w:r>
      <w:r>
        <w:rPr>
          <w:rFonts w:ascii="Arial" w:cs="Arial" w:eastAsia="Arial" w:hAnsi="Arial"/>
          <w:sz w:val="17"/>
          <w:szCs w:val="17"/>
          <w:color w:val="252525"/>
        </w:rPr>
        <w:t>chain is complex, we may face reputational challenges if we are unable to sufficiently verify the origins of conflict minerals used in our products</w:t>
      </w:r>
      <w:r>
        <w:rPr>
          <w:rFonts w:ascii="Arial" w:cs="Arial" w:eastAsia="Arial" w:hAnsi="Arial"/>
          <w:sz w:val="17"/>
          <w:szCs w:val="17"/>
          <w:color w:val="000000"/>
        </w:rPr>
        <w:t>.</w:t>
      </w:r>
      <w:r>
        <w:rPr>
          <w:rFonts w:ascii="Arial" w:cs="Arial" w:eastAsia="Arial" w:hAnsi="Arial"/>
          <w:sz w:val="17"/>
          <w:szCs w:val="17"/>
          <w:color w:val="252525"/>
        </w:rPr>
        <w:t xml:space="preserve"> Additionally, customers may demand that the products they purchase be free of conflict minerals. </w:t>
      </w:r>
      <w:r>
        <w:rPr>
          <w:rFonts w:ascii="Arial" w:cs="Arial" w:eastAsia="Arial" w:hAnsi="Arial"/>
          <w:sz w:val="17"/>
          <w:szCs w:val="17"/>
          <w:color w:val="000000"/>
        </w:rPr>
        <w:t>This may limit the number of suppliers that can provide</w:t>
      </w:r>
      <w:r>
        <w:rPr>
          <w:rFonts w:ascii="Arial" w:cs="Arial" w:eastAsia="Arial" w:hAnsi="Arial"/>
          <w:sz w:val="17"/>
          <w:szCs w:val="17"/>
          <w:color w:val="252525"/>
        </w:rPr>
        <w:t xml:space="preserve"> </w:t>
      </w:r>
      <w:r>
        <w:rPr>
          <w:rFonts w:ascii="Arial" w:cs="Arial" w:eastAsia="Arial" w:hAnsi="Arial"/>
          <w:sz w:val="17"/>
          <w:szCs w:val="17"/>
          <w:color w:val="000000"/>
        </w:rPr>
        <w:t>products in sufficient quantities to meet customer demand or at competitive prices.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maintain manufacturing operations in North America and Asia, and we export products to various countries. We purchase materials and sell our products in foreign currencies, and therefore currency fluctuations may impact our pricing of products sold and materials purchased. An increasing percentage of our business is with customers outside of the U.S. For example, in 2014, 41% our sales were to customers outside of the U.S. as compared to 36% in 2013. The recent strengthening of the U.S. Dollar relative to our customers’ currencies makes our products relatively more expensive to them, and may adversely affect our sales levels and profitability. In addition, our China subsidiary maintains its books in local currency and the translation of the subsidiary financial statements into U.S. dollars for our consolidated financial statements could have an adverse effect on our consolidated financial results due to changes in local currency relative to the U.S. dollar.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customers may not meet the volume expectations in our supply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most of our products and services through supply agreements and contracts. While supply agreements and contracts contain volume-based pricing based on expected volumes, we cannot assure that such adjustments will be made under current industry practices,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operating income and have other material adverse effects on our business, financial condition and results of operation.</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We could be adversely affected by violations of the US Foreign Corrupt Practices Act (“FCPA”), the U.K. Bribery Act or other anti-corruption laws.</w:t>
      </w:r>
    </w:p>
    <w:p>
      <w:pPr>
        <w:spacing w:after="0" w:line="3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Our ability to use our net operating loss carryforwards in the future may be limited, which could increase our tax liabilities and reduce our net income.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December 31, 2014, we had approximately $67 million of U.S. and U.K. net operating loss and credit carryforwards (“NOLs”) available to offset future taxable income. We continually assess the carrying value of this asset based on the relevant accounting standards. As of December 31, 2014, we reflected a full valuation allowance against our deferred tax asset to the extent the asset is not able to be offset by future reversing temporary differences. As we continue to assess the realizability of our deferred tax assets, the amount of the valuation allowance could be reduced. In addition, certain of our NOL carryforwards are subject to U.S. alternative minimum tax such that carryforwards can offset only 90% of alternative minimum taxable income. Achieving our business plan targets, particularly those relating to revenue and profitability, is integral to our assessment regarding the recoverability of our net deferred tax asset.</w:t>
      </w:r>
    </w:p>
    <w:p>
      <w:pPr>
        <w:spacing w:after="0" w:line="3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3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Additionally, in these scenarios we are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when a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of those contracts.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significant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European Union’s Restriction of Hazardous Substances (”RoHS”) directive places restrictions on the use of certain hazardous substances in electrical and electronic equipment. All applicable products sold in the European Union market after July 1, 2006 must comply with RoHS.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665" w:right="239" w:bottom="1440" w:gutter="0" w:footer="0" w:header="0"/>
        </w:sectPr>
      </w:pPr>
    </w:p>
    <w:bookmarkStart w:id="24" w:name="page25"/>
    <w:bookmarkEnd w:id="24"/>
    <w:p>
      <w:pPr>
        <w:jc w:val="both"/>
        <w:ind w:firstLine="693"/>
        <w:spacing w:after="0" w:line="288" w:lineRule="auto"/>
        <w:rPr>
          <w:sz w:val="20"/>
          <w:szCs w:val="20"/>
          <w:color w:val="auto"/>
        </w:rPr>
      </w:pPr>
      <w:r>
        <w:rPr>
          <w:rFonts w:ascii="Arial" w:cs="Arial" w:eastAsia="Arial" w:hAnsi="Arial"/>
          <w:sz w:val="16"/>
          <w:szCs w:val="16"/>
          <w:color w:val="auto"/>
        </w:rPr>
        <w:t>The European Union’s Battery directive "on batteries and accumulators and waste batteries and accumulators"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directive prohibits the marketing of some batteries containing hazardous substances. It establishes schemes aimed at high level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China’s “Management Methods for Controlling Pollution Caused by Electronic Information Products Regulation” (“China RoHS”) provides a two-step, broad regulatory framework, including similar hazardous substance restrictions as are imposed by the European Union’s RoHS Directive, and applies to methods for the control and reduction of pollution and other public hazards to the environment caused during the production, sale, and import of electronic information products (“EIP”) in China affecting a broad range of electronic products and parts.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we believe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number of domestic and international communities are prohibiting the landfill disposal of batteries and requiring companies to make provisions for product recycling. Of particular note are the European Union’s Batteries directive and the New York State Rechargeable Battery Recycling law. We are committed to responsible product stewardship and ongoing compliance with these and future regulations. The compliance costs associated with current recycling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of December 31, 2014, we own two buildings in Newark, New York comprising approximately 250,000 square feet, which serve operations primarily in the Battery &amp; Energy Products operating segment. Our corporate headquarters are located in our Newark, New York facility. We also lease approximately 97,000 square feet in two buildings on one campus in Shenzhen, China, which serve operations in the Battery &amp; Energy Products operating segment. The Shenzhen, China campus location includes a dormitory facility. See Note 2 to our Consolidated Financial Statements in Item 8 of this Annual Report on Form 10-K for further discussion on the status of our China facility. We lease approximately 32,500 square feet in a facility based in Virginia Beach, Virginia, which serve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w:t>
      </w:r>
    </w:p>
    <w:p>
      <w:pPr>
        <w:spacing w:after="0" w:line="3" w:lineRule="exact"/>
        <w:rPr>
          <w:sz w:val="20"/>
          <w:szCs w:val="20"/>
          <w:color w:val="auto"/>
        </w:rPr>
      </w:pPr>
    </w:p>
    <w:p>
      <w:pPr>
        <w:jc w:val="both"/>
        <w:ind w:firstLine="8"/>
        <w:spacing w:after="0" w:line="254" w:lineRule="auto"/>
        <w:tabs>
          <w:tab w:leader="none" w:pos="186"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Products are conducted at our Newark, New York and Shenzhen, China facilities, while our research and development efforts for our Communications Systems products are conducted in Tallahassee, Florida and at our facility in Virginia Beach, Virginia. On occasion, we rent additional warehouse space to store inventory and non-operational equipment. We believe that our facilities are adequate and suitable for our current needs. However, we may require additional manufacturing and administrative space if demand for our products and services grows.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729"/>
        <w:spacing w:after="0" w:line="288" w:lineRule="auto"/>
        <w:rPr>
          <w:sz w:val="20"/>
          <w:szCs w:val="20"/>
          <w:color w:val="auto"/>
        </w:rPr>
      </w:pPr>
      <w:r>
        <w:rPr>
          <w:rFonts w:ascii="Arial" w:cs="Arial" w:eastAsia="Arial" w:hAnsi="Arial"/>
          <w:sz w:val="16"/>
          <w:szCs w:val="16"/>
          <w:color w:val="auto"/>
        </w:rPr>
        <w:t>In September 2011, we initiated an action against Arista Power, Inc. (“Arista”) and our former senior sales and engineering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breached the terms of his Employee Confidentiality, Non-Disclosure, Non-Compete, Non-Disparagement and Assignment Agreement with us; (ii) Modeen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breached a subcontract between Arista and us. We seek damages as determined at trial and preliminary and permanent injunctive relief. The defendants answered the allegations set forth in the Complaint, without asserting any counterclaims.</w:t>
      </w:r>
    </w:p>
    <w:p>
      <w:pPr>
        <w:spacing w:after="0" w:line="169"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We initiated the September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87" w:lineRule="exact"/>
        <w:rPr>
          <w:sz w:val="20"/>
          <w:szCs w:val="20"/>
          <w:color w:val="auto"/>
        </w:rPr>
      </w:pPr>
    </w:p>
    <w:p>
      <w:pPr>
        <w:jc w:val="both"/>
        <w:ind w:firstLine="729"/>
        <w:spacing w:after="0" w:line="279" w:lineRule="auto"/>
        <w:rPr>
          <w:sz w:val="20"/>
          <w:szCs w:val="20"/>
          <w:color w:val="auto"/>
        </w:rPr>
      </w:pPr>
      <w:r>
        <w:rPr>
          <w:rFonts w:ascii="Arial" w:cs="Arial" w:eastAsia="Arial" w:hAnsi="Arial"/>
          <w:sz w:val="17"/>
          <w:szCs w:val="17"/>
          <w:color w:val="auto"/>
        </w:rPr>
        <w:t>In November 2011, Arista initiated a counterclaim against us, our officers, several of our directors, and one of our employees in the State of New York Supreme Court, County of Monroe, alleging that we and the named defendants violated the terms of a Confidentiality Agreement with Arista and unfairly competed against Arista by unlawfully appropriating Arista’s trade secrets and that as a result of such activity, Arista has incurred damages in excess of $60 million. Arista sought damages, an accounting, and preliminary and permanent injunctive relief.</w:t>
      </w:r>
    </w:p>
    <w:p>
      <w:pPr>
        <w:spacing w:after="0" w:line="171"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After various motions and discovery between the parties, amendments to Arista’s Complaint, and pre-trial conferences among the parties and the presiding judge over the time since Arista originally initiated its action, Arista withdrew all its remaining claims against us and our employee on October 31, 2014, and through mutual execution by the parties of a Stipulation of Discontinuance With Prejudice, its case against Ultralife in Monroe County was discontinued.</w:t>
      </w:r>
    </w:p>
    <w:p>
      <w:pPr>
        <w:spacing w:after="0" w:line="187"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Ultralife’s suit against Arista remains in Wayne County, where discovery is ongoing, and we plan to continue to vigorously pursue our complaint against Arista. It is not possible to predict the outcome of this action, whether we will be granted the injunctive relief we seek, nor the monetary amount, if any, which we may be awarded should we prevail.</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109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Ultralife’s common stock is listed on the NASDAQ Global Market under the symbol “ULBI.”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quarterly high and low closing sales prices of our common stock during 2013 and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620" w:type="dxa"/>
            <w:vAlign w:val="bottom"/>
            <w:vMerge w:val="restart"/>
          </w:tcPr>
          <w:p>
            <w:pPr>
              <w:jc w:val="right"/>
              <w:ind w:right="100"/>
              <w:spacing w:after="0"/>
              <w:rPr>
                <w:sz w:val="20"/>
                <w:szCs w:val="20"/>
                <w:color w:val="auto"/>
              </w:rPr>
            </w:pPr>
            <w:r>
              <w:rPr>
                <w:rFonts w:ascii="Arial" w:cs="Arial" w:eastAsia="Arial" w:hAnsi="Arial"/>
                <w:sz w:val="18"/>
                <w:szCs w:val="18"/>
                <w:color w:val="auto"/>
              </w:rPr>
              <w:t>High</w:t>
            </w:r>
          </w:p>
        </w:tc>
        <w:tc>
          <w:tcPr>
            <w:tcW w:w="192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Closing Sales Prices</w:t>
            </w:r>
          </w:p>
        </w:tc>
        <w:tc>
          <w:tcPr>
            <w:tcW w:w="1560" w:type="dxa"/>
            <w:vAlign w:val="bottom"/>
            <w:vMerge w:val="restart"/>
          </w:tcPr>
          <w:p>
            <w:pPr>
              <w:jc w:val="right"/>
              <w:ind w:right="87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30"/>
        </w:trPr>
        <w:tc>
          <w:tcPr>
            <w:tcW w:w="6320" w:type="dxa"/>
            <w:vAlign w:val="bottom"/>
            <w:gridSpan w:val="2"/>
            <w:vMerge w:val="restart"/>
          </w:tcPr>
          <w:p>
            <w:pPr>
              <w:jc w:val="right"/>
              <w:ind w:right="5810"/>
              <w:spacing w:after="0"/>
              <w:rPr>
                <w:sz w:val="20"/>
                <w:szCs w:val="20"/>
                <w:color w:val="auto"/>
              </w:rPr>
            </w:pPr>
            <w:r>
              <w:rPr>
                <w:rFonts w:ascii="Arial" w:cs="Arial" w:eastAsia="Arial" w:hAnsi="Arial"/>
                <w:sz w:val="18"/>
                <w:szCs w:val="18"/>
                <w:color w:val="auto"/>
                <w:w w:val="88"/>
              </w:rPr>
              <w:t>2013:</w:t>
            </w:r>
          </w:p>
        </w:tc>
        <w:tc>
          <w:tcPr>
            <w:tcW w:w="16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Quarter ended March 31, 2013</w:t>
            </w:r>
          </w:p>
        </w:tc>
        <w:tc>
          <w:tcPr>
            <w:tcW w:w="1620" w:type="dxa"/>
            <w:vAlign w:val="bottom"/>
            <w:shd w:val="clear" w:color="auto" w:fill="CCEEFF"/>
          </w:tcPr>
          <w:p>
            <w:pPr>
              <w:jc w:val="right"/>
              <w:ind w:right="14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jc w:val="right"/>
              <w:ind w:right="2770"/>
              <w:spacing w:after="0"/>
              <w:rPr>
                <w:sz w:val="20"/>
                <w:szCs w:val="20"/>
                <w:color w:val="auto"/>
              </w:rPr>
            </w:pPr>
            <w:r>
              <w:rPr>
                <w:rFonts w:ascii="Arial" w:cs="Arial" w:eastAsia="Arial" w:hAnsi="Arial"/>
                <w:sz w:val="18"/>
                <w:szCs w:val="18"/>
                <w:color w:val="auto"/>
              </w:rPr>
              <w:t>Quarter ended June 30, 2013</w:t>
            </w:r>
          </w:p>
        </w:tc>
        <w:tc>
          <w:tcPr>
            <w:tcW w:w="162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Quarter ended September 29, 2013</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jc w:val="right"/>
              <w:ind w:right="2770"/>
              <w:spacing w:after="0"/>
              <w:rPr>
                <w:sz w:val="20"/>
                <w:szCs w:val="20"/>
                <w:color w:val="auto"/>
              </w:rPr>
            </w:pPr>
            <w:r>
              <w:rPr>
                <w:rFonts w:ascii="Arial" w:cs="Arial" w:eastAsia="Arial" w:hAnsi="Arial"/>
                <w:sz w:val="18"/>
                <w:szCs w:val="18"/>
                <w:color w:val="auto"/>
              </w:rPr>
              <w:t>Quarter ended December 31, 2013</w:t>
            </w:r>
          </w:p>
        </w:tc>
        <w:tc>
          <w:tcPr>
            <w:tcW w:w="162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jc w:val="right"/>
              <w:ind w:right="5810"/>
              <w:spacing w:after="0"/>
              <w:rPr>
                <w:sz w:val="20"/>
                <w:szCs w:val="20"/>
                <w:color w:val="auto"/>
              </w:rPr>
            </w:pPr>
            <w:r>
              <w:rPr>
                <w:rFonts w:ascii="Arial" w:cs="Arial" w:eastAsia="Arial" w:hAnsi="Arial"/>
                <w:sz w:val="18"/>
                <w:szCs w:val="18"/>
                <w:color w:val="auto"/>
                <w:w w:val="84"/>
              </w:rPr>
              <w:t>2014:</w:t>
            </w: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Quarter ended March 30, 2014</w:t>
            </w:r>
          </w:p>
        </w:tc>
        <w:tc>
          <w:tcPr>
            <w:tcW w:w="1620" w:type="dxa"/>
            <w:vAlign w:val="bottom"/>
            <w:shd w:val="clear" w:color="auto" w:fill="CCEEFF"/>
          </w:tcPr>
          <w:p>
            <w:pPr>
              <w:jc w:val="right"/>
              <w:ind w:right="14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jc w:val="right"/>
              <w:ind w:right="2770"/>
              <w:spacing w:after="0"/>
              <w:rPr>
                <w:sz w:val="20"/>
                <w:szCs w:val="20"/>
                <w:color w:val="auto"/>
              </w:rPr>
            </w:pPr>
            <w:r>
              <w:rPr>
                <w:rFonts w:ascii="Arial" w:cs="Arial" w:eastAsia="Arial" w:hAnsi="Arial"/>
                <w:sz w:val="18"/>
                <w:szCs w:val="18"/>
                <w:color w:val="auto"/>
              </w:rPr>
              <w:t>Quarter ended June 29, 2014</w:t>
            </w:r>
          </w:p>
        </w:tc>
        <w:tc>
          <w:tcPr>
            <w:tcW w:w="162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Quarter ended September 28, 2014</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jc w:val="right"/>
              <w:ind w:right="2770"/>
              <w:spacing w:after="0"/>
              <w:rPr>
                <w:sz w:val="20"/>
                <w:szCs w:val="20"/>
                <w:color w:val="auto"/>
              </w:rPr>
            </w:pPr>
            <w:r>
              <w:rPr>
                <w:rFonts w:ascii="Arial" w:cs="Arial" w:eastAsia="Arial" w:hAnsi="Arial"/>
                <w:sz w:val="18"/>
                <w:szCs w:val="18"/>
                <w:color w:val="auto"/>
              </w:rPr>
              <w:t>Quarter ended December 31, 2014</w:t>
            </w:r>
          </w:p>
        </w:tc>
        <w:tc>
          <w:tcPr>
            <w:tcW w:w="162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6, 2015, there were approximately 300 registered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28, 2014, the Company’s Board of Directors approved a share repurchase program (the “Share Repurchase Program”) which became effective on May 1, 2014, under which the Company may repurchase up to 1.8 million shares of its outstanding common stock over a period not to exceed twelve months. Share repurchases, if any,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at the Company’s discretion and the Share Repurchase Program may be suspended, terminated or modified by the Company at any time and for any reason. The Share Repurchase Program does not obligate the Company to repurchase any specific number of shares.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2014, we repurchased a total of 227,974 shares of our common stock for an aggregate consideration of $762, of which we repurchased 216,754 shares under the Share Repurchase Program for an aggregate amount of $722.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877" w:right="239" w:bottom="1440" w:gutter="0" w:footer="0" w:header="0"/>
        </w:sectPr>
      </w:pPr>
    </w:p>
    <w:bookmarkStart w:id="27" w:name="page28"/>
    <w:bookmarkEnd w:id="27"/>
    <w:p>
      <w:pPr>
        <w:ind w:left="380"/>
        <w:spacing w:after="0"/>
        <w:rPr>
          <w:sz w:val="20"/>
          <w:szCs w:val="20"/>
          <w:color w:val="auto"/>
        </w:rPr>
      </w:pPr>
      <w:r>
        <w:rPr>
          <w:rFonts w:ascii="Arial" w:cs="Arial" w:eastAsia="Arial" w:hAnsi="Arial"/>
          <w:sz w:val="18"/>
          <w:szCs w:val="18"/>
          <w:color w:val="auto"/>
        </w:rPr>
        <w:t>The following table sets forth information regarding purchases of our 2014 common stock under this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as Part of</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60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Publicly</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60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608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Paid Per Share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Program</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Program</w:t>
            </w:r>
          </w:p>
        </w:tc>
      </w:tr>
      <w:tr>
        <w:trPr>
          <w:trHeight w:val="210"/>
        </w:trPr>
        <w:tc>
          <w:tcPr>
            <w:tcW w:w="60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30"/>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Third quarter total</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160,557</w:t>
            </w:r>
          </w:p>
        </w:tc>
        <w:tc>
          <w:tcPr>
            <w:tcW w:w="5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3.42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160,557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1,639,443</w:t>
            </w:r>
          </w:p>
        </w:tc>
      </w:tr>
      <w:tr>
        <w:trPr>
          <w:trHeight w:val="210"/>
        </w:trPr>
        <w:tc>
          <w:tcPr>
            <w:tcW w:w="6080" w:type="dxa"/>
            <w:vAlign w:val="bottom"/>
          </w:tcPr>
          <w:p>
            <w:pPr>
              <w:ind w:left="100"/>
              <w:spacing w:after="0"/>
              <w:rPr>
                <w:sz w:val="20"/>
                <w:szCs w:val="20"/>
                <w:color w:val="auto"/>
              </w:rPr>
            </w:pPr>
            <w:r>
              <w:rPr>
                <w:rFonts w:ascii="Arial" w:cs="Arial" w:eastAsia="Arial" w:hAnsi="Arial"/>
                <w:sz w:val="18"/>
                <w:szCs w:val="18"/>
                <w:color w:val="auto"/>
              </w:rPr>
              <w:t>September 29 – October 26</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1, 639,443</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October 27 – November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30,247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3.07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1,609,196</w:t>
            </w:r>
          </w:p>
        </w:tc>
      </w:tr>
      <w:tr>
        <w:trPr>
          <w:trHeight w:val="230"/>
        </w:trPr>
        <w:tc>
          <w:tcPr>
            <w:tcW w:w="6080" w:type="dxa"/>
            <w:vAlign w:val="bottom"/>
          </w:tcPr>
          <w:p>
            <w:pPr>
              <w:ind w:left="100"/>
              <w:spacing w:after="0"/>
              <w:rPr>
                <w:sz w:val="20"/>
                <w:szCs w:val="20"/>
                <w:color w:val="auto"/>
              </w:rPr>
            </w:pPr>
            <w:r>
              <w:rPr>
                <w:rFonts w:ascii="Arial" w:cs="Arial" w:eastAsia="Arial" w:hAnsi="Arial"/>
                <w:sz w:val="18"/>
                <w:szCs w:val="18"/>
                <w:color w:val="auto"/>
              </w:rPr>
              <w:t>November 24 – December 31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25,950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3.08</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25,950</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1,583,246</w:t>
            </w:r>
          </w:p>
        </w:tc>
      </w:tr>
      <w:tr>
        <w:trPr>
          <w:trHeight w:val="210"/>
        </w:trPr>
        <w:tc>
          <w:tcPr>
            <w:tcW w:w="6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Fourth quarter 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1"/>
              </w:rPr>
              <w:t>3.08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216,754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1"/>
              </w:rPr>
              <w:t>3.33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1,583,246</w:t>
            </w:r>
          </w:p>
        </w:tc>
        <w:tc>
          <w:tcPr>
            <w:tcW w:w="100" w:type="dxa"/>
            <w:vAlign w:val="bottom"/>
            <w:tcBorders>
              <w:bottom w:val="single" w:sz="8" w:color="CCEEFF"/>
            </w:tcBorders>
          </w:tcPr>
          <w:p>
            <w:pPr>
              <w:spacing w:after="0"/>
              <w:rPr>
                <w:sz w:val="22"/>
                <w:szCs w:val="22"/>
                <w:color w:val="auto"/>
              </w:rPr>
            </w:pPr>
          </w:p>
        </w:tc>
      </w:tr>
      <w:tr>
        <w:trPr>
          <w:trHeight w:val="197"/>
        </w:trPr>
        <w:tc>
          <w:tcPr>
            <w:tcW w:w="6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 Pursuant to our current credit facility, we are precluded from paying any dividends.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10-K.</w:t>
      </w:r>
    </w:p>
    <w:p>
      <w:pPr>
        <w:spacing w:after="0" w:line="170"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665" w:right="239" w:bottom="1440" w:gutter="0" w:footer="0" w:header="0"/>
        </w:sectPr>
      </w:pPr>
    </w:p>
    <w:bookmarkStart w:id="28" w:name="page29"/>
    <w:bookmarkEnd w:id="28"/>
    <w:p>
      <w:pPr>
        <w:jc w:val="both"/>
        <w:ind w:firstLine="648"/>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2012, we elected not to renew the lease for our U.K. manufacturing facility which expired in March 2013, and to relocate our sales and services operations to a smaller facility. We recorded a gain in discontinued operations in 2013 amounting to $241, relating to the difference between estimated costs and the actual amounts paid in relation to our relocation. During 2014, we elected to terminate our lease for our U.K. service office and repair facility which was to have expired in May 2018. The termination of this lease is effective as of January 31, 2015.</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in 2012, we sold 100% of our ownership interest in RedBlack. During 2014 and 2013, we recognized $61 in expense and $128 in income, respectively, in discontinued operations arising from customary post-closing working capital adjustments relating to that sale.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Consolidated revenues decreased by $12,341 or 15.7% to $66,494 for the year ended December 31, 2014 compared to $78,835 for the year ended December 31, 2013. This decrease was primarily caused by declining revenues in our Communications Systems segment in 2014 when compared to 2013, primarily due to lower government and defense purchases of tactical radios negatively impacting sales of our amplifiers. Gross margin increased to 29.1% for the year ended December 31, 2014, as compared to 28.7% for the year ended December 31, 2013, due primarily to increased sales of higher margin commercial products, the launch of higher margin new products and productivity improvements resulting from our “lean” initiatives.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Operating expenses decreased by $2,452 or 10.5% to $20,793 during the year ended December 31, 2014, compared to $23,245 during the year ended December 31, 2013, reflecting the rightsizing of our businesses in line with our revenues. The decreased expense level primarily resulted from more focused spending in our research and development activities and our continued efforts to reduce discretionary general and administrative expenses. Operating expenses as a percentage of revenues increased from 29.5% in 2013 to 31.3% in 2014 due to the impact of lower revenues in the current year.</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 from continuing operations was $2,070, or $0.12 per share, for the year ended December 31, 2014, compared to a net loss from continuing operations of $1,088, or $0.06 per share, for the year ended December 31, 2013. Net loss from discontinued operations, net of tax, was $61, or $0.0 per share, for the year ended December 31, 2014, compared to net income of $128, or $0.01 per share, for the year ended December 31, 2013.</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plus/minus expenses/income that we do not consider reflective of our continuing operations, amounted to $2,644 for the year ended December 31, 2014 compared to $3,874 for the prior period. See the section “Adjusted EBITDA” beginning on page 29 for a reconciliation of Adjusted EBITDA to net loss attributable to Ultralife.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665"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Having brought 2014 to a close on a strong note, we believe that the elements of our long-term strategic and operational plans are coalescing, and we are heading in the right direction to generate organic top-line growth and profitability in 2015.</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a result of careful working capital management and cash generated from operations, our liquidity remains solid with total cash of $17,866, a $1,377 improvement over the cash position of $16,489 as of December 31, 2013. We had no debt as of December 31, 2014 or December 31,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w w:val="89"/>
              </w:rPr>
              <w:t>Year Ended December 31, 2014 Compared With the Year Ended December 31, 2013:</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64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(Decrease)</w:t>
            </w: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Battery &amp; Energy Products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56,772</w:t>
            </w:r>
          </w:p>
        </w:tc>
        <w:tc>
          <w:tcPr>
            <w:tcW w:w="4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57,077</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Communications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21,758</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(12,036)</w:t>
            </w:r>
          </w:p>
        </w:tc>
      </w:tr>
      <w:tr>
        <w:trPr>
          <w:trHeight w:val="210"/>
        </w:trPr>
        <w:tc>
          <w:tcPr>
            <w:tcW w:w="6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Battery &amp; Energy Products</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42,739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Communications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13,475</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(7,587)</w:t>
            </w:r>
          </w:p>
        </w:tc>
      </w:tr>
      <w:tr>
        <w:trPr>
          <w:trHeight w:val="210"/>
        </w:trPr>
        <w:tc>
          <w:tcPr>
            <w:tcW w:w="6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56,214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Battery &amp; Energy Products</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15,516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14,338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Communications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8,283</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10"/>
        </w:trPr>
        <w:tc>
          <w:tcPr>
            <w:tcW w:w="6400" w:type="dxa"/>
            <w:vAlign w:val="bottom"/>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20,793</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23,245</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(2,452)</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Loss from continuing operations before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attributable to Ultralife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64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Net loss attributable to Ultralife common shares – basic:</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0"/>
        </w:trPr>
        <w:tc>
          <w:tcPr>
            <w:tcW w:w="64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revenues for the year ended December 31, 2014 amounted to $66,494, a decrease of $12,341, or 15.7% from the $78,835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2013.</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Battery &amp; Energy Products revenues decreased $305, or .5%, to $56,772 for the year ended December 31, 2014 from the $57,077 reported for the year ended December 31, 2013. Commercial sales increased $8,602 or 32.3% to $35,232 for 2014 versus $26,630 for 2013 due primarily to increased sales of batteries for medical devices and medical carts, and sales of our multi-kilowatt module power systems. This increase was offset by lower sales to government and defense customers which declined $8,907 or 29.3% to $21,540 in 2014 from $30,447 in 2013 due to the continued slowdown in U.S. government and defense order rate for rechargeable and non-rechargeable batteries and charger systems.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Communications Systems revenues decreased $12,036, or 55.3%, from $21,758 for the year ended December 31, 2013 to $9,722 for the year ended December 31, 2014. The year-over-year decline primarily reflects continued slowness in the daily order flow of amplifiers for U.S. Department of Defense tactical radios and the 2013 shipment of amplifiers in the amount of $3,200 to a large international prime contractor to complete a large order under a soldier modernization program of an international allied military.</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Cost of Products Sold. </w:t>
      </w:r>
      <w:r>
        <w:rPr>
          <w:rFonts w:ascii="Arial" w:cs="Arial" w:eastAsia="Arial" w:hAnsi="Arial"/>
          <w:sz w:val="16"/>
          <w:szCs w:val="16"/>
          <w:color w:val="auto"/>
        </w:rPr>
        <w:t>Cost of products sold decreased $9,070 or 16.1%, from $56,214 for the year ended December 31, 2013 to $47,144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2014. Consolidated cost of products sold as a percentage of total revenue decreased slightly from 71.3% for the year ended December 31, 2013 to 70.9% for the year ended December 31, 2014. Correspondingly, consolidated gross margin was 29.1% for the year ended December 31, 2014, compared with a gross margin of 28.7% for the year ended December 31, 2013. The improvement in gross margin reflects the increases sales of higher margin commercial products, higher mix of new products and higher production volumes leading to Lean productivity gains and overhead leverage.</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our Battery &amp; Energy Products segment, the cost of products sold decreased $1,483, from $42,739 for the year ended December 31, 2013 to $41,256 for the year ended December 31, 2014. Battery &amp; Energy Products gross margin for 2014 was $15,516 or 27.3%, an increase of $1,483 from 2013’s gross margin of $14,338, or 25.1%. Battery &amp; Energy Products’ gross margin increased by 220 basis points for the twelve-month period ended December 31, 2014, primarily as a result of a more favorable product mix and favorable absorption of overhead costs resulting from that mix.</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Communications Systems segment, the cost of products sold decreased $7,587 from $13,475 for the year ended December 31, 2013 to $5,888 for the year ended December 31, 2014. Communications Systems gross margin for 2014 was $3,834, or 39.4%, a decrease of $4,449 from 2013’s gross margin of $8,283, or 38.1%. The 130 basis point increase in gross margin year-over-year is due to more favorable product mix toward higher margin new products.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decreased by $2,452, or 10.5%, from $23,245 for the year ended December 31, 2013 to $20,793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year, reflecting more focused spending in our research and development activities, actions to reduce discretionary general and administrative expenses, and reduced sales commissions. Overall, operating expenses as a percentage of revenues increased to 31.3% in 2014 from 29.5% reported for the prior year, due to the impact of lower revenues in 2014. Amortization expense associated with intangible assets related to our acquisitions was $305 for 2014 ($129 in selling, general and administrative expenses and $176 in research and development costs), compared with $402 for 2013 ($179 in selling, general, and administrative expenses and $223 in research and development costs). Research and development costs were $5,333 in 2014, a decrease of $526 or 9.0%, from the $5,859 reported in 2013. Selling, general, and administrative expenses decreased $1,926, or 11.1%, to $15,460 for the year ended December 31, 2014 from $17,386 for the year ended December 31, 2013, reflecting on-going actions to reduce discretionary general and administrative expenses and a reduction in sales commissions from the prior year period.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totaled ($359) for the year ended December 31, 2014, compared to ($225)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Interest expense, net of interest income, increased $6 from $199 during 2013 to $205 during 2014, as a result of lower interest income offset partially by a reduction in the unused line fee associated with our new Credit Facility with PNC, as herein defined. Miscellaneous expense amounted to $154 for 2014 as compared to $26 in 2013 primarily due to transactions impacted by changes in foreign currencies relative to the strengthening of the U.S. dollar.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recorded a tax provision of $268 for the year ended December 31, 2014 compared with a tax provision of $239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2013. The expense is primarily due to (a) the income reported for our China operations during the periods, and (b) the recognition of deferred tax liabilities generated from the amortization of goodwill and certain intangible assets for tax purposes that cannot be predicted to reverse for book purposes during our loss carryforward periods. The year-over-year increase is attributable primarily to higher income in our Chinese subsidiary. The effective consolidated tax rate for the years ended December 31, 2014 and 2013 was: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665"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8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10"/>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before Income Taxes (a)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16"/>
        </w:trPr>
        <w:tc>
          <w:tcPr>
            <w:tcW w:w="816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3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239</w:t>
            </w:r>
          </w:p>
        </w:tc>
      </w:tr>
      <w:tr>
        <w:trPr>
          <w:trHeight w:val="216"/>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Effective rate (b) / (a)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2014 and 2013, in the U.S. and the U.K., we continue to report a valuation allowance for our deferred tax assets that cannot be offset by reversing temporary differences. This results from the conclusion that, based on past history, it is more likely than not that we would not utilize our U.S. and U.K.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have a full valuation allowance against our net deferred tax assets. (See Notes 1 and 8 in the Notes to Consolidated Financial Statements for additional information.)</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certain of our NOL carryforwards are subject to U.S. alternative minimum tax such that carryforwards can offset only 90% of alternative minimum taxable income. This limitation did not have an impact on income taxes determined for 2014 and 2013. The use of our U.K. NOL carryforwards may be limited due to the change in the U.K. operation during 2008 from a manufacturing and assembly center to primarily a distribution and service center.</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 Loss from discontinued operations, net of tax, totaled $61 for the year ended December 31, 2014, compared to a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$128 in the same period of 2013. The 2014 loss result from our final adjustments relating to the sale of RedBlack. The 2013 income is primarily due to lower than anticipated restoration costs related to our decision to not renew the U.K. facility lease in 2012, offset by working capital adjustments related to the sale of the RedBlack operations. Discontinued operations for 2013 included the discontinued operations of our U.K. and RedBlack entities. For more information, see Note 2 to the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Net Loss Attributable to Ultralife</w:t>
      </w:r>
      <w:r>
        <w:rPr>
          <w:rFonts w:ascii="Arial" w:cs="Arial" w:eastAsia="Arial" w:hAnsi="Arial"/>
          <w:sz w:val="18"/>
          <w:szCs w:val="18"/>
          <w:color w:val="auto"/>
        </w:rPr>
        <w:t>. Net loss attributable to Ultralife and net loss attributable to Ultralife common shareholders per share were $2,116</w:t>
      </w:r>
      <w:r>
        <w:rPr>
          <w:rFonts w:ascii="Arial" w:cs="Arial" w:eastAsia="Arial" w:hAnsi="Arial"/>
          <w:sz w:val="18"/>
          <w:szCs w:val="18"/>
          <w:i w:val="1"/>
          <w:iCs w:val="1"/>
          <w:color w:val="auto"/>
        </w:rPr>
        <w:t xml:space="preserve"> </w:t>
      </w:r>
      <w:r>
        <w:rPr>
          <w:rFonts w:ascii="Arial" w:cs="Arial" w:eastAsia="Arial" w:hAnsi="Arial"/>
          <w:sz w:val="18"/>
          <w:szCs w:val="18"/>
          <w:color w:val="auto"/>
        </w:rPr>
        <w:t>and $0.12, respectively, for the year ended December 31, 2014, compared to net loss attributable to Ultralife and net loss attributable to Ultralife common shareholders per share of $926 and $0.05, respectively, for the year ended December 31, 2013, primarily as a result of the reasons described above. Weighted average common shares outstanding used to compute earnings per share increased from 17,465,000 in 2013 to 17,475,000 in 2014, mainly due to stock option exercises and shares of common stock issued to our non-employee directors, offset partially by the effect of our stock repurchase program (see Note 7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661" w:right="239" w:bottom="1440" w:gutter="0" w:footer="0" w:header="0"/>
        </w:sectPr>
      </w:pPr>
    </w:p>
    <w:bookmarkStart w:id="32" w:name="page33"/>
    <w:bookmarkEnd w:id="32"/>
    <w:p>
      <w:pPr>
        <w:ind w:right="20" w:firstLine="483"/>
        <w:spacing w:after="0" w:line="289"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8" w:lineRule="exact"/>
        <w:rPr>
          <w:sz w:val="20"/>
          <w:szCs w:val="20"/>
          <w:color w:val="auto"/>
        </w:rPr>
      </w:pPr>
    </w:p>
    <w:p>
      <w:pPr>
        <w:jc w:val="both"/>
        <w:ind w:left="1080" w:hanging="316"/>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81" w:lineRule="exact"/>
        <w:rPr>
          <w:rFonts w:ascii="Arial" w:cs="Arial" w:eastAsia="Arial" w:hAnsi="Arial"/>
          <w:sz w:val="18"/>
          <w:szCs w:val="18"/>
          <w:color w:val="auto"/>
        </w:rPr>
      </w:pPr>
    </w:p>
    <w:p>
      <w:pPr>
        <w:jc w:val="both"/>
        <w:ind w:left="1080" w:hanging="316"/>
        <w:spacing w:after="0" w:line="26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exiting from certain of our U.K. operations that were not transferred to our facilities in Newark, NY and divesting of our RedBlack Communications business; and</w:t>
      </w:r>
    </w:p>
    <w:p>
      <w:pPr>
        <w:spacing w:after="0" w:line="181"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66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9"/>
              </w:rPr>
              <w:t>Years ended December 31,</w:t>
            </w: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 to Ultralife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(926)</w:t>
            </w: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loss on disposal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Add (subtract):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(gain) from discontinued operations, net of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23"/>
        </w:trPr>
        <w:tc>
          <w:tcPr>
            <w:tcW w:w="8240" w:type="dxa"/>
            <w:vAlign w:val="bottom"/>
          </w:tcPr>
          <w:p>
            <w:pPr>
              <w:ind w:left="100"/>
              <w:spacing w:after="0"/>
              <w:rPr>
                <w:sz w:val="20"/>
                <w:szCs w:val="20"/>
                <w:color w:val="auto"/>
              </w:rPr>
            </w:pPr>
            <w:r>
              <w:rPr>
                <w:rFonts w:ascii="Arial" w:cs="Arial" w:eastAsia="Arial" w:hAnsi="Arial"/>
                <w:sz w:val="18"/>
                <w:szCs w:val="18"/>
                <w:color w:val="auto"/>
              </w:rPr>
              <w:t>Adjusted EBIDTA</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2014, cash and cash equivalents totaled $17,866, an increase of $1,377 from the beginning of the year. During the year ended December 31, 2014, we generated $3,665 of cash from operating activities as compared to generating $6,897 of cash for the year ended December 31, 2013. In 2014, the cash generated from operating activities was a result of our net loss of $2,131 plus an add-back of $4,486 for non-cash expenses of depreciation, amortization, loss on disposal of equipment and improvements, and stock-based compensation. Working capital changes accounted for $1,029 of the operating cash generation, due mainly to a decrease in accounts receivable, offset by a decline in our accounts payable and other liabilities. In 2013, the cash generated from operating activities was caused by our net loss of $960 plus an add-back of $4,562 for non-cash expenses of depreciation, amortization, and stock-based compensation. Working capital changes accounted for $4,169 of the operating cash generation, due mainly to a decrease in accounts receivable and inventory reductions, offset by a decline in our accounts payable and other liabilities.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used $1,385 in cash for investing activities during 2014 compared with $269 in cash used for investing activities in 2013. In 2014, we spent $1,653 to purchase plant, property, and equipment and $268 of cash became unrestricted. In 2013, we spent $766 to purchase plant, property, and equipment and decreased our restricted cash by $2. Offsetting these outlays was a cash inflow from our divestiture of RedBlack Communications of $499 relating to the settlement of working capital adjustments. The year-over-year increase in capital expenditures was due primarily to leasehold improvements and equipment in our new China facility.</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used $751 in cash for financing activities during 2014, compared to cash provided by financing activities of $12 in 2013. We spent $762 to repurchase treasury stock in 2014, and we received $11 and $12 in 2014 and 2013, respectively, in funds from the issuance of common stock in connection with the exercise of stock options by our employees.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recorded a full reserve for our deferred tax asset during and continued to carry this reserve as of December 31, 2014 and 2013, we continue to have significant U.S. NOLs available to us to utilize as an offset to taxable income. As of December 31, 2014, none of our U.S. NOLs have expired. See Note 8 in our Notes to the Consolidated Financial Statements for additional information.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Inventory turnover for the year ended December 31, 2014 averaged 1.7 turns compared to 1.9 turns for 2013. The decrease in this metric is due mainly to lower sales year over year offset slightly by a reduction in average inventory over that same period.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661"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Our order backlog at December 31, 2014 was approximately $14,800, an increase of approximately $8,500 over the backlog at December 31, 2013, which was $6,300. The increase was due to increased order activity toward the end of 2014, particularly in the government and defense sector. The majority of the backlog was related to orders that are expected to ship throughout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we had made commitments to purchase approximately $402 of production machinery and equipment, which we expect to fund through operating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Commitments</w:t>
      </w:r>
    </w:p>
    <w:p>
      <w:pPr>
        <w:spacing w:after="0" w:line="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Applicable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Applicable</w:t>
            </w:r>
          </w:p>
        </w:tc>
      </w:tr>
      <w:tr>
        <w:trPr>
          <w:trHeight w:val="216"/>
        </w:trPr>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Margin for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Margin for</w:t>
            </w:r>
          </w:p>
        </w:tc>
      </w:tr>
      <w:tr>
        <w:trPr>
          <w:trHeight w:val="216"/>
        </w:trPr>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Alternate Base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LIBOR Rate</w:t>
            </w:r>
          </w:p>
        </w:tc>
      </w:tr>
      <w:tr>
        <w:trPr>
          <w:trHeight w:val="234"/>
        </w:trPr>
        <w:tc>
          <w:tcPr>
            <w:tcW w:w="8160" w:type="dxa"/>
            <w:vAlign w:val="bottom"/>
            <w:gridSpan w:val="2"/>
          </w:tcPr>
          <w:p>
            <w:pPr>
              <w:ind w:left="1860"/>
              <w:spacing w:after="0"/>
              <w:rPr>
                <w:sz w:val="20"/>
                <w:szCs w:val="20"/>
                <w:color w:val="auto"/>
              </w:rPr>
            </w:pPr>
            <w:r>
              <w:rPr>
                <w:rFonts w:ascii="Arial" w:cs="Arial" w:eastAsia="Arial" w:hAnsi="Arial"/>
                <w:sz w:val="18"/>
                <w:szCs w:val="18"/>
                <w:b w:val="1"/>
                <w:bCs w:val="1"/>
                <w:color w:val="auto"/>
              </w:rPr>
              <w:t>Quarterly Average Undrawn Borrowing Availability</w:t>
            </w: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Rate Loans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r>
      <w:tr>
        <w:trPr>
          <w:trHeight w:val="210"/>
        </w:trPr>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Greater than $8,000,000</w:t>
            </w:r>
          </w:p>
        </w:tc>
        <w:tc>
          <w:tcPr>
            <w:tcW w:w="4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$5,000,000 up to $8,000,000</w:t>
            </w: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$5,000,000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must pay a fee on the Credit Facility’s unused availability of 0.375% per annum and customary letter of credit fees in addition to various collateral monitoring and related fees and expenses.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December 31, 2014, we were in compliance with all covenants. The Credit Facility is secured by substantially all our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665" w:right="239" w:bottom="1440" w:gutter="0" w:footer="0" w:header="0"/>
        </w:sectPr>
      </w:pPr>
    </w:p>
    <w:bookmarkStart w:id="35" w:name="page36"/>
    <w:bookmarkEnd w:id="35"/>
    <w:p>
      <w:pPr>
        <w:jc w:val="both"/>
        <w:ind w:firstLine="693"/>
        <w:spacing w:after="0" w:line="312"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2014, we had no amount outstanding under the Credit Facility, an applicable interest rate of 2.17%, approximately $12,628 of borrowing capacity in addition to our unrestricted cash on hand of $17,711, and no outstanding letters of credit related to the Credit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in the Notes to Consolidated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participated in and provided technical assistance in support of an investigation conducted by a downstream customer and regulatory authorities with regard to a 2013 fire that damaged an unoccupied Boeing 787 Dreamliner aircraft parked at London Heathrow Airport. While a final report has not been issued by the regulatory authorities, preliminary findings indicate that the fire was likely caused by circumstances related to the plane’s emergency locator transmitter, manufactured by another company. We will continue to provide support as required to the ongoing investigation.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above discussion and analysis of our financial condition and results of operations are based upon our consolidated financial statements, which have been prepared in accordance with accounting principles generally accepted in the U.S. The preparation of these financial statements requires management to make estimates and assumptions that affect amounts reported therein. The estimates and assumptions that require management’s most difficult, subjective or complex judgments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Product Sales – In general, revenues from the sale of products are recognized when products are shipped. When products are shipped with terms that require transfer of title upon delivery at a customer’s location, revenues are recognized on date of delivery. A provision is made at the time the revenue is recognized for warranty costs expected to be incurred. Customers, including distributors, do not have a general right of return on products shipped.</w:t>
      </w:r>
    </w:p>
    <w:p>
      <w:pPr>
        <w:spacing w:after="0" w:line="15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Technology Contracts – We recognize revenue using the proportional method, measured by the percentage of actual costs incurred to date to the total estimated costs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Deferred Revenue - For each source of revenues, we defer recognition if: i) evidence of an agreement does not exist, ii) delivery or service has not occurred, iii) the selling price is not fixed or determinable, or iv) collectability is not reasonably assured.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Valuation of Inventory:</w:t>
      </w:r>
    </w:p>
    <w:p>
      <w:pPr>
        <w:spacing w:after="0" w:line="23"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Inventories are stated at the lower of cost or market, with cost determined using the first-in, first-out (“FIFO”) method. Our inventory includes raw materials, work in process and finished goods. We record provisions for excess, obsolete or slow moving inventory based on changes in customer demand, technology developments or other economic factors. The factors that contribute to inventory valuation risks are our purchasing practices, material and product obsolescence, accuracy of sales and production forecasts, introduction of new products, product lifecycles, product support and foreign regulations governing hazardous materials (see Item 1A – Risk Factors for further information on foreign regulations). We manage our exposure to inventory valuation risks by maintaining safety stocks, minimum purchase lots, managing product end-of-life issues brought on by aging components or new product introductions, and by utilizing certain inventory minimization strategies such as vendor-managed inventories. We believe that the accounting estimate related to valuation of inventories is a "critical accounting estimate" because it is susceptible to changes from period-to-period due to the requirement for management to make estimates relative to each of the underlying factors ranging from purchasing, to sales, to production, to after-sale support. If actual demand, market conditions or product lifecycles are adversely different from those estimated by management, inventory adjustments to lower market values would result in a reduction to the carrying value of inventory, an increase in inventory write-offs and a decrease to gross margins.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We maintain provisions related to normal warranty claims by customers. We evaluate these reserves quarterly based on actual experience with warranty claims to date and our assessment of additional claims in the future. There is no assurance that future warranty claims will be consistent with past history, and in the event we experience a significant increase in warranty claims, there is no assurance that our reserves would be sufficient.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charge is recognized.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Issues:</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Goodwill and Other Intangible Assets:</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90"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Similarly, the analysis for indefinite-lived intangible assets consists of a review of various qualitative factors to determine if it is more likely than not that the indefinite-lived intangible asset is not impaired. If we conclude that it is more likely than not that we cannot support that the indefinite-lived asset is not impaired, or at our discretion, quantitative impairment steps are performed.</w:t>
      </w:r>
    </w:p>
    <w:p>
      <w:pPr>
        <w:spacing w:after="0" w:line="16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19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We conducted our annual impairment analysis for goodwill and intangible assets with indefinite lives as of December 31, 2014. For 2014, we identified three goodwill reporting units for analysis. We performed a quantitative analysis on all of our reporting units as of December 31, 2014. This testing indicated no impairment.</w:t>
      </w:r>
    </w:p>
    <w:p>
      <w:pPr>
        <w:spacing w:after="0" w:line="20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2014, we identified four trademarks for analysis. We performed an annual quantitative tests on each of these trademarks. No impairment of any trademark tested was indicated. However, due to the narrow margin of passing the testing in 2014, there is potential that the McDowell - Communications Systems trademark may become partially or fully impaired in the future if the projected revenue targets are not met. As of December 31, 2014, the McDowell - Communications Systems trademark had a carrying value of $2,400.</w:t>
      </w:r>
    </w:p>
    <w:p>
      <w:pPr>
        <w:spacing w:after="0" w:line="18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There is a possibility that our goodwill and other intangible assets, particularly in our Communications Systems business, could be impaired should there be a significant change in our internal forecasts and other assumptions we use in our impairment analysis.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We recognize compensation cost relating to share-based payment transactions in our financial statements. The cost is measured at the grant date, based on the fair value of the award, and is recognized as an expense over the employee’s requisite service period (generally the vesting period of the equity award). 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If required, our market based awards are valued using a Monte Carlo simulation.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may be in effect when the differences are expected to reverse.</w:t>
      </w:r>
    </w:p>
    <w:p>
      <w:pPr>
        <w:spacing w:after="0" w:line="21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In 2014 and 2013, in the U.S. and the U.K., we continued to report a valuation allowance for our deferred tax assets that cannot be offset by reversing temporary differences. This results from the conclusion that, based on past history, it is more likely than not that we would not be able to utilize our U.S. and U.K. net operating losses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record a full valuation allowance at December 31, 2014. We currently carry a deferred tax asset in China that we have determined does not require a valuation allowance as we are more likely than not to fully utilize the NOL in China. We continually assess the carrying value of this asset based on relevant accounting standards.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665"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7"/>
          </w:tcPr>
          <w:p>
            <w:pPr>
              <w:ind w:left="340"/>
              <w:spacing w:after="0"/>
              <w:rPr>
                <w:sz w:val="20"/>
                <w:szCs w:val="20"/>
                <w:color w:val="auto"/>
              </w:rPr>
            </w:pPr>
            <w:r>
              <w:rPr>
                <w:rFonts w:ascii="Arial" w:cs="Arial" w:eastAsia="Arial" w:hAnsi="Arial"/>
                <w:sz w:val="18"/>
                <w:szCs w:val="18"/>
                <w:color w:val="auto"/>
              </w:rPr>
              <w:t>The financial statements and schedules listed in Item 15(a)(1) are included in this Report beginning on page 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gridSpan w:val="4"/>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1052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260" w:type="dxa"/>
            <w:vAlign w:val="bottom"/>
            <w:tcBorders>
              <w:top w:val="single" w:sz="8" w:color="auto"/>
            </w:tcBorders>
            <w:gridSpan w:val="2"/>
          </w:tcPr>
          <w:p>
            <w:pPr>
              <w:jc w:val="center"/>
              <w:ind w:left="1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 w:type="dxa"/>
            <w:vAlign w:val="bottom"/>
          </w:tcPr>
          <w:p>
            <w:pPr>
              <w:spacing w:after="0"/>
              <w:rPr>
                <w:sz w:val="24"/>
                <w:szCs w:val="24"/>
                <w:color w:val="auto"/>
              </w:rPr>
            </w:pPr>
          </w:p>
        </w:tc>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640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as of December 31, 2014 and 2013</w:t>
              </w:r>
            </w:hyperlink>
          </w:p>
        </w:tc>
        <w:tc>
          <w:tcPr>
            <w:tcW w:w="260" w:type="dxa"/>
            <w:vAlign w:val="bottom"/>
            <w:gridSpan w:val="2"/>
          </w:tcPr>
          <w:p>
            <w:pPr>
              <w:jc w:val="center"/>
              <w:ind w:left="1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and Comprehensive Loss for the years ended December 31, 2014 and 2013</w:t>
              </w:r>
            </w:hyperlink>
          </w:p>
        </w:tc>
        <w:tc>
          <w:tcPr>
            <w:tcW w:w="260" w:type="dxa"/>
            <w:vAlign w:val="bottom"/>
            <w:gridSpan w:val="2"/>
          </w:tcPr>
          <w:p>
            <w:pPr>
              <w:jc w:val="center"/>
              <w:ind w:left="1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60" w:type="dxa"/>
            <w:vAlign w:val="bottom"/>
            <w:gridSpan w:val="6"/>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Consolidated Statements of Changes in Shareholders' Equity for the years ended December 31, 2014 and 2013</w:t>
              </w:r>
            </w:hyperlink>
          </w:p>
        </w:tc>
        <w:tc>
          <w:tcPr>
            <w:tcW w:w="2040" w:type="dxa"/>
            <w:vAlign w:val="bottom"/>
          </w:tcPr>
          <w:p>
            <w:pPr>
              <w:spacing w:after="0"/>
              <w:rPr>
                <w:sz w:val="24"/>
                <w:szCs w:val="24"/>
                <w:color w:val="auto"/>
              </w:rPr>
            </w:pPr>
          </w:p>
        </w:tc>
        <w:tc>
          <w:tcPr>
            <w:tcW w:w="260" w:type="dxa"/>
            <w:vAlign w:val="bottom"/>
            <w:gridSpan w:val="2"/>
            <w:vMerge w:val="restart"/>
          </w:tcPr>
          <w:p>
            <w:pPr>
              <w:jc w:val="center"/>
              <w:ind w:left="1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Cash Flows for the years ended December 31, 2014 and 2013</w:t>
              </w:r>
            </w:hyperlink>
          </w:p>
        </w:tc>
        <w:tc>
          <w:tcPr>
            <w:tcW w:w="3840" w:type="dxa"/>
            <w:vAlign w:val="bottom"/>
            <w:gridSpan w:val="3"/>
          </w:tcPr>
          <w:p>
            <w:pPr>
              <w:spacing w:after="0"/>
              <w:rPr>
                <w:sz w:val="24"/>
                <w:szCs w:val="24"/>
                <w:color w:val="auto"/>
              </w:rPr>
            </w:pPr>
          </w:p>
        </w:tc>
        <w:tc>
          <w:tcPr>
            <w:tcW w:w="260" w:type="dxa"/>
            <w:vAlign w:val="bottom"/>
            <w:gridSpan w:val="2"/>
          </w:tcPr>
          <w:p>
            <w:pPr>
              <w:jc w:val="center"/>
              <w:ind w:left="1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3840" w:type="dxa"/>
            <w:vAlign w:val="bottom"/>
            <w:gridSpan w:val="3"/>
          </w:tcPr>
          <w:p>
            <w:pPr>
              <w:spacing w:after="0"/>
              <w:rPr>
                <w:sz w:val="24"/>
                <w:szCs w:val="24"/>
                <w:color w:val="auto"/>
              </w:rPr>
            </w:pPr>
          </w:p>
        </w:tc>
        <w:tc>
          <w:tcPr>
            <w:tcW w:w="260" w:type="dxa"/>
            <w:vAlign w:val="bottom"/>
            <w:gridSpan w:val="2"/>
          </w:tcPr>
          <w:p>
            <w:pPr>
              <w:jc w:val="center"/>
              <w:ind w:left="10"/>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0980"/>
          </w:cols>
          <w:pgMar w:left="240" w:top="877" w:right="679" w:bottom="1440" w:gutter="0" w:footer="0" w:header="0"/>
        </w:sectPr>
      </w:pPr>
    </w:p>
    <w:bookmarkStart w:id="40" w:name="page41"/>
    <w:bookmarkEnd w:id="40"/>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Ultralife Corporation and subsidiaries as of December 31, 2014 and 2013, and the related consolidated statements of operations and comprehensive loss, shareholders’ equity, and cash flows for each of the years in the two-year period ended December 31, 2014. Ultralife Corporation’s management is responsible for these financial statements. Our responsibility is to express an opinion on these financial statements based on our audits.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Ultralife Corporation and subsidiaries as of December 31, 2014 and 2013, and the results of its operations and its cash flows for each of the years in the two-year period ended December 31, 2014 in conformity with accounting principles generally accepted in the United States of America.</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Bonadio &amp; Co.,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Pittsford,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144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ind w:right="20"/>
        <w:spacing w:after="0" w:line="226" w:lineRule="auto"/>
        <w:rPr>
          <w:sz w:val="20"/>
          <w:szCs w:val="20"/>
          <w:color w:val="auto"/>
        </w:rPr>
      </w:pPr>
      <w:r>
        <w:rPr>
          <w:rFonts w:ascii="Arial" w:cs="Arial" w:eastAsia="Arial" w:hAnsi="Arial"/>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ASSETS</w:t>
      </w:r>
    </w:p>
    <w:tbl>
      <w:tblPr>
        <w:tblLayout w:type="fixed"/>
        <w:tblInd w:w="0" w:type="dxa"/>
        <w:tblCellMar>
          <w:top w:w="0" w:type="dxa"/>
          <w:left w:w="0" w:type="dxa"/>
          <w:bottom w:w="0" w:type="dxa"/>
          <w:right w:w="0" w:type="dxa"/>
        </w:tblCellMar>
      </w:tblPr>
      <w:tr>
        <w:trPr>
          <w:trHeight w:val="150"/>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5"/>
          </w:tcPr>
          <w:p>
            <w:pPr>
              <w:jc w:val="right"/>
              <w:ind w:right="129"/>
              <w:spacing w:after="0" w:line="150"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8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42"/>
        </w:trPr>
        <w:tc>
          <w:tcPr>
            <w:tcW w:w="8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17,711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gridSpan w:val="2"/>
          </w:tcPr>
          <w:p>
            <w:pPr>
              <w:jc w:val="right"/>
              <w:ind w:right="229"/>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16,066</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220"/>
              <w:spacing w:after="0" w:line="149" w:lineRule="exact"/>
              <w:rPr>
                <w:sz w:val="20"/>
                <w:szCs w:val="20"/>
                <w:color w:val="auto"/>
              </w:rPr>
            </w:pPr>
            <w:r>
              <w:rPr>
                <w:rFonts w:ascii="Arial" w:cs="Arial" w:eastAsia="Arial" w:hAnsi="Arial"/>
                <w:sz w:val="14"/>
                <w:szCs w:val="14"/>
                <w:color w:val="auto"/>
              </w:rPr>
              <w:t>Trade accounts receivable, net of allowance for doubtful accounts of $340 and $288, respectively</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11,295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14,238</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Inventories, net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26,086</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26,053</w:t>
            </w: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1,313</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1,601</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Due from insurance company</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r>
      <w:tr>
        <w:trPr>
          <w:trHeight w:val="162"/>
        </w:trPr>
        <w:tc>
          <w:tcPr>
            <w:tcW w:w="82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4"/>
                <w:szCs w:val="14"/>
                <w:color w:val="auto"/>
              </w:rPr>
            </w:pPr>
          </w:p>
        </w:tc>
      </w:tr>
      <w:tr>
        <w:trPr>
          <w:trHeight w:val="142"/>
        </w:trPr>
        <w:tc>
          <w:tcPr>
            <w:tcW w:w="824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56,850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58,658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Property, equipment and improvements, net</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9,812</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10,202</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16,407</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16,419</w:t>
            </w: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Other intangible assets, net</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4,338</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4,646</w:t>
            </w:r>
          </w:p>
        </w:tc>
        <w:tc>
          <w:tcPr>
            <w:tcW w:w="80" w:type="dxa"/>
            <w:vAlign w:val="bottom"/>
          </w:tcPr>
          <w:p>
            <w:pPr>
              <w:spacing w:after="0"/>
              <w:rPr>
                <w:sz w:val="12"/>
                <w:szCs w:val="12"/>
                <w:color w:val="auto"/>
              </w:rPr>
            </w:pPr>
          </w:p>
        </w:tc>
      </w:tr>
      <w:tr>
        <w:trPr>
          <w:trHeight w:val="162"/>
        </w:trPr>
        <w:tc>
          <w:tcPr>
            <w:tcW w:w="8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Security deposits and other non-current assets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4"/>
                <w:szCs w:val="14"/>
                <w:color w:val="auto"/>
              </w:rPr>
            </w:pPr>
          </w:p>
        </w:tc>
      </w:tr>
      <w:tr>
        <w:trPr>
          <w:trHeight w:val="196"/>
        </w:trPr>
        <w:tc>
          <w:tcPr>
            <w:tcW w:w="8240" w:type="dxa"/>
            <w:vAlign w:val="bottom"/>
            <w:tcBorders>
              <w:bottom w:val="single" w:sz="8" w:color="CCEEFF"/>
            </w:tcBorders>
          </w:tcPr>
          <w:p>
            <w:pPr>
              <w:ind w:left="460"/>
              <w:spacing w:after="0" w:line="155" w:lineRule="exact"/>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87,642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90,194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29"/>
        </w:trPr>
        <w:tc>
          <w:tcPr>
            <w:tcW w:w="8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8240" w:type="dxa"/>
            <w:vAlign w:val="bottom"/>
          </w:tcPr>
          <w:p>
            <w:pPr>
              <w:ind w:left="42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6,996</w:t>
            </w:r>
          </w:p>
        </w:tc>
        <w:tc>
          <w:tcPr>
            <w:tcW w:w="440" w:type="dxa"/>
            <w:vAlign w:val="bottom"/>
          </w:tcPr>
          <w:p>
            <w:pPr>
              <w:spacing w:after="0"/>
              <w:rPr>
                <w:sz w:val="12"/>
                <w:szCs w:val="12"/>
                <w:color w:val="auto"/>
              </w:rPr>
            </w:pPr>
          </w:p>
        </w:tc>
        <w:tc>
          <w:tcPr>
            <w:tcW w:w="360" w:type="dxa"/>
            <w:vAlign w:val="bottom"/>
            <w:gridSpan w:val="2"/>
          </w:tcPr>
          <w:p>
            <w:pPr>
              <w:jc w:val="right"/>
              <w:ind w:right="229"/>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7,053</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1,725</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1,908</w:t>
            </w: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2,960</w:t>
            </w:r>
          </w:p>
        </w:tc>
        <w:tc>
          <w:tcPr>
            <w:tcW w:w="80" w:type="dxa"/>
            <w:vAlign w:val="bottom"/>
          </w:tcPr>
          <w:p>
            <w:pPr>
              <w:spacing w:after="0"/>
              <w:rPr>
                <w:sz w:val="12"/>
                <w:szCs w:val="12"/>
                <w:color w:val="auto"/>
              </w:rPr>
            </w:pPr>
          </w:p>
        </w:tc>
      </w:tr>
      <w:tr>
        <w:trPr>
          <w:trHeight w:val="162"/>
        </w:trPr>
        <w:tc>
          <w:tcPr>
            <w:tcW w:w="8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4"/>
                <w:szCs w:val="14"/>
                <w:color w:val="auto"/>
              </w:rPr>
            </w:pPr>
          </w:p>
        </w:tc>
      </w:tr>
      <w:tr>
        <w:trPr>
          <w:trHeight w:val="162"/>
        </w:trPr>
        <w:tc>
          <w:tcPr>
            <w:tcW w:w="82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r>
      <w:tr>
        <w:trPr>
          <w:trHeight w:val="142"/>
        </w:trPr>
        <w:tc>
          <w:tcPr>
            <w:tcW w:w="8240" w:type="dxa"/>
            <w:vAlign w:val="bottom"/>
            <w:tcBorders>
              <w:top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11,211</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12,024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4,462</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4,242</w:t>
            </w:r>
          </w:p>
        </w:tc>
        <w:tc>
          <w:tcPr>
            <w:tcW w:w="80" w:type="dxa"/>
            <w:vAlign w:val="bottom"/>
          </w:tcPr>
          <w:p>
            <w:pPr>
              <w:spacing w:after="0"/>
              <w:rPr>
                <w:sz w:val="12"/>
                <w:szCs w:val="12"/>
                <w:color w:val="auto"/>
              </w:rPr>
            </w:pPr>
          </w:p>
        </w:tc>
      </w:tr>
      <w:tr>
        <w:trPr>
          <w:trHeight w:val="162"/>
        </w:trPr>
        <w:tc>
          <w:tcPr>
            <w:tcW w:w="8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liabilities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4"/>
                <w:szCs w:val="14"/>
                <w:color w:val="auto"/>
              </w:rPr>
            </w:pPr>
          </w:p>
        </w:tc>
      </w:tr>
      <w:tr>
        <w:trPr>
          <w:trHeight w:val="142"/>
        </w:trPr>
        <w:tc>
          <w:tcPr>
            <w:tcW w:w="8240" w:type="dxa"/>
            <w:vAlign w:val="bottom"/>
            <w:tcBorders>
              <w:bottom w:val="single" w:sz="8" w:color="CCEEFF"/>
            </w:tcBorders>
          </w:tcPr>
          <w:p>
            <w:pPr>
              <w:ind w:left="500"/>
              <w:spacing w:after="0" w:line="142" w:lineRule="exact"/>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15,729</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16,549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8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Commitments and contingencies (Note 6)</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3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8240" w:type="dxa"/>
            <w:vAlign w:val="bottom"/>
          </w:tcPr>
          <w:p>
            <w:pPr>
              <w:ind w:left="140"/>
              <w:spacing w:after="0" w:line="149" w:lineRule="exact"/>
              <w:rPr>
                <w:sz w:val="20"/>
                <w:szCs w:val="20"/>
                <w:color w:val="auto"/>
              </w:rPr>
            </w:pPr>
            <w:r>
              <w:rPr>
                <w:rFonts w:ascii="Arial" w:cs="Arial" w:eastAsia="Arial" w:hAnsi="Arial"/>
                <w:sz w:val="14"/>
                <w:szCs w:val="14"/>
                <w:color w:val="auto"/>
              </w:rPr>
              <w:t>Common stock – par value $.10 per share; authorized 40,000,000 shares;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issued – 18,941,544 shares and 18,851,579 shares, respectively;</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300"/>
              <w:spacing w:after="0" w:line="149" w:lineRule="exact"/>
              <w:rPr>
                <w:sz w:val="20"/>
                <w:szCs w:val="20"/>
                <w:color w:val="auto"/>
              </w:rPr>
            </w:pPr>
            <w:r>
              <w:rPr>
                <w:rFonts w:ascii="Arial" w:cs="Arial" w:eastAsia="Arial" w:hAnsi="Arial"/>
                <w:sz w:val="14"/>
                <w:szCs w:val="14"/>
                <w:color w:val="auto"/>
              </w:rPr>
              <w:t>outstanding – 17,340,813 shares and 17,478,822 shares, respectively</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1,894</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1,885</w:t>
            </w:r>
          </w:p>
        </w:tc>
        <w:tc>
          <w:tcPr>
            <w:tcW w:w="80" w:type="dxa"/>
            <w:vAlign w:val="bottom"/>
          </w:tcPr>
          <w:p>
            <w:pPr>
              <w:spacing w:after="0"/>
              <w:rPr>
                <w:sz w:val="12"/>
                <w:szCs w:val="12"/>
                <w:color w:val="auto"/>
              </w:rPr>
            </w:pPr>
          </w:p>
        </w:tc>
      </w:tr>
      <w:tr>
        <w:trPr>
          <w:trHeight w:val="149"/>
        </w:trPr>
        <w:tc>
          <w:tcPr>
            <w:tcW w:w="8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Capital in excess of par value</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175,940</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174,935</w:t>
            </w:r>
          </w:p>
        </w:tc>
        <w:tc>
          <w:tcPr>
            <w:tcW w:w="80" w:type="dxa"/>
            <w:vAlign w:val="bottom"/>
            <w:shd w:val="clear" w:color="auto" w:fill="CCEEFF"/>
          </w:tcPr>
          <w:p>
            <w:pPr>
              <w:spacing w:after="0"/>
              <w:rPr>
                <w:sz w:val="12"/>
                <w:szCs w:val="12"/>
                <w:color w:val="auto"/>
              </w:rPr>
            </w:pPr>
          </w:p>
        </w:tc>
      </w:tr>
      <w:tr>
        <w:trPr>
          <w:trHeight w:val="149"/>
        </w:trPr>
        <w:tc>
          <w:tcPr>
            <w:tcW w:w="8240" w:type="dxa"/>
            <w:vAlign w:val="bottom"/>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(96,920)</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(94,804)</w:t>
            </w:r>
          </w:p>
        </w:tc>
      </w:tr>
      <w:tr>
        <w:trPr>
          <w:trHeight w:val="149"/>
        </w:trPr>
        <w:tc>
          <w:tcPr>
            <w:tcW w:w="8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(467)</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(614)</w:t>
            </w:r>
          </w:p>
        </w:tc>
      </w:tr>
      <w:tr>
        <w:trPr>
          <w:trHeight w:val="149"/>
        </w:trPr>
        <w:tc>
          <w:tcPr>
            <w:tcW w:w="8240" w:type="dxa"/>
            <w:vAlign w:val="bottom"/>
          </w:tcPr>
          <w:p>
            <w:pPr>
              <w:ind w:left="140"/>
              <w:spacing w:after="0" w:line="149" w:lineRule="exact"/>
              <w:rPr>
                <w:sz w:val="20"/>
                <w:szCs w:val="20"/>
                <w:color w:val="auto"/>
              </w:rPr>
            </w:pPr>
            <w:r>
              <w:rPr>
                <w:rFonts w:ascii="Arial" w:cs="Arial" w:eastAsia="Arial" w:hAnsi="Arial"/>
                <w:sz w:val="14"/>
                <w:szCs w:val="14"/>
                <w:color w:val="auto"/>
              </w:rPr>
              <w:t>Treasury stock - at cost; 1,600,731 shares and 1,372,757 shares at December 31, 2014</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8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and 2013, respectively</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(8,420)</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(7,658)</w:t>
            </w:r>
          </w:p>
        </w:tc>
      </w:tr>
      <w:tr>
        <w:trPr>
          <w:trHeight w:val="142"/>
        </w:trPr>
        <w:tc>
          <w:tcPr>
            <w:tcW w:w="8240" w:type="dxa"/>
            <w:vAlign w:val="bottom"/>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72,027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73,744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8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Noncontrolling interest</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(99)</w:t>
            </w:r>
          </w:p>
        </w:tc>
      </w:tr>
      <w:tr>
        <w:trPr>
          <w:trHeight w:val="142"/>
        </w:trPr>
        <w:tc>
          <w:tcPr>
            <w:tcW w:w="8240" w:type="dxa"/>
            <w:vAlign w:val="bottom"/>
            <w:tcBorders>
              <w:bottom w:val="single" w:sz="8" w:color="CCEEFF"/>
            </w:tcBorders>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71,913</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73,645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8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6"/>
        </w:trPr>
        <w:tc>
          <w:tcPr>
            <w:tcW w:w="8240" w:type="dxa"/>
            <w:vAlign w:val="bottom"/>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87,642</w:t>
            </w:r>
          </w:p>
        </w:tc>
        <w:tc>
          <w:tcPr>
            <w:tcW w:w="440" w:type="dxa"/>
            <w:vAlign w:val="bottom"/>
          </w:tcPr>
          <w:p>
            <w:pPr>
              <w:spacing w:after="0"/>
              <w:rPr>
                <w:sz w:val="15"/>
                <w:szCs w:val="15"/>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90,194</w:t>
            </w:r>
          </w:p>
        </w:tc>
        <w:tc>
          <w:tcPr>
            <w:tcW w:w="8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900"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4"/>
          <w:szCs w:val="14"/>
          <w:b w:val="1"/>
          <w:bCs w:val="1"/>
          <w:color w:val="auto"/>
        </w:rPr>
        <w:t>ULTRALIFE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12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Years ended December 31,</w:t>
      </w:r>
    </w:p>
    <w:p>
      <w:pPr>
        <w:spacing w:after="0" w:line="17" w:lineRule="exact"/>
        <w:rPr>
          <w:sz w:val="20"/>
          <w:szCs w:val="20"/>
          <w:color w:val="auto"/>
        </w:rPr>
      </w:pPr>
    </w:p>
    <w:p>
      <w:pPr>
        <w:jc w:val="both"/>
        <w:ind w:left="8780"/>
        <w:spacing w:after="0"/>
        <w:tabs>
          <w:tab w:leader="none" w:pos="105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2023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p>
      <w:pPr>
        <w:spacing w:after="0" w:line="13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Revenues</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Cost of products sold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Gross profit</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Operating expenses:</w:t>
      </w:r>
    </w:p>
    <w:p>
      <w:pPr>
        <w:ind w:left="180"/>
        <w:spacing w:after="0" w:line="226" w:lineRule="auto"/>
        <w:rPr>
          <w:sz w:val="20"/>
          <w:szCs w:val="20"/>
          <w:color w:val="auto"/>
        </w:rPr>
      </w:pPr>
      <w:r>
        <w:rPr>
          <w:rFonts w:ascii="Arial" w:cs="Arial" w:eastAsia="Arial" w:hAnsi="Arial"/>
          <w:sz w:val="14"/>
          <w:szCs w:val="14"/>
          <w:color w:val="auto"/>
        </w:rPr>
        <w:t>Research and development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Selling, general and administrative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operating expenses</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Operating loss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(expense) income:</w:t>
      </w:r>
    </w:p>
    <w:p>
      <w:pPr>
        <w:ind w:left="180"/>
        <w:spacing w:after="0" w:line="226" w:lineRule="auto"/>
        <w:rPr>
          <w:sz w:val="20"/>
          <w:szCs w:val="20"/>
          <w:color w:val="auto"/>
        </w:rPr>
      </w:pPr>
      <w:r>
        <w:rPr>
          <w:rFonts w:ascii="Arial" w:cs="Arial" w:eastAsia="Arial" w:hAnsi="Arial"/>
          <w:sz w:val="14"/>
          <w:szCs w:val="14"/>
          <w:color w:val="auto"/>
        </w:rPr>
        <w:t>Interest income</w:t>
      </w:r>
    </w:p>
    <w:p>
      <w:pPr>
        <w:ind w:left="180"/>
        <w:spacing w:after="0" w:line="222" w:lineRule="auto"/>
        <w:rPr>
          <w:sz w:val="20"/>
          <w:szCs w:val="20"/>
          <w:color w:val="auto"/>
        </w:rPr>
      </w:pPr>
      <w:r>
        <w:rPr>
          <w:rFonts w:ascii="Arial" w:cs="Arial" w:eastAsia="Arial" w:hAnsi="Arial"/>
          <w:sz w:val="14"/>
          <w:szCs w:val="14"/>
          <w:color w:val="auto"/>
        </w:rPr>
        <w:t>Interest and financing expense</w:t>
      </w:r>
    </w:p>
    <w:p>
      <w:pPr>
        <w:ind w:left="220"/>
        <w:spacing w:after="0"/>
        <w:rPr>
          <w:sz w:val="20"/>
          <w:szCs w:val="20"/>
          <w:color w:val="auto"/>
        </w:rPr>
      </w:pPr>
      <w:r>
        <w:rPr>
          <w:rFonts w:ascii="Arial" w:cs="Arial" w:eastAsia="Arial" w:hAnsi="Arial"/>
          <w:sz w:val="14"/>
          <w:szCs w:val="14"/>
          <w:color w:val="auto"/>
        </w:rPr>
        <w:t>Miscellaneous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66,494</w:t>
            </w: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78,835</w:t>
            </w:r>
          </w:p>
        </w:tc>
        <w:tc>
          <w:tcPr>
            <w:tcW w:w="40" w:type="dxa"/>
            <w:vAlign w:val="bottom"/>
          </w:tcPr>
          <w:p>
            <w:pPr>
              <w:spacing w:after="0"/>
              <w:rPr>
                <w:sz w:val="14"/>
                <w:szCs w:val="14"/>
                <w:color w:val="auto"/>
              </w:rPr>
            </w:pPr>
          </w:p>
        </w:tc>
      </w:tr>
      <w:tr>
        <w:trPr>
          <w:trHeight w:val="167"/>
        </w:trPr>
        <w:tc>
          <w:tcPr>
            <w:tcW w:w="46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47,144</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56,214</w:t>
            </w:r>
          </w:p>
        </w:tc>
        <w:tc>
          <w:tcPr>
            <w:tcW w:w="40" w:type="dxa"/>
            <w:vAlign w:val="bottom"/>
          </w:tcPr>
          <w:p>
            <w:pPr>
              <w:spacing w:after="0"/>
              <w:rPr>
                <w:sz w:val="14"/>
                <w:szCs w:val="14"/>
                <w:color w:val="auto"/>
              </w:rPr>
            </w:pPr>
          </w:p>
        </w:tc>
      </w:tr>
      <w:tr>
        <w:trPr>
          <w:trHeight w:val="142"/>
        </w:trPr>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19,350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22,621</w:t>
            </w:r>
          </w:p>
        </w:tc>
        <w:tc>
          <w:tcPr>
            <w:tcW w:w="40" w:type="dxa"/>
            <w:vAlign w:val="bottom"/>
          </w:tcPr>
          <w:p>
            <w:pPr>
              <w:spacing w:after="0"/>
              <w:rPr>
                <w:sz w:val="12"/>
                <w:szCs w:val="12"/>
                <w:color w:val="auto"/>
              </w:rPr>
            </w:pPr>
          </w:p>
        </w:tc>
      </w:tr>
      <w:tr>
        <w:trPr>
          <w:trHeight w:val="434"/>
        </w:trPr>
        <w:tc>
          <w:tcPr>
            <w:tcW w:w="46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5,333</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5,859</w:t>
            </w:r>
          </w:p>
        </w:tc>
        <w:tc>
          <w:tcPr>
            <w:tcW w:w="40" w:type="dxa"/>
            <w:vAlign w:val="bottom"/>
          </w:tcPr>
          <w:p>
            <w:pPr>
              <w:spacing w:after="0"/>
              <w:rPr>
                <w:sz w:val="24"/>
                <w:szCs w:val="24"/>
                <w:color w:val="auto"/>
              </w:rPr>
            </w:pPr>
          </w:p>
        </w:tc>
      </w:tr>
      <w:tr>
        <w:trPr>
          <w:trHeight w:val="167"/>
        </w:trPr>
        <w:tc>
          <w:tcPr>
            <w:tcW w:w="46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15,460</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17,386</w:t>
            </w:r>
          </w:p>
        </w:tc>
        <w:tc>
          <w:tcPr>
            <w:tcW w:w="40" w:type="dxa"/>
            <w:vAlign w:val="bottom"/>
          </w:tcPr>
          <w:p>
            <w:pPr>
              <w:spacing w:after="0"/>
              <w:rPr>
                <w:sz w:val="14"/>
                <w:szCs w:val="14"/>
                <w:color w:val="auto"/>
              </w:rPr>
            </w:pPr>
          </w:p>
        </w:tc>
      </w:tr>
      <w:tr>
        <w:trPr>
          <w:trHeight w:val="142"/>
        </w:trPr>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20,793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23,245</w:t>
            </w:r>
          </w:p>
        </w:tc>
        <w:tc>
          <w:tcPr>
            <w:tcW w:w="40" w:type="dxa"/>
            <w:vAlign w:val="bottom"/>
          </w:tcPr>
          <w:p>
            <w:pPr>
              <w:spacing w:after="0"/>
              <w:rPr>
                <w:sz w:val="12"/>
                <w:szCs w:val="12"/>
                <w:color w:val="auto"/>
              </w:rPr>
            </w:pPr>
          </w:p>
        </w:tc>
      </w:tr>
      <w:tr>
        <w:trPr>
          <w:trHeight w:val="306"/>
        </w:trPr>
        <w:tc>
          <w:tcPr>
            <w:tcW w:w="4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(1,443)</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(624)</w:t>
            </w:r>
          </w:p>
        </w:tc>
      </w:tr>
      <w:tr>
        <w:trPr>
          <w:trHeight w:val="412"/>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4"/>
                <w:szCs w:val="24"/>
                <w:color w:val="auto"/>
              </w:rPr>
            </w:pPr>
          </w:p>
        </w:tc>
      </w:tr>
      <w:tr>
        <w:trPr>
          <w:trHeight w:val="149"/>
        </w:trPr>
        <w:tc>
          <w:tcPr>
            <w:tcW w:w="46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w:t>
            </w:r>
          </w:p>
        </w:tc>
      </w:tr>
      <w:tr>
        <w:trPr>
          <w:trHeight w:val="181"/>
        </w:trPr>
        <w:tc>
          <w:tcPr>
            <w:tcW w:w="4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-1474470</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-1276985</wp:posOffset>
            </wp:positionV>
            <wp:extent cx="72466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-1071245</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-882650</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-676910</wp:posOffset>
            </wp:positionV>
            <wp:extent cx="724662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-479425</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-290830</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-102235</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520" w:space="720"/>
            <w:col w:w="3180"/>
          </w:cols>
          <w:pgMar w:left="240" w:top="657"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Loss from continuing operations before income taxes</w:t>
            </w: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(849)</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tax provision</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loss from continuing operations</w:t>
            </w:r>
          </w:p>
        </w:tc>
        <w:tc>
          <w:tcPr>
            <w:tcW w:w="4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(2,070)</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Arial" w:cs="Arial" w:eastAsia="Arial" w:hAnsi="Arial"/>
                <w:sz w:val="14"/>
                <w:szCs w:val="14"/>
                <w:color w:val="auto"/>
              </w:rPr>
              <w:t>(Loss) income from discontinued operations, net of tax</w:t>
            </w:r>
          </w:p>
        </w:tc>
        <w:tc>
          <w:tcPr>
            <w:tcW w:w="460" w:type="dxa"/>
            <w:vAlign w:val="bottom"/>
          </w:tcPr>
          <w:p>
            <w:pPr>
              <w:spacing w:after="0"/>
              <w:rPr>
                <w:sz w:val="14"/>
                <w:szCs w:val="14"/>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loss</w:t>
            </w:r>
          </w:p>
        </w:tc>
        <w:tc>
          <w:tcPr>
            <w:tcW w:w="460" w:type="dxa"/>
            <w:vAlign w:val="bottom"/>
          </w:tcPr>
          <w:p>
            <w:pPr>
              <w:spacing w:after="0"/>
              <w:rPr>
                <w:sz w:val="12"/>
                <w:szCs w:val="12"/>
                <w:color w:val="auto"/>
              </w:rPr>
            </w:pP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(2,131)</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Arial" w:cs="Arial" w:eastAsia="Arial" w:hAnsi="Arial"/>
                <w:sz w:val="14"/>
                <w:szCs w:val="14"/>
                <w:color w:val="auto"/>
              </w:rPr>
              <w:t>Net loss attributable to noncontrolling interest</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loss attributable to Ultralife</w:t>
            </w:r>
          </w:p>
        </w:tc>
        <w:tc>
          <w:tcPr>
            <w:tcW w:w="460" w:type="dxa"/>
            <w:vAlign w:val="bottom"/>
          </w:tcPr>
          <w:p>
            <w:pPr>
              <w:spacing w:after="0"/>
              <w:rPr>
                <w:sz w:val="12"/>
                <w:szCs w:val="12"/>
                <w:color w:val="auto"/>
              </w:rPr>
            </w:pP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(2,116)</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Comprehensive loss attributable to Ultralife</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8"/>
              <w:spacing w:after="0" w:line="176" w:lineRule="exact"/>
              <w:rPr>
                <w:sz w:val="20"/>
                <w:szCs w:val="20"/>
                <w:color w:val="auto"/>
              </w:rPr>
            </w:pPr>
            <w:r>
              <w:rPr>
                <w:rFonts w:ascii="Arial" w:cs="Arial" w:eastAsia="Arial" w:hAnsi="Arial"/>
                <w:sz w:val="12"/>
                <w:szCs w:val="12"/>
                <w:color w:val="auto"/>
              </w:rPr>
              <w:t>(1,969</w:t>
            </w:r>
            <w:r>
              <w:rPr>
                <w:rFonts w:ascii="Arial" w:cs="Arial" w:eastAsia="Arial" w:hAnsi="Arial"/>
                <w:sz w:val="20"/>
                <w:szCs w:val="20"/>
                <w:color w:val="auto"/>
                <w:vertAlign w:val="superscript"/>
              </w:rPr>
              <w:t>)</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(920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 per share attributable to Ultralife common shareholders – basic:</w:t>
            </w: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Discontinued operations</w:t>
            </w:r>
          </w:p>
        </w:tc>
        <w:tc>
          <w:tcPr>
            <w:tcW w:w="4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(.00)</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300" w:type="dxa"/>
            <w:vAlign w:val="bottom"/>
            <w:tcBorders>
              <w:bottom w:val="single" w:sz="8" w:color="CCEEFF"/>
            </w:tcBorders>
          </w:tcPr>
          <w:p>
            <w:pPr>
              <w:jc w:val="right"/>
              <w:ind w:right="168"/>
              <w:spacing w:after="0" w:line="155" w:lineRule="exact"/>
              <w:rPr>
                <w:sz w:val="20"/>
                <w:szCs w:val="20"/>
                <w:color w:val="auto"/>
              </w:rPr>
            </w:pPr>
            <w:r>
              <w:rPr>
                <w:rFonts w:ascii="Arial" w:cs="Arial" w:eastAsia="Arial" w:hAnsi="Arial"/>
                <w:sz w:val="14"/>
                <w:szCs w:val="14"/>
                <w:color w:val="auto"/>
                <w:w w:val="84"/>
              </w:rPr>
              <w:t>)</w:t>
            </w:r>
          </w:p>
        </w:tc>
        <w:tc>
          <w:tcPr>
            <w:tcW w:w="26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tcPr>
          <w:p>
            <w:pPr>
              <w:ind w:left="80"/>
              <w:spacing w:after="0"/>
              <w:rPr>
                <w:sz w:val="20"/>
                <w:szCs w:val="20"/>
                <w:color w:val="auto"/>
              </w:rPr>
            </w:pPr>
            <w:r>
              <w:rPr>
                <w:rFonts w:ascii="Arial" w:cs="Arial" w:eastAsia="Arial" w:hAnsi="Arial"/>
                <w:sz w:val="14"/>
                <w:szCs w:val="14"/>
                <w:b w:val="1"/>
                <w:bCs w:val="1"/>
                <w:color w:val="auto"/>
              </w:rPr>
              <w:t>Weighted average shares outstanding – basic</w:t>
            </w:r>
          </w:p>
        </w:tc>
        <w:tc>
          <w:tcPr>
            <w:tcW w:w="460" w:type="dxa"/>
            <w:vAlign w:val="bottom"/>
          </w:tcPr>
          <w:p>
            <w:pPr>
              <w:spacing w:after="0"/>
              <w:rPr>
                <w:sz w:val="15"/>
                <w:szCs w:val="15"/>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color w:val="auto"/>
              </w:rPr>
              <w:t>17,475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17,465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657"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3"/>
          <w:szCs w:val="13"/>
          <w:b w:val="1"/>
          <w:bCs w:val="1"/>
          <w:color w:val="auto"/>
        </w:rPr>
        <w:t>ULTRALIFE CORPORATION AND SUBSIDIARIES</w:t>
      </w:r>
    </w:p>
    <w:p>
      <w:pPr>
        <w:jc w:val="center"/>
        <w:spacing w:after="0" w:line="216" w:lineRule="auto"/>
        <w:rPr>
          <w:sz w:val="20"/>
          <w:szCs w:val="20"/>
          <w:color w:val="auto"/>
        </w:rPr>
      </w:pPr>
      <w:r>
        <w:rPr>
          <w:rFonts w:ascii="Arial" w:cs="Arial" w:eastAsia="Arial" w:hAnsi="Arial"/>
          <w:sz w:val="13"/>
          <w:szCs w:val="13"/>
          <w:b w:val="1"/>
          <w:bCs w:val="1"/>
          <w:color w:val="auto"/>
        </w:rPr>
        <w:t>CONSOLIDATED STATEMENTS OF SHAREHOLDERS’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color w:val="auto"/>
                <w:w w:val="88"/>
              </w:rPr>
              <w:t>Capital</w:t>
            </w:r>
          </w:p>
        </w:tc>
        <w:tc>
          <w:tcPr>
            <w:tcW w:w="820" w:type="dxa"/>
            <w:vAlign w:val="bottom"/>
            <w:gridSpan w:val="4"/>
          </w:tcPr>
          <w:p>
            <w:pPr>
              <w:jc w:val="center"/>
              <w:ind w:right="60"/>
              <w:spacing w:after="0"/>
              <w:rPr>
                <w:sz w:val="20"/>
                <w:szCs w:val="20"/>
                <w:color w:val="auto"/>
              </w:rPr>
            </w:pPr>
            <w:r>
              <w:rPr>
                <w:rFonts w:ascii="Arial" w:cs="Arial" w:eastAsia="Arial" w:hAnsi="Arial"/>
                <w:sz w:val="13"/>
                <w:szCs w:val="13"/>
                <w:color w:val="auto"/>
                <w:w w:val="90"/>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60" w:type="dxa"/>
            <w:vAlign w:val="bottom"/>
            <w:gridSpan w:val="7"/>
          </w:tcPr>
          <w:p>
            <w:pPr>
              <w:ind w:left="3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color w:val="auto"/>
                <w:w w:val="86"/>
              </w:rPr>
              <w:t>in Excess</w:t>
            </w:r>
          </w:p>
        </w:tc>
        <w:tc>
          <w:tcPr>
            <w:tcW w:w="140" w:type="dxa"/>
            <w:vAlign w:val="bottom"/>
          </w:tcPr>
          <w:p>
            <w:pPr>
              <w:spacing w:after="0"/>
              <w:rPr>
                <w:sz w:val="12"/>
                <w:szCs w:val="12"/>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3"/>
                <w:szCs w:val="13"/>
                <w:color w:val="auto"/>
                <w:w w:val="85"/>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Non-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00" w:type="dxa"/>
            <w:vAlign w:val="bottom"/>
            <w:tcBorders>
              <w:top w:val="single" w:sz="8" w:color="auto"/>
            </w:tcBorders>
            <w:gridSpan w:val="3"/>
          </w:tcPr>
          <w:p>
            <w:pPr>
              <w:jc w:val="center"/>
              <w:ind w:right="120"/>
              <w:spacing w:after="0" w:line="128" w:lineRule="exact"/>
              <w:rPr>
                <w:sz w:val="20"/>
                <w:szCs w:val="20"/>
                <w:color w:val="auto"/>
              </w:rPr>
            </w:pPr>
            <w:r>
              <w:rPr>
                <w:rFonts w:ascii="Arial" w:cs="Arial" w:eastAsia="Arial" w:hAnsi="Arial"/>
                <w:sz w:val="13"/>
                <w:szCs w:val="13"/>
                <w:color w:val="auto"/>
                <w:w w:val="88"/>
              </w:rPr>
              <w:t>Number of</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200"/>
              <w:spacing w:after="0" w:line="128" w:lineRule="exact"/>
              <w:rPr>
                <w:sz w:val="20"/>
                <w:szCs w:val="20"/>
                <w:color w:val="auto"/>
              </w:rPr>
            </w:pPr>
            <w:r>
              <w:rPr>
                <w:rFonts w:ascii="Arial" w:cs="Arial" w:eastAsia="Arial" w:hAnsi="Arial"/>
                <w:sz w:val="13"/>
                <w:szCs w:val="13"/>
                <w:color w:val="auto"/>
                <w:w w:val="86"/>
              </w:rPr>
              <w:t>of Par</w:t>
            </w:r>
          </w:p>
        </w:tc>
        <w:tc>
          <w:tcPr>
            <w:tcW w:w="820" w:type="dxa"/>
            <w:vAlign w:val="bottom"/>
            <w:gridSpan w:val="4"/>
          </w:tcPr>
          <w:p>
            <w:pPr>
              <w:spacing w:after="0" w:line="128" w:lineRule="exact"/>
              <w:rPr>
                <w:sz w:val="20"/>
                <w:szCs w:val="20"/>
                <w:color w:val="auto"/>
              </w:rPr>
            </w:pPr>
            <w:r>
              <w:rPr>
                <w:rFonts w:ascii="Arial" w:cs="Arial" w:eastAsia="Arial" w:hAnsi="Arial"/>
                <w:sz w:val="13"/>
                <w:szCs w:val="13"/>
                <w:color w:val="auto"/>
                <w:w w:val="87"/>
              </w:rPr>
              <w:t>Comprehensive</w:t>
            </w:r>
          </w:p>
        </w:tc>
        <w:tc>
          <w:tcPr>
            <w:tcW w:w="760" w:type="dxa"/>
            <w:vAlign w:val="bottom"/>
            <w:gridSpan w:val="5"/>
          </w:tcPr>
          <w:p>
            <w:pPr>
              <w:ind w:left="40"/>
              <w:spacing w:after="0" w:line="128" w:lineRule="exact"/>
              <w:rPr>
                <w:sz w:val="20"/>
                <w:szCs w:val="20"/>
                <w:color w:val="auto"/>
              </w:rPr>
            </w:pPr>
            <w:r>
              <w:rPr>
                <w:rFonts w:ascii="Arial" w:cs="Arial" w:eastAsia="Arial" w:hAnsi="Arial"/>
                <w:sz w:val="13"/>
                <w:szCs w:val="13"/>
                <w:color w:val="auto"/>
                <w:w w:val="93"/>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3"/>
                <w:szCs w:val="13"/>
                <w:color w:val="auto"/>
                <w:w w:val="89"/>
              </w:rPr>
              <w:t>Treasury</w:t>
            </w:r>
          </w:p>
        </w:tc>
        <w:tc>
          <w:tcPr>
            <w:tcW w:w="100" w:type="dxa"/>
            <w:vAlign w:val="bottom"/>
          </w:tcPr>
          <w:p>
            <w:pPr>
              <w:spacing w:after="0"/>
              <w:rPr>
                <w:sz w:val="11"/>
                <w:szCs w:val="11"/>
                <w:color w:val="auto"/>
              </w:rPr>
            </w:pPr>
          </w:p>
        </w:tc>
        <w:tc>
          <w:tcPr>
            <w:tcW w:w="680" w:type="dxa"/>
            <w:vAlign w:val="bottom"/>
            <w:gridSpan w:val="3"/>
          </w:tcPr>
          <w:p>
            <w:pPr>
              <w:jc w:val="center"/>
              <w:ind w:right="20"/>
              <w:spacing w:after="0" w:line="128" w:lineRule="exact"/>
              <w:rPr>
                <w:sz w:val="20"/>
                <w:szCs w:val="20"/>
                <w:color w:val="auto"/>
              </w:rPr>
            </w:pPr>
            <w:r>
              <w:rPr>
                <w:rFonts w:ascii="Arial" w:cs="Arial" w:eastAsia="Arial" w:hAnsi="Arial"/>
                <w:sz w:val="13"/>
                <w:szCs w:val="13"/>
                <w:color w:val="auto"/>
                <w:w w:val="93"/>
              </w:rPr>
              <w:t>Controlling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3"/>
                <w:szCs w:val="13"/>
                <w:color w:val="auto"/>
                <w:w w:val="82"/>
              </w:rPr>
              <w:t>Shares</w:t>
            </w:r>
          </w:p>
        </w:tc>
        <w:tc>
          <w:tcPr>
            <w:tcW w:w="80" w:type="dxa"/>
            <w:vAlign w:val="bottom"/>
          </w:tcPr>
          <w:p>
            <w:pPr>
              <w:spacing w:after="0"/>
              <w:rPr>
                <w:sz w:val="12"/>
                <w:szCs w:val="12"/>
                <w:color w:val="auto"/>
              </w:rPr>
            </w:pPr>
          </w:p>
        </w:tc>
        <w:tc>
          <w:tcPr>
            <w:tcW w:w="680" w:type="dxa"/>
            <w:vAlign w:val="bottom"/>
            <w:gridSpan w:val="3"/>
          </w:tcPr>
          <w:p>
            <w:pPr>
              <w:ind w:left="40"/>
              <w:spacing w:after="0"/>
              <w:rPr>
                <w:sz w:val="20"/>
                <w:szCs w:val="20"/>
                <w:color w:val="auto"/>
              </w:rPr>
            </w:pPr>
            <w:r>
              <w:rPr>
                <w:rFonts w:ascii="Arial" w:cs="Arial" w:eastAsia="Arial" w:hAnsi="Arial"/>
                <w:sz w:val="13"/>
                <w:szCs w:val="13"/>
                <w:color w:val="auto"/>
              </w:rPr>
              <w:t>Amount</w:t>
            </w:r>
          </w:p>
        </w:tc>
        <w:tc>
          <w:tcPr>
            <w:tcW w:w="80" w:type="dxa"/>
            <w:vAlign w:val="bottom"/>
          </w:tcPr>
          <w:p>
            <w:pPr>
              <w:spacing w:after="0"/>
              <w:rPr>
                <w:sz w:val="12"/>
                <w:szCs w:val="12"/>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3"/>
                <w:szCs w:val="13"/>
                <w:color w:val="auto"/>
                <w:w w:val="90"/>
              </w:rPr>
              <w:t>Value</w:t>
            </w:r>
          </w:p>
        </w:tc>
        <w:tc>
          <w:tcPr>
            <w:tcW w:w="820" w:type="dxa"/>
            <w:vAlign w:val="bottom"/>
            <w:gridSpan w:val="4"/>
          </w:tcPr>
          <w:p>
            <w:pPr>
              <w:ind w:left="20"/>
              <w:spacing w:after="0"/>
              <w:rPr>
                <w:sz w:val="20"/>
                <w:szCs w:val="20"/>
                <w:color w:val="auto"/>
              </w:rPr>
            </w:pPr>
            <w:r>
              <w:rPr>
                <w:rFonts w:ascii="Arial" w:cs="Arial" w:eastAsia="Arial" w:hAnsi="Arial"/>
                <w:sz w:val="13"/>
                <w:szCs w:val="13"/>
                <w:color w:val="auto"/>
                <w:w w:val="94"/>
              </w:rPr>
              <w:t>Income (Loss)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ind w:left="40"/>
              <w:spacing w:after="0"/>
              <w:rPr>
                <w:sz w:val="20"/>
                <w:szCs w:val="20"/>
                <w:color w:val="auto"/>
              </w:rPr>
            </w:pPr>
            <w:r>
              <w:rPr>
                <w:rFonts w:ascii="Arial" w:cs="Arial" w:eastAsia="Arial" w:hAnsi="Arial"/>
                <w:sz w:val="13"/>
                <w:szCs w:val="13"/>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Interest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20" w:type="dxa"/>
            <w:vAlign w:val="bottom"/>
          </w:tcPr>
          <w:p>
            <w:pPr>
              <w:spacing w:after="0" w:line="135" w:lineRule="exact"/>
              <w:rPr>
                <w:sz w:val="20"/>
                <w:szCs w:val="20"/>
                <w:color w:val="auto"/>
              </w:rPr>
            </w:pPr>
            <w:r>
              <w:rPr>
                <w:rFonts w:ascii="Arial" w:cs="Arial" w:eastAsia="Arial" w:hAnsi="Arial"/>
                <w:sz w:val="13"/>
                <w:szCs w:val="13"/>
                <w:color w:val="auto"/>
              </w:rPr>
              <w:t>Balance -</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December 31, 2012</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18,828,734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1,883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173,794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(620)</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4"/>
              </w:rPr>
              <w:t>(93,878)</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(7,658)</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w:t>
            </w: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73,456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Shares issued to directors</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19,845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60"/>
              <w:spacing w:after="0" w:line="135" w:lineRule="exact"/>
              <w:rPr>
                <w:sz w:val="20"/>
                <w:szCs w:val="20"/>
                <w:color w:val="auto"/>
              </w:rPr>
            </w:pPr>
            <w:r>
              <w:rPr>
                <w:rFonts w:ascii="Arial" w:cs="Arial" w:eastAsia="Arial" w:hAnsi="Arial"/>
                <w:sz w:val="13"/>
                <w:szCs w:val="13"/>
                <w:color w:val="auto"/>
              </w:rPr>
              <w:t>Stock option exercises</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Stock-based compensation -</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60"/>
              <w:spacing w:after="0" w:line="135" w:lineRule="exact"/>
              <w:rPr>
                <w:sz w:val="20"/>
                <w:szCs w:val="20"/>
                <w:color w:val="auto"/>
              </w:rPr>
            </w:pPr>
            <w:r>
              <w:rPr>
                <w:rFonts w:ascii="Arial" w:cs="Arial" w:eastAsia="Arial" w:hAnsi="Arial"/>
                <w:sz w:val="13"/>
                <w:szCs w:val="13"/>
                <w:color w:val="auto"/>
              </w:rPr>
              <w:t>Stock options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Restricted stock</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(960)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140"/>
              <w:spacing w:after="0" w:line="135" w:lineRule="exact"/>
              <w:rPr>
                <w:sz w:val="20"/>
                <w:szCs w:val="20"/>
                <w:color w:val="auto"/>
              </w:rPr>
            </w:pPr>
            <w:r>
              <w:rPr>
                <w:rFonts w:ascii="Arial" w:cs="Arial" w:eastAsia="Arial" w:hAnsi="Arial"/>
                <w:sz w:val="13"/>
                <w:szCs w:val="13"/>
                <w:color w:val="auto"/>
              </w:rPr>
              <w:t>December 31, 2013</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18,851,579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7"/>
              </w:rPr>
              <w:t>174,935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(614)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4"/>
              </w:rPr>
              <w:t>(94,804)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73,645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80"/>
              <w:spacing w:after="0" w:line="135" w:lineRule="exact"/>
              <w:rPr>
                <w:sz w:val="20"/>
                <w:szCs w:val="20"/>
                <w:color w:val="auto"/>
              </w:rPr>
            </w:pPr>
            <w:r>
              <w:rPr>
                <w:rFonts w:ascii="Arial" w:cs="Arial" w:eastAsia="Arial" w:hAnsi="Arial"/>
                <w:sz w:val="13"/>
                <w:szCs w:val="13"/>
                <w:color w:val="auto"/>
              </w:rPr>
              <w:t>Purchases of stock</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Shares issued to directors</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56,898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80"/>
              <w:spacing w:after="0" w:line="135" w:lineRule="exact"/>
              <w:rPr>
                <w:sz w:val="20"/>
                <w:szCs w:val="20"/>
                <w:color w:val="auto"/>
              </w:rPr>
            </w:pPr>
            <w:r>
              <w:rPr>
                <w:rFonts w:ascii="Arial" w:cs="Arial" w:eastAsia="Arial" w:hAnsi="Arial"/>
                <w:sz w:val="13"/>
                <w:szCs w:val="13"/>
                <w:color w:val="auto"/>
              </w:rPr>
              <w:t>Vesting of restricted shares</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Stock option exercises</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3,067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80"/>
              <w:spacing w:after="0" w:line="135" w:lineRule="exact"/>
              <w:rPr>
                <w:sz w:val="20"/>
                <w:szCs w:val="20"/>
                <w:color w:val="auto"/>
              </w:rPr>
            </w:pPr>
            <w:r>
              <w:rPr>
                <w:rFonts w:ascii="Arial" w:cs="Arial" w:eastAsia="Arial" w:hAnsi="Arial"/>
                <w:sz w:val="13"/>
                <w:szCs w:val="13"/>
                <w:color w:val="auto"/>
              </w:rPr>
              <w:t>Stock-based compensation -</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Stock options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614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tcPr>
          <w:p>
            <w:pPr>
              <w:ind w:left="80"/>
              <w:spacing w:after="0" w:line="135" w:lineRule="exact"/>
              <w:rPr>
                <w:sz w:val="20"/>
                <w:szCs w:val="20"/>
                <w:color w:val="auto"/>
              </w:rPr>
            </w:pPr>
            <w:r>
              <w:rPr>
                <w:rFonts w:ascii="Arial" w:cs="Arial" w:eastAsia="Arial" w:hAnsi="Arial"/>
                <w:sz w:val="13"/>
                <w:szCs w:val="13"/>
                <w:color w:val="auto"/>
              </w:rPr>
              <w:t>Restricted stock</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Foreign currency translation adjustments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rPr>
                <w:sz w:val="20"/>
                <w:szCs w:val="20"/>
                <w:color w:val="auto"/>
              </w:rPr>
            </w:pPr>
            <w:r>
              <w:rPr>
                <w:rFonts w:ascii="Arial" w:cs="Arial" w:eastAsia="Arial" w:hAnsi="Arial"/>
                <w:sz w:val="13"/>
                <w:szCs w:val="13"/>
                <w:color w:val="auto"/>
              </w:rPr>
              <w:t>Net loss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(2,116)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(2,131)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20" w:type="dxa"/>
            <w:vAlign w:val="bottom"/>
          </w:tcPr>
          <w:p>
            <w:pPr>
              <w:spacing w:after="0" w:line="135" w:lineRule="exact"/>
              <w:rPr>
                <w:sz w:val="20"/>
                <w:szCs w:val="20"/>
                <w:color w:val="auto"/>
              </w:rPr>
            </w:pPr>
            <w:r>
              <w:rPr>
                <w:rFonts w:ascii="Arial" w:cs="Arial" w:eastAsia="Arial" w:hAnsi="Arial"/>
                <w:sz w:val="13"/>
                <w:szCs w:val="13"/>
                <w:color w:val="auto"/>
              </w:rPr>
              <w:t>Balance –</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2014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18,941,544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175,940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0"/>
                <w:szCs w:val="10"/>
                <w:color w:val="auto"/>
              </w:rPr>
              <w:t>(467</w:t>
            </w:r>
            <w:r>
              <w:rPr>
                <w:rFonts w:ascii="Arial" w:cs="Arial" w:eastAsia="Arial" w:hAnsi="Arial"/>
                <w:sz w:val="18"/>
                <w:szCs w:val="18"/>
                <w:color w:val="auto"/>
                <w:vertAlign w:val="superscript"/>
              </w:rPr>
              <w:t>)</w:t>
            </w: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0"/>
                <w:szCs w:val="10"/>
                <w:color w:val="auto"/>
              </w:rPr>
              <w:t>(96,920</w:t>
            </w:r>
            <w:r>
              <w:rPr>
                <w:rFonts w:ascii="Arial" w:cs="Arial" w:eastAsia="Arial" w:hAnsi="Arial"/>
                <w:sz w:val="18"/>
                <w:szCs w:val="18"/>
                <w:color w:val="auto"/>
                <w:vertAlign w:val="superscript"/>
              </w:rPr>
              <w:t>)</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0"/>
                <w:szCs w:val="10"/>
                <w:color w:val="auto"/>
              </w:rPr>
              <w:t>(8,420</w:t>
            </w:r>
            <w:r>
              <w:rPr>
                <w:rFonts w:ascii="Arial" w:cs="Arial" w:eastAsia="Arial" w:hAnsi="Arial"/>
                <w:sz w:val="18"/>
                <w:szCs w:val="18"/>
                <w:color w:val="auto"/>
                <w:vertAlign w:val="superscript"/>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0"/>
                <w:szCs w:val="10"/>
                <w:color w:val="auto"/>
              </w:rPr>
              <w:t>(114</w:t>
            </w:r>
            <w:r>
              <w:rPr>
                <w:rFonts w:ascii="Arial" w:cs="Arial" w:eastAsia="Arial" w:hAnsi="Arial"/>
                <w:sz w:val="18"/>
                <w:szCs w:val="18"/>
                <w:color w:val="auto"/>
                <w:vertAlign w:val="superscript"/>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The accompanying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7576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76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66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ind w:right="20"/>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line="222" w:lineRule="auto"/>
        <w:rPr>
          <w:sz w:val="20"/>
          <w:szCs w:val="20"/>
          <w:color w:val="auto"/>
        </w:rPr>
      </w:pPr>
      <w:r>
        <w:rPr>
          <w:rFonts w:ascii="Arial" w:cs="Arial" w:eastAsia="Arial" w:hAnsi="Arial"/>
          <w:sz w:val="14"/>
          <w:szCs w:val="14"/>
          <w:b w:val="1"/>
          <w:bCs w:val="1"/>
          <w:color w:val="auto"/>
        </w:rPr>
        <w:t>(In Thousands)</w:t>
      </w:r>
    </w:p>
    <w:p>
      <w:pPr>
        <w:jc w:val="center"/>
        <w:spacing w:after="0" w:line="221" w:lineRule="auto"/>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47"/>
        </w:trPr>
        <w:tc>
          <w:tcPr>
            <w:tcW w:w="8240" w:type="dxa"/>
            <w:vAlign w:val="bottom"/>
          </w:tcPr>
          <w:p>
            <w:pPr>
              <w:spacing w:after="0"/>
              <w:rPr>
                <w:sz w:val="12"/>
                <w:szCs w:val="12"/>
                <w:color w:val="auto"/>
              </w:rPr>
            </w:pPr>
          </w:p>
        </w:tc>
        <w:tc>
          <w:tcPr>
            <w:tcW w:w="2680" w:type="dxa"/>
            <w:vAlign w:val="bottom"/>
            <w:gridSpan w:val="5"/>
          </w:tcPr>
          <w:p>
            <w:pPr>
              <w:jc w:val="right"/>
              <w:ind w:right="280"/>
              <w:spacing w:after="0" w:line="147" w:lineRule="exact"/>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4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r>
      <w:tr>
        <w:trPr>
          <w:trHeight w:val="149"/>
        </w:trPr>
        <w:tc>
          <w:tcPr>
            <w:tcW w:w="824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Pr>
          <w:p>
            <w:pPr>
              <w:jc w:val="right"/>
              <w:ind w:right="735"/>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(2,131)</w:t>
            </w:r>
          </w:p>
        </w:tc>
        <w:tc>
          <w:tcPr>
            <w:tcW w:w="13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(960)</w:t>
            </w:r>
          </w:p>
        </w:tc>
      </w:tr>
      <w:tr>
        <w:trPr>
          <w:trHeight w:val="149"/>
        </w:trPr>
        <w:tc>
          <w:tcPr>
            <w:tcW w:w="8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Loss (gain) from discontinued operations, net of tax</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(128)</w:t>
            </w:r>
          </w:p>
        </w:tc>
      </w:tr>
      <w:tr>
        <w:trPr>
          <w:trHeight w:val="149"/>
        </w:trPr>
        <w:tc>
          <w:tcPr>
            <w:tcW w:w="8240" w:type="dxa"/>
            <w:vAlign w:val="bottom"/>
          </w:tcPr>
          <w:p>
            <w:pPr>
              <w:ind w:left="160"/>
              <w:spacing w:after="0" w:line="149" w:lineRule="exact"/>
              <w:rPr>
                <w:sz w:val="20"/>
                <w:szCs w:val="20"/>
                <w:color w:val="auto"/>
              </w:rPr>
            </w:pPr>
            <w:r>
              <w:rPr>
                <w:rFonts w:ascii="Arial" w:cs="Arial" w:eastAsia="Arial" w:hAnsi="Arial"/>
                <w:sz w:val="14"/>
                <w:szCs w:val="14"/>
                <w:color w:val="auto"/>
              </w:rPr>
              <w:t>Adjustments to reconcile net loss from continuing operations to net cash</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provided by operating activities:</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8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2,828</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3,029</w:t>
            </w:r>
          </w:p>
        </w:tc>
      </w:tr>
      <w:tr>
        <w:trPr>
          <w:trHeight w:val="149"/>
        </w:trPr>
        <w:tc>
          <w:tcPr>
            <w:tcW w:w="82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402</w:t>
            </w: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Loss on long-lived asset impairment and disposals</w:t>
            </w:r>
          </w:p>
        </w:tc>
        <w:tc>
          <w:tcPr>
            <w:tcW w:w="8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56</w:t>
            </w: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Foreign exchange loss</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w:t>
            </w: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1,003</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1,131</w:t>
            </w: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113</w:t>
            </w: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Provision for allowance for doubtful accounts</w:t>
            </w:r>
          </w:p>
        </w:tc>
        <w:tc>
          <w:tcPr>
            <w:tcW w:w="8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29</w:t>
            </w: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2,878</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6,694</w:t>
            </w:r>
          </w:p>
        </w:tc>
      </w:tr>
      <w:tr>
        <w:trPr>
          <w:trHeight w:val="149"/>
        </w:trPr>
        <w:tc>
          <w:tcPr>
            <w:tcW w:w="8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Inventories</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4,418</w:t>
            </w:r>
          </w:p>
        </w:tc>
      </w:tr>
      <w:tr>
        <w:trPr>
          <w:trHeight w:val="149"/>
        </w:trPr>
        <w:tc>
          <w:tcPr>
            <w:tcW w:w="8240" w:type="dxa"/>
            <w:vAlign w:val="bottom"/>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8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(647)</w:t>
            </w:r>
          </w:p>
        </w:tc>
      </w:tr>
      <w:tr>
        <w:trPr>
          <w:trHeight w:val="149"/>
        </w:trPr>
        <w:tc>
          <w:tcPr>
            <w:tcW w:w="8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Due from insurance company</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316</w:t>
            </w:r>
          </w:p>
        </w:tc>
      </w:tr>
      <w:tr>
        <w:trPr>
          <w:trHeight w:val="149"/>
        </w:trPr>
        <w:tc>
          <w:tcPr>
            <w:tcW w:w="8240" w:type="dxa"/>
            <w:vAlign w:val="bottom"/>
          </w:tcPr>
          <w:p>
            <w:pPr>
              <w:ind w:left="500"/>
              <w:spacing w:after="0" w:line="149" w:lineRule="exact"/>
              <w:rPr>
                <w:sz w:val="20"/>
                <w:szCs w:val="20"/>
                <w:color w:val="auto"/>
              </w:rPr>
            </w:pPr>
            <w:r>
              <w:rPr>
                <w:rFonts w:ascii="Arial" w:cs="Arial" w:eastAsia="Arial" w:hAnsi="Arial"/>
                <w:sz w:val="14"/>
                <w:szCs w:val="14"/>
                <w:color w:val="auto"/>
              </w:rPr>
              <w:t>Income taxes receivable and payable</w:t>
            </w:r>
          </w:p>
        </w:tc>
        <w:tc>
          <w:tcPr>
            <w:tcW w:w="8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121</w:t>
            </w:r>
          </w:p>
        </w:tc>
      </w:tr>
      <w:tr>
        <w:trPr>
          <w:trHeight w:val="162"/>
        </w:trPr>
        <w:tc>
          <w:tcPr>
            <w:tcW w:w="82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(2,003)</w:t>
            </w: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94"/>
              </w:rPr>
              <w:t>(6,694)</w:t>
            </w:r>
          </w:p>
        </w:tc>
      </w:tr>
      <w:tr>
        <w:trPr>
          <w:trHeight w:val="142"/>
        </w:trPr>
        <w:tc>
          <w:tcPr>
            <w:tcW w:w="8240" w:type="dxa"/>
            <w:vAlign w:val="bottom"/>
          </w:tcPr>
          <w:p>
            <w:pPr>
              <w:ind w:left="180"/>
              <w:spacing w:after="0" w:line="142"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3,665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7,895</w:t>
            </w:r>
          </w:p>
        </w:tc>
        <w:tc>
          <w:tcPr>
            <w:tcW w:w="100" w:type="dxa"/>
            <w:vAlign w:val="bottom"/>
          </w:tcPr>
          <w:p>
            <w:pPr>
              <w:spacing w:after="0"/>
              <w:rPr>
                <w:sz w:val="12"/>
                <w:szCs w:val="12"/>
                <w:color w:val="auto"/>
              </w:rPr>
            </w:pPr>
          </w:p>
        </w:tc>
      </w:tr>
      <w:tr>
        <w:trPr>
          <w:trHeight w:val="162"/>
        </w:trPr>
        <w:tc>
          <w:tcPr>
            <w:tcW w:w="8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operating activities of discontinued operations</w:t>
            </w: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(998)</w:t>
            </w:r>
          </w:p>
        </w:tc>
      </w:tr>
      <w:tr>
        <w:trPr>
          <w:trHeight w:val="142"/>
        </w:trPr>
        <w:tc>
          <w:tcPr>
            <w:tcW w:w="82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3,665</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6,897</w:t>
            </w:r>
          </w:p>
        </w:tc>
        <w:tc>
          <w:tcPr>
            <w:tcW w:w="100" w:type="dxa"/>
            <w:vAlign w:val="bottom"/>
            <w:tcBorders>
              <w:bottom w:val="single" w:sz="8" w:color="CCEEFF"/>
            </w:tcBorders>
          </w:tcPr>
          <w:p>
            <w:pPr>
              <w:spacing w:after="0"/>
              <w:rPr>
                <w:sz w:val="12"/>
                <w:szCs w:val="12"/>
                <w:color w:val="auto"/>
              </w:rPr>
            </w:pPr>
          </w:p>
        </w:tc>
      </w:tr>
      <w:tr>
        <w:trPr>
          <w:trHeight w:val="142"/>
        </w:trPr>
        <w:tc>
          <w:tcPr>
            <w:tcW w:w="8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(1,653)</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(766)</w:t>
            </w:r>
          </w:p>
        </w:tc>
      </w:tr>
      <w:tr>
        <w:trPr>
          <w:trHeight w:val="162"/>
        </w:trPr>
        <w:tc>
          <w:tcPr>
            <w:tcW w:w="8240" w:type="dxa"/>
            <w:vAlign w:val="bottom"/>
          </w:tcPr>
          <w:p>
            <w:pPr>
              <w:ind w:left="180"/>
              <w:spacing w:after="0"/>
              <w:rPr>
                <w:sz w:val="20"/>
                <w:szCs w:val="20"/>
                <w:color w:val="auto"/>
              </w:rPr>
            </w:pPr>
            <w:r>
              <w:rPr>
                <w:rFonts w:ascii="Arial" w:cs="Arial" w:eastAsia="Arial" w:hAnsi="Arial"/>
                <w:sz w:val="14"/>
                <w:szCs w:val="14"/>
                <w:color w:val="auto"/>
              </w:rPr>
              <w:t>Change in restricted cash</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gridSpan w:val="2"/>
          </w:tcPr>
          <w:p>
            <w:pPr>
              <w:jc w:val="right"/>
              <w:ind w:right="19"/>
              <w:spacing w:after="0"/>
              <w:rPr>
                <w:sz w:val="20"/>
                <w:szCs w:val="20"/>
                <w:color w:val="auto"/>
              </w:rPr>
            </w:pPr>
            <w:r>
              <w:rPr>
                <w:rFonts w:ascii="Arial" w:cs="Arial" w:eastAsia="Arial" w:hAnsi="Arial"/>
                <w:sz w:val="14"/>
                <w:szCs w:val="14"/>
                <w:color w:val="auto"/>
              </w:rPr>
              <w:t>(2)</w:t>
            </w:r>
          </w:p>
        </w:tc>
      </w:tr>
      <w:tr>
        <w:trPr>
          <w:trHeight w:val="142"/>
        </w:trPr>
        <w:tc>
          <w:tcPr>
            <w:tcW w:w="824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investing activities from continuing operations</w:t>
            </w: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(1,385)</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(768)</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8240" w:type="dxa"/>
            <w:vAlign w:val="bottom"/>
          </w:tcPr>
          <w:p>
            <w:pPr>
              <w:ind w:left="180"/>
              <w:spacing w:after="0"/>
              <w:rPr>
                <w:sz w:val="20"/>
                <w:szCs w:val="20"/>
                <w:color w:val="auto"/>
              </w:rPr>
            </w:pPr>
            <w:r>
              <w:rPr>
                <w:rFonts w:ascii="Arial" w:cs="Arial" w:eastAsia="Arial" w:hAnsi="Arial"/>
                <w:sz w:val="14"/>
                <w:szCs w:val="14"/>
                <w:color w:val="auto"/>
              </w:rPr>
              <w:t>Net cash provided by investing activities from discontinued operations</w:t>
            </w:r>
          </w:p>
        </w:tc>
        <w:tc>
          <w:tcPr>
            <w:tcW w:w="860" w:type="dxa"/>
            <w:vAlign w:val="bottom"/>
          </w:tcPr>
          <w:p>
            <w:pPr>
              <w:spacing w:after="0"/>
              <w:rPr>
                <w:sz w:val="14"/>
                <w:szCs w:val="14"/>
                <w:color w:val="auto"/>
              </w:rPr>
            </w:pPr>
          </w:p>
        </w:tc>
        <w:tc>
          <w:tcPr>
            <w:tcW w:w="5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4"/>
                <w:szCs w:val="14"/>
                <w:color w:val="auto"/>
              </w:rPr>
              <w:t>499</w:t>
            </w:r>
          </w:p>
        </w:tc>
      </w:tr>
      <w:tr>
        <w:trPr>
          <w:trHeight w:val="142"/>
        </w:trPr>
        <w:tc>
          <w:tcPr>
            <w:tcW w:w="824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(1,385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4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(269</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bl>
    <w:p>
      <w:pPr>
        <w:spacing w:after="0" w:line="126" w:lineRule="exact"/>
        <w:rPr>
          <w:sz w:val="20"/>
          <w:szCs w:val="20"/>
          <w:color w:val="auto"/>
        </w:rPr>
      </w:pPr>
    </w:p>
    <w:p>
      <w:pPr>
        <w:sectPr>
          <w:pgSz w:w="11900" w:h="16838" w:orient="portrait"/>
          <w:cols w:equalWidth="0" w:num="1">
            <w:col w:w="11420"/>
          </w:cols>
          <w:pgMar w:left="240" w:top="657" w:right="239" w:bottom="1440" w:gutter="0" w:footer="0" w:header="0"/>
        </w:sectPr>
      </w:pPr>
    </w:p>
    <w:p>
      <w:pPr>
        <w:ind w:left="10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80"/>
        <w:spacing w:after="0" w:line="226" w:lineRule="auto"/>
        <w:rPr>
          <w:sz w:val="20"/>
          <w:szCs w:val="20"/>
          <w:color w:val="auto"/>
        </w:rPr>
      </w:pPr>
      <w:r>
        <w:rPr>
          <w:rFonts w:ascii="Arial" w:cs="Arial" w:eastAsia="Arial" w:hAnsi="Arial"/>
          <w:sz w:val="14"/>
          <w:szCs w:val="14"/>
          <w:color w:val="auto"/>
        </w:rPr>
        <w:t>Cash paid to repurchase treasury stock</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Cash and cash equivalents, beginning of period</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NON-CASH ITEMS: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1360" w:type="dxa"/>
            <w:vAlign w:val="bottom"/>
            <w:gridSpan w:val="2"/>
          </w:tcPr>
          <w:p>
            <w:pPr>
              <w:jc w:val="right"/>
              <w:ind w:right="428"/>
              <w:spacing w:after="0"/>
              <w:rPr>
                <w:sz w:val="20"/>
                <w:szCs w:val="20"/>
                <w:color w:val="auto"/>
              </w:rPr>
            </w:pPr>
            <w:r>
              <w:rPr>
                <w:rFonts w:ascii="Arial" w:cs="Arial" w:eastAsia="Arial" w:hAnsi="Arial"/>
                <w:sz w:val="14"/>
                <w:szCs w:val="14"/>
                <w:color w:val="auto"/>
              </w:rPr>
              <w:t>(762)</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1"/>
        </w:trPr>
        <w:tc>
          <w:tcPr>
            <w:tcW w:w="460" w:type="dxa"/>
            <w:vAlign w:val="bottom"/>
          </w:tcPr>
          <w:p>
            <w:pPr>
              <w:spacing w:after="0"/>
              <w:rPr>
                <w:sz w:val="13"/>
                <w:szCs w:val="13"/>
                <w:color w:val="auto"/>
              </w:rPr>
            </w:pPr>
          </w:p>
        </w:tc>
        <w:tc>
          <w:tcPr>
            <w:tcW w:w="136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3"/>
                <w:szCs w:val="13"/>
                <w:color w:val="auto"/>
              </w:rPr>
            </w:pPr>
          </w:p>
        </w:tc>
      </w:tr>
      <w:tr>
        <w:trPr>
          <w:trHeight w:val="149"/>
        </w:trPr>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(751</w:t>
            </w:r>
          </w:p>
        </w:tc>
        <w:tc>
          <w:tcPr>
            <w:tcW w:w="560" w:type="dxa"/>
            <w:vAlign w:val="bottom"/>
          </w:tcPr>
          <w:p>
            <w:pPr>
              <w:jc w:val="right"/>
              <w:ind w:right="428"/>
              <w:spacing w:after="0" w:line="149" w:lineRule="exact"/>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r>
      <w:tr>
        <w:trPr>
          <w:trHeight w:val="304"/>
        </w:trPr>
        <w:tc>
          <w:tcPr>
            <w:tcW w:w="460" w:type="dxa"/>
            <w:vAlign w:val="bottom"/>
          </w:tcPr>
          <w:p>
            <w:pPr>
              <w:spacing w:after="0"/>
              <w:rPr>
                <w:sz w:val="24"/>
                <w:szCs w:val="24"/>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6"/>
        </w:trPr>
        <w:tc>
          <w:tcPr>
            <w:tcW w:w="460" w:type="dxa"/>
            <w:vAlign w:val="bottom"/>
          </w:tcPr>
          <w:p>
            <w:pPr>
              <w:spacing w:after="0"/>
              <w:rPr>
                <w:sz w:val="24"/>
                <w:szCs w:val="24"/>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4"/>
                <w:szCs w:val="14"/>
                <w:color w:val="auto"/>
              </w:rPr>
              <w:t>1,645</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6,410</w:t>
            </w:r>
          </w:p>
        </w:tc>
        <w:tc>
          <w:tcPr>
            <w:tcW w:w="40" w:type="dxa"/>
            <w:vAlign w:val="bottom"/>
          </w:tcPr>
          <w:p>
            <w:pPr>
              <w:spacing w:after="0"/>
              <w:rPr>
                <w:sz w:val="24"/>
                <w:szCs w:val="24"/>
                <w:color w:val="auto"/>
              </w:rPr>
            </w:pPr>
          </w:p>
        </w:tc>
      </w:tr>
      <w:tr>
        <w:trPr>
          <w:trHeight w:val="296"/>
        </w:trPr>
        <w:tc>
          <w:tcPr>
            <w:tcW w:w="460" w:type="dxa"/>
            <w:vAlign w:val="bottom"/>
          </w:tcPr>
          <w:p>
            <w:pPr>
              <w:spacing w:after="0"/>
              <w:rPr>
                <w:sz w:val="24"/>
                <w:szCs w:val="24"/>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4"/>
                <w:szCs w:val="14"/>
                <w:color w:val="auto"/>
              </w:rPr>
              <w:t>16,066</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9,656</w:t>
            </w:r>
          </w:p>
        </w:tc>
        <w:tc>
          <w:tcPr>
            <w:tcW w:w="40" w:type="dxa"/>
            <w:vAlign w:val="bottom"/>
          </w:tcPr>
          <w:p>
            <w:pPr>
              <w:spacing w:after="0"/>
              <w:rPr>
                <w:sz w:val="24"/>
                <w:szCs w:val="24"/>
                <w:color w:val="auto"/>
              </w:rPr>
            </w:pPr>
          </w:p>
        </w:tc>
      </w:tr>
      <w:tr>
        <w:trPr>
          <w:trHeight w:val="156"/>
        </w:trPr>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17,711</w:t>
            </w:r>
          </w:p>
        </w:tc>
        <w:tc>
          <w:tcPr>
            <w:tcW w:w="5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16,066</w:t>
            </w:r>
          </w:p>
        </w:tc>
        <w:tc>
          <w:tcPr>
            <w:tcW w:w="40" w:type="dxa"/>
            <w:vAlign w:val="bottom"/>
          </w:tcPr>
          <w:p>
            <w:pPr>
              <w:spacing w:after="0"/>
              <w:rPr>
                <w:sz w:val="13"/>
                <w:szCs w:val="13"/>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39" w:lineRule="exact"/>
        <w:rPr>
          <w:sz w:val="20"/>
          <w:szCs w:val="20"/>
          <w:color w:val="auto"/>
        </w:rPr>
      </w:pPr>
    </w:p>
    <w:p>
      <w:pPr>
        <w:sectPr>
          <w:pgSz w:w="11900" w:h="16838" w:orient="portrait"/>
          <w:cols w:equalWidth="0" w:num="2">
            <w:col w:w="7520" w:space="720"/>
            <w:col w:w="3180"/>
          </w:cols>
          <w:pgMar w:left="240" w:top="657"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Construction in process in accounts payable</w:t>
            </w: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Income taxes paid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60</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80"/>
              <w:spacing w:after="0" w:line="129" w:lineRule="exact"/>
              <w:rPr>
                <w:sz w:val="20"/>
                <w:szCs w:val="20"/>
                <w:color w:val="auto"/>
              </w:rPr>
            </w:pPr>
            <w:r>
              <w:rPr>
                <w:rFonts w:ascii="Arial" w:cs="Arial" w:eastAsia="Arial" w:hAnsi="Arial"/>
                <w:sz w:val="14"/>
                <w:szCs w:val="14"/>
                <w:color w:val="auto"/>
                <w:w w:val="85"/>
              </w:rPr>
              <w:t>100</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shd w:val="clear" w:color="auto" w:fill="CCEEFF"/>
          </w:tcPr>
          <w:p>
            <w:pPr>
              <w:ind w:left="240"/>
              <w:spacing w:after="0" w:line="129" w:lineRule="exact"/>
              <w:rPr>
                <w:sz w:val="20"/>
                <w:szCs w:val="20"/>
                <w:color w:val="auto"/>
              </w:rPr>
            </w:pPr>
            <w:r>
              <w:rPr>
                <w:rFonts w:ascii="Arial" w:cs="Arial" w:eastAsia="Arial" w:hAnsi="Arial"/>
                <w:sz w:val="14"/>
                <w:szCs w:val="14"/>
                <w:color w:val="auto"/>
              </w:rPr>
              <w:t>Interest paid</w:t>
            </w:r>
          </w:p>
        </w:tc>
        <w:tc>
          <w:tcPr>
            <w:tcW w:w="5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76</w:t>
            </w:r>
          </w:p>
        </w:tc>
        <w:tc>
          <w:tcPr>
            <w:tcW w:w="2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480"/>
              <w:spacing w:after="0" w:line="129" w:lineRule="exact"/>
              <w:rPr>
                <w:sz w:val="20"/>
                <w:szCs w:val="20"/>
                <w:color w:val="auto"/>
              </w:rPr>
            </w:pPr>
            <w:r>
              <w:rPr>
                <w:rFonts w:ascii="Arial" w:cs="Arial" w:eastAsia="Arial" w:hAnsi="Arial"/>
                <w:sz w:val="14"/>
                <w:szCs w:val="14"/>
                <w:color w:val="auto"/>
                <w:w w:val="85"/>
              </w:rPr>
              <w:t>107</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657" w:right="2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ABLE New Energy Co., Limited, and its wholly-owned subsidiary ABLE New Energy Co., Ltd. (“ABLE” collectively), and our majority-owned subsidiary Ultralife Batteries India Private Limited (“India JV”). Intercompany accounts and transactions have been eliminated in consolidation.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Operations of RedBlack Communications, Inc. (“RedBlack”), our divested company and certain components of UK operations are reported as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Management's Use of Judgment and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deferred tax assets, excess and obsolete inventory, warranties, and bad debts; (c) profitability on development contracts, if any; (d) various expense accruals; and (e) stock-based compensation. Our actual results could differ from these estimates.</w:t>
      </w:r>
    </w:p>
    <w:p>
      <w:pPr>
        <w:spacing w:after="0" w:line="18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 Cash and Cash Equivalents</w:t>
      </w:r>
    </w:p>
    <w:p>
      <w:pPr>
        <w:spacing w:after="0" w:line="22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For purposes of the Consolidated Statements of Cash Flows, we consider all demand deposits with financial institutions and financial instruments with original maturities of three months or less to be cash equivalents. For purposes of the Consolidated Balance Sheet, the carrying value approximates fair value because of the short maturity of these instruments.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cash balances may at times exceed federally insured limits. We have not experienced any losses in these accounts and believe we are not exposed to any significant risk with respect to cash and cash equivalents.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87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Trade accounts receivable are recorded at their invoiced amounts, net of allowance for doubtful accounts. We evaluate the adequacy of our allowance for doubtful accounts quarterly. Accounts outstanding longer than contractual payment terms are considered past due and are reviewed individually for collectability. We maintain reserves for potential credit losses based upon our loss history and specific receivables aging analysis. Receivable balances are written off when collection is deemed unlikely.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our allowance for doubtful accounts during the years ended December 31, 2014 and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vMerge w:val="restart"/>
          </w:tcPr>
          <w:p>
            <w:pPr>
              <w:ind w:left="100"/>
              <w:spacing w:after="0"/>
              <w:rPr>
                <w:sz w:val="20"/>
                <w:szCs w:val="20"/>
                <w:color w:val="auto"/>
              </w:rPr>
            </w:pPr>
            <w:r>
              <w:rPr>
                <w:rFonts w:ascii="Arial" w:cs="Arial" w:eastAsia="Arial" w:hAnsi="Arial"/>
                <w:sz w:val="18"/>
                <w:szCs w:val="18"/>
                <w:color w:val="auto"/>
              </w:rPr>
              <w:t>Balance at beginning of year</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288</w:t>
            </w:r>
          </w:p>
        </w:tc>
        <w:tc>
          <w:tcPr>
            <w:tcW w:w="5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charged to expense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Net write-offs (recoveries)</w:t>
            </w: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Inventories are stated at the lower of cost or market with cost determined under the first-in, first-out (FIFO) method. We record provisions for excess, obsolete or slow-moving inventory based on changes in customer demand, technology developments or other economic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are stated at cost. Estimated useful lives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Buildings 10 – 20 years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Machinery and Equipment 5 – 10 years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Furniture and Fixtures 3 – 10 years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 Hardware and Software 3 – 5 years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Leasehold Improvements Lesser of useful life or lease term</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Depreciation and amortization are computed using the straight-line method. 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Long-Lived Assets, Goodwill and Intangibles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regularly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is recognized. We did not record any impairments of long-lived assets in the years ended December 31, 2014 or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665" w:right="239" w:bottom="1440" w:gutter="0" w:footer="0" w:header="0"/>
        </w:sectPr>
      </w:pPr>
    </w:p>
    <w:bookmarkStart w:id="47" w:name="page48"/>
    <w:bookmarkEnd w:id="47"/>
    <w:p>
      <w:pPr>
        <w:jc w:val="both"/>
        <w:ind w:firstLine="729"/>
        <w:spacing w:after="0" w:line="264" w:lineRule="auto"/>
        <w:rPr>
          <w:sz w:val="20"/>
          <w:szCs w:val="20"/>
          <w:color w:val="auto"/>
        </w:rPr>
      </w:pPr>
      <w:r>
        <w:rPr>
          <w:rFonts w:ascii="Arial" w:cs="Arial" w:eastAsia="Arial" w:hAnsi="Arial"/>
          <w:sz w:val="18"/>
          <w:szCs w:val="18"/>
          <w:color w:val="auto"/>
        </w:rPr>
        <w:t>We do not amortize goodwill and intangible assets with indefinite lives, but instead measure these assets for impairment at least annually, or when events indicate that impairment may exist. We amortize intangible assets that have definite lives so that the economic benefits of the intangible assets are being recognized as expense over their weighted-average estimated useful lives.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such a conclusion, or at our discretion, quantitative impairment steps are performed. Similarly, the analysis for indefinite-lived intangible assets consists of review of various qualitative factors to determine if it is more likely than not that the indefinite-lived intangible asset is not impaired. If such a conclusion cannot be supported, or at our discretion, quantitative impairment steps are performed.</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of goodwill and intangible assets with indefinite lives in the years ended December 31, 2014 and 2013.</w:t>
      </w:r>
    </w:p>
    <w:p>
      <w:pPr>
        <w:spacing w:after="0" w:line="225"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color w:val="auto"/>
        </w:rPr>
        <w:t>Future amortization expense of amortizable intangible assets will be approximately $233, $167, $122, $86 and $63 for the fiscal years ending December 31, 2015 through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i w:val="1"/>
          <w:iCs w:val="1"/>
          <w:color w:val="auto"/>
        </w:rPr>
        <w:t>Translation of Foreign Currency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statements of our foreign subsidiaries are translated into U.S. dollar equivalents, with translation adjustments recorded as a component of accumulated other comprehensive income. Exchange losses relate to foreign currency transactions and balances included in net loss for the years ended December 31, 2014 and 2013 were $235 and $128,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w:t>
      </w:r>
      <w:r>
        <w:rPr>
          <w:rFonts w:ascii="Arial" w:cs="Arial" w:eastAsia="Arial" w:hAnsi="Arial"/>
          <w:sz w:val="18"/>
          <w:szCs w:val="18"/>
          <w:i w:val="1"/>
          <w:iCs w:val="1"/>
          <w:color w:val="auto"/>
        </w:rPr>
        <w:t>. 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Product Sales – In general, revenues from the sale of products are recognized when products are shipped. When products are shipped with terms that require transfer of title upon delivery at a customer’s location, revenues are recognized on the date of delivery. A provision is made at the time the revenue is recognized for warranty costs expected to be incurred. Customers, including distributors, do not have a general right of return on products shipped.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Technology Contracts </w:t>
      </w:r>
      <w:r>
        <w:rPr>
          <w:rFonts w:ascii="Arial" w:cs="Arial" w:eastAsia="Arial" w:hAnsi="Arial"/>
          <w:sz w:val="18"/>
          <w:szCs w:val="18"/>
          <w:i w:val="1"/>
          <w:iCs w:val="1"/>
          <w:color w:val="auto"/>
        </w:rPr>
        <w:t>–</w:t>
      </w:r>
      <w:r>
        <w:rPr>
          <w:rFonts w:ascii="Arial" w:cs="Arial" w:eastAsia="Arial" w:hAnsi="Arial"/>
          <w:sz w:val="18"/>
          <w:szCs w:val="18"/>
          <w:color w:val="auto"/>
        </w:rPr>
        <w:t xml:space="preserve"> We recognize revenue using the proportional effort method based on the relationship of costs incurred to date to the total estimated cost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Deferred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For each source of revenues, we defer recognition if: i) evidence of an agreement does not exist, ii) delivery or service has not occurred, iii) the selling price is not fixed or determinable, or iv) collectability is not reasonably assured.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i w:val="1"/>
          <w:iCs w:val="1"/>
          <w:color w:val="auto"/>
        </w:rPr>
        <w:t>Warranty Reserves</w:t>
      </w:r>
    </w:p>
    <w:p>
      <w:pPr>
        <w:spacing w:after="0" w:line="225"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5"/>
          <w:szCs w:val="15"/>
          <w:color w:val="auto"/>
        </w:rPr>
        <w:t>We estimate future costs associated with expected product failure rates, material usage and service costs in the development of our warranty obligations. Warranty reserves, included in other current liabilities and other long-term liabilities as applicable on our Consolidated Balance Sheets, are based on historical experience of warranty claims. In the event the actual results of these items differ from the estimates, an adjustment to the warranty obligation would be recorded.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i w:val="1"/>
          <w:iCs w:val="1"/>
          <w:color w:val="auto"/>
        </w:rPr>
        <w:t>Advertising Expenses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Advertising costs are expensed as incurred and are included in selling, general and administrative expenses in the accompanying Consolidated Statements of Operations. Such expenses amounted to $43 and $114 for the years ended December 31, 2014 and 2013, respectively.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Research and development expenditures are charged to operations as incurred. The majority of research and development expenses pertain to salaries and benefits, developmental supplies, depreciation and other contracted services. During 2014 and 2013, we expended $5,648 and $6,262, respectively, on research and development, including $315 and $403, respectively, on customer sponsored research and development activities, which are included in cost of goods sold. We recognized $317 and $403 of revenue relating to these activities during 2014 and 2013, respectively.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we entered into a collaboration agreement with the New York State Energy Research and Development Authority (“NYSERDA”), to develop and demonstrate a large hybrid grid-connected energy storage system. This agreement was terminated by NYSERDA in the second quarter of 2013, per the terms of the agreement. We had planned to continue this project internally with smaller form batteries which provide greater opportunity and applicability in the markets we serve. However, we have decided not to further pursue the development of this project, and have recorded a write-off of capitalized costs totaling $161 in the fourth quarter of 2014 relating to this project.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i w:val="1"/>
          <w:iCs w:val="1"/>
          <w:color w:val="auto"/>
        </w:rPr>
        <w:t>Environmental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valuation allowance is required when it is more likely than not that the recorded value of a deferred tax asset will not be realized. As of December 31, 2014, we continued to recognize a valuation allowance in the U.S. and U.K. on our net deferred tax assets to the extent the differences and the U.S. and U.K. net operating loss and tax credit carryforwards resulting in the deferred tax asset are not able to be offset by future reversing temporary differences. The assessment of the realizability of the U.S. NOL was based on a number of historical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2014. We concluded that these historical factors represent sufficient negative evidence and have concluded that we should record a full valuation allowance against these net deferred tax assets. We also recorded a full valuation allowance on our net deferred tax asset for the year ended December 31,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665" w:right="239" w:bottom="1440" w:gutter="0" w:footer="0" w:header="0"/>
        </w:sectPr>
      </w:pPr>
    </w:p>
    <w:bookmarkStart w:id="49" w:name="page50"/>
    <w:bookmarkEnd w:id="49"/>
    <w:p>
      <w:pPr>
        <w:jc w:val="both"/>
        <w:ind w:firstLine="648"/>
        <w:spacing w:after="0" w:line="259" w:lineRule="auto"/>
        <w:rPr>
          <w:sz w:val="20"/>
          <w:szCs w:val="20"/>
          <w:color w:val="auto"/>
        </w:rPr>
      </w:pPr>
      <w:r>
        <w:rPr>
          <w:rFonts w:ascii="Arial" w:cs="Arial" w:eastAsia="Arial" w:hAnsi="Arial"/>
          <w:sz w:val="18"/>
          <w:szCs w:val="18"/>
          <w:color w:val="auto"/>
        </w:rPr>
        <w:t>At December 31, 2014 and 2013, we had unrecognized tax benefits related to uncertain tax positions which were recorded as a decrease in our net operating loss carryforward. We had not recorded any interest or penalty in regard to any unrecognized benefit. Interest and penalties would begin to accrue in the period in which the NOLs related to the uncertain tax positions are utilized. Our policy regarding interest and/or penalties related to income tax matters is to recognize such items as a component of income tax expense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i w:val="1"/>
          <w:iCs w:val="1"/>
          <w:color w:val="auto"/>
        </w:rPr>
        <w:t>Concentration Related to Customers and Suppliers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years ended December 31, 2014 and 2013, we had one major customer, a large defense primary contractor, which comprised 18% and 25% of our revenues, respectively. There were no other customers that comprised greater than 10% of our total revenues during these years.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one customer who comprised 16% of our trade accounts receivable as of December 31, 2014. We had two customers who comprised 26% and 15%, respectively, of our trade accounts receivable as of December 31, 2013.</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2014 and 2013, we do not consider this customer to be a significant credit risk. We do not normally obtain collateral on trade accounts receivable.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15"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58" w:lineRule="exact"/>
        <w:rPr>
          <w:sz w:val="20"/>
          <w:szCs w:val="20"/>
          <w:color w:val="auto"/>
        </w:rPr>
      </w:pPr>
    </w:p>
    <w:p>
      <w:pPr>
        <w:jc w:val="both"/>
        <w:ind w:left="1440" w:hanging="1025"/>
        <w:spacing w:after="0" w:line="264" w:lineRule="auto"/>
        <w:tabs>
          <w:tab w:leader="none" w:pos="14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14"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308" w:lineRule="auto"/>
        <w:rPr>
          <w:sz w:val="20"/>
          <w:szCs w:val="20"/>
          <w:color w:val="auto"/>
        </w:rPr>
      </w:pPr>
      <w:r>
        <w:rPr>
          <w:rFonts w:ascii="Arial" w:cs="Arial" w:eastAsia="Arial" w:hAnsi="Arial"/>
          <w:sz w:val="17"/>
          <w:szCs w:val="17"/>
          <w:color w:val="auto"/>
        </w:rPr>
        <w:t>The fair value of financial instruments approximated their carrying values at December 31, 2014 and 2013. The fair value of cash, trade accounts receivable, trade accounts payable, and accrued liabilities approximates carrying value due to the short-term nature of these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earnings (loss) per share is computed by dividing net income or loss by the weighted average number of common shares outstanding for the period. Due to the net losses in 2014 and 2013, diluted earnings per share are equal to basic earnings per share, as all potential shares are anti-dilutive. Diluted earnings per share calculations reflect the assumed exercise and conversion of dilutive employee stock options and unvested restricted stock, if any, applying the treasury stock method. Diluted earnings per share calculations exclude the effect of approximately 2,195,222 and 2,251,622 employee stock options and restricted stock shares in 2014 and 2013, respectively, since such options have an exercise price in excess of the weighted average market price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various stock-based employee compensation plans, which are described more fully in Note 7.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two operating segments – Battery &amp; Energy Products, and Communications Systems. The basis for determining our operating segments is the manner in which financial information is used by us in monitoring our operations. Management operates and organizes itself according to business units that comprise unique products and services across geographic locations.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2012, we decided to divest our RedBlack Communications business, which previously was reported in the Communications Systems segment. Also in 2012, we elected not to renew the lease for our U.K. manufacturing facility which expired on March 24, 2013. The results of the discontinued UK operations were previously reported in the Battery and Energy Products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i w:val="1"/>
          <w:iCs w:val="1"/>
          <w:color w:val="auto"/>
        </w:rPr>
        <w:t>Recent Accounting Pronouncements</w:t>
      </w:r>
    </w:p>
    <w:p>
      <w:pPr>
        <w:spacing w:after="0" w:line="218" w:lineRule="exact"/>
        <w:rPr>
          <w:sz w:val="20"/>
          <w:szCs w:val="20"/>
          <w:color w:val="auto"/>
        </w:rPr>
      </w:pPr>
    </w:p>
    <w:p>
      <w:pPr>
        <w:jc w:val="both"/>
        <w:ind w:firstLine="705"/>
        <w:spacing w:after="0" w:line="277" w:lineRule="auto"/>
        <w:rPr>
          <w:sz w:val="20"/>
          <w:szCs w:val="20"/>
          <w:color w:val="auto"/>
        </w:rPr>
      </w:pPr>
      <w:r>
        <w:rPr>
          <w:rFonts w:ascii="Arial" w:cs="Arial" w:eastAsia="Arial" w:hAnsi="Arial"/>
          <w:sz w:val="19"/>
          <w:szCs w:val="19"/>
          <w:color w:val="auto"/>
        </w:rPr>
        <w:t>In May 2014, the Financial Accounting Standards Board issued guidance related to revenue from contracts with customers. Under this guidance, revenue is recognized when promised goods or services are transferred to customers in an amount that reflects the consideration that is expected to be received for those goods or services. The updated standard will replace most existing revenue recognition guidance under GAAP when it becomes effective and permits the use of either the retrospective or cumulative effect transition method. Early adoption is not permitted. The updated standard will be effective for us in the first quarter of 2017. We have not yet selected a transition method and we are currently evaluating the effect that the updated standard will have on our consolidated financial statements and related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Dispositions, Relocations and Exit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2014, we were informed that the lease for our China facility would not be extended, and we commenced a search for an alternate site to relocate our facility. In July 2014, the Company’s subsidiary in China entered into a lease for a replacement facility, also located in Shenzhen. The lease has a five year term, included two rent-free months, and requires rent payments of RMB117 (approximately $19 at the current exchange rate) per month for the first three years, increasing to RMB126 (approximately $20) per month for the final two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665" w:right="239" w:bottom="1440" w:gutter="0" w:footer="0" w:header="0"/>
        </w:sectPr>
      </w:pPr>
    </w:p>
    <w:bookmarkStart w:id="51" w:name="page52"/>
    <w:bookmarkEnd w:id="51"/>
    <w:p>
      <w:pPr>
        <w:jc w:val="both"/>
        <w:ind w:firstLine="648"/>
        <w:spacing w:after="0" w:line="257" w:lineRule="auto"/>
        <w:rPr>
          <w:sz w:val="20"/>
          <w:szCs w:val="20"/>
          <w:color w:val="auto"/>
        </w:rPr>
      </w:pPr>
      <w:r>
        <w:rPr>
          <w:rFonts w:ascii="Arial" w:cs="Arial" w:eastAsia="Arial" w:hAnsi="Arial"/>
          <w:sz w:val="18"/>
          <w:szCs w:val="18"/>
          <w:color w:val="auto"/>
        </w:rPr>
        <w:t>In September 2014, the Company’s subsidiary in China entered into agreements with the local village government in Shenzhen, China and the subsidiary’s landlord for the facility the subsidiary is required to vacate. These agreements required the local government to compensate both the subsidiary and landlord for the building, leasehold improvements and additional expenses to be incurred in moving from this facility. The subsidiary received its estimated share of government compensation totaling $815 in 2014. The subsidiary has vacated the former facility premises and has substantially completed the move and transition to the new facility as of December 31, 2014.</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the Company’s policy to recognize this compensation as a pro-rata reduction of expenses as the expenses are recognized. The unrecognized balance is deferred and carried as a current liability.</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estimates that the total expenses of moving, including forfeited leasehold improvements, moving costs, legal costs, labor retention incentives and business interruption costs will total approximately $1,060. During 2014 the Company recognized $596 of the government’s compensation as a reduction of expenses, of which approximately $840 were recognized in 2014. Expenses totaling approximately $219 are estimated to be incurred in 2015 in relation to this relocation, and $219 of government compensation has been deferred as a current liability and is available to offset such expenses.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2012, we elected not to renew the lease for our U.K. manufacturing facility which expired in March 2013, and to relocate our sales and services operations to a smaller facility. We recorded a gain in discontinued operations in 2013 amounting to $241, relating to the difference between estimated costs and the actual amounts paid in relation to our relocation.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2014, we elected to terminate our lease for our U.K. office and repair facility which was to have expired in May 2018. The termination of this lease is effective as of January 31, 2015.</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in 2012, we sold 100% of our ownership interest in RedBlack. During 2014 and 2013, we recognized $61 and $125 in expense, respectively, in discontinued operations arising from customary post-closing working capital adjustments relating to that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3 - Supplemental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Inventory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Finished products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23"/>
        </w:trPr>
        <w:tc>
          <w:tcPr>
            <w:tcW w:w="8240" w:type="dxa"/>
            <w:vAlign w:val="bottom"/>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i w:val="1"/>
                <w:iCs w:val="1"/>
                <w:color w:val="auto"/>
              </w:rPr>
              <w:t>b. Property, Plant and Equipment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66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48,054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47,405</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Less – Accumulated depreciation</w:t>
            </w: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(53,416)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(51,924)</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Estimated costs to complete construction in progress as of December 31, 2014 and 2013 were approximately $586 and $472,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$2,757 and $2,957 for the years ended December 31,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Impairment of Goodwill, Intangible Assets and Long-Lived Assets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elected to forego the qualitative assessment for our three identified reporting units (Battery &amp; Energy Products business, Communications Systems business, and Able (which is a subset of our Battery &amp; Energy Products business), and conducted a quantitative assessment. The fair value for our reporting units subjected to this quantitative test could not be determined using readily available quoted Level 1 inputs or Level 2 inputs that were observable in active markets. Therefore, we used an income approach to estimate the fair value of the reporting units, using Level 3 inputs. To estimate the fair value of the reporting units, we used significant estimates and judgments, including an assessment of our future revenue prospects, particularly government/defense opportunities, as well as our estimates of the probabilities of the opportunities being funded, awarded, and awarded to us. Other key estimates and factors used in the valuation model included revenue growth rates and profit margins based on internal forecasts, as well as industry and market based terminal growth rates, inputs to the weighted-average cost of capital used to discount future cash flows, and earnings multiples. As a result of the goodwill impairment tests performed during 2014 and 2013, we determined that an impairment was not required.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661" w:right="239" w:bottom="1440" w:gutter="0" w:footer="0" w:header="0"/>
        </w:sectPr>
      </w:pPr>
    </w:p>
    <w:bookmarkStart w:id="53" w:name="page54"/>
    <w:bookmarkEnd w:id="53"/>
    <w:p>
      <w:pPr>
        <w:jc w:val="both"/>
        <w:ind w:firstLine="648"/>
        <w:spacing w:after="0" w:line="272" w:lineRule="auto"/>
        <w:rPr>
          <w:sz w:val="20"/>
          <w:szCs w:val="20"/>
          <w:color w:val="auto"/>
        </w:rPr>
      </w:pPr>
      <w:r>
        <w:rPr>
          <w:rFonts w:ascii="Arial" w:cs="Arial" w:eastAsia="Arial" w:hAnsi="Arial"/>
          <w:sz w:val="17"/>
          <w:szCs w:val="17"/>
          <w:color w:val="auto"/>
        </w:rPr>
        <w:t>Similarly, for our four other indefinite-lived intangible assets (trademarks and trade names), we elected to forego the qualitative assessment and proceeded to perform quantitative assessments. The fair value for our indefinite-lived intangible assets subjected to this quantitative test could not be determined using readily available quoted Level 1 inputs or Level 2 inputs that were observable in active markets. Therefore, we used a royalty relief approach, to estimate the fair value of the indefinite-lived intangible assets, using Level 3 inputs. This method also required us to use significant estimates and judgmental factors. The key estimates and factors used in the valuation model included revenue growth rates, as well as industry and market based terminal growth rates, inputs to the weighted-average cost of capital used to discount future cash flows, and determined royalty rates. As a result of the impairment tests performed during 2014 and 2013, we determined that an impairment was not required.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a possibility that our goodwill and other intangible assets, particularly in our Communications Systems business, could be impaired should there be a significant change in our internal forecasts and other assumptions we use in our impairment analysis.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2014 and 2013, we also evaluated certain fixed assets for impairment utilizing valuation methods that are classified as Level 3 inputs. Based upon the results of this evaluation, no material impairment was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goodwill activity by segment for the years ended December 31,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Communi-</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860" w:type="dxa"/>
            <w:vAlign w:val="bottom"/>
            <w:gridSpan w:val="4"/>
          </w:tcPr>
          <w:p>
            <w:pPr>
              <w:ind w:left="20"/>
              <w:spacing w:after="0"/>
              <w:rPr>
                <w:sz w:val="20"/>
                <w:szCs w:val="20"/>
                <w:color w:val="auto"/>
              </w:rPr>
            </w:pPr>
            <w:r>
              <w:rPr>
                <w:rFonts w:ascii="Arial" w:cs="Arial" w:eastAsia="Arial" w:hAnsi="Arial"/>
                <w:sz w:val="18"/>
                <w:szCs w:val="18"/>
                <w:b w:val="1"/>
                <w:bCs w:val="1"/>
                <w:color w:val="auto"/>
              </w:rPr>
              <w:t>Battery &amp; Energy</w:t>
            </w:r>
          </w:p>
        </w:tc>
        <w:tc>
          <w:tcPr>
            <w:tcW w:w="16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cations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Products</w:t>
            </w:r>
          </w:p>
        </w:tc>
        <w:tc>
          <w:tcPr>
            <w:tcW w:w="16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Systems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January 1, 2013</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16,344</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December 31, 2013</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6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December 31, 2014</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2"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Other Intangible Assets</w:t>
      </w:r>
    </w:p>
    <w:p>
      <w:pPr>
        <w:spacing w:after="0" w:line="225"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The composition of intangible assets was: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Trademarks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Patents and technology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Distributor relationships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right"/>
              <w:ind w:right="6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1540" w:type="dxa"/>
            <w:vAlign w:val="bottom"/>
            <w:gridSpan w:val="3"/>
          </w:tcPr>
          <w:p>
            <w:pPr>
              <w:ind w:left="2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195"/>
        </w:trPr>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3,567</w:t>
            </w:r>
          </w:p>
        </w:tc>
        <w:tc>
          <w:tcPr>
            <w:tcW w:w="1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3,567</w:t>
            </w:r>
          </w:p>
        </w:tc>
        <w:tc>
          <w:tcPr>
            <w:tcW w:w="100" w:type="dxa"/>
            <w:vAlign w:val="bottom"/>
            <w:tcBorders>
              <w:top w:val="single" w:sz="8" w:color="auto"/>
            </w:tcBorders>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-745490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-462280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-179705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882"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December 31, 2013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right"/>
              <w:ind w:right="6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Trademarks</w:t>
            </w:r>
          </w:p>
        </w:tc>
        <w:tc>
          <w:tcPr>
            <w:tcW w:w="2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980" w:type="dxa"/>
            <w:vAlign w:val="bottom"/>
            <w:gridSpan w:val="2"/>
          </w:tcPr>
          <w:p>
            <w:pPr>
              <w:ind w:left="100"/>
              <w:spacing w:after="0"/>
              <w:rPr>
                <w:sz w:val="20"/>
                <w:szCs w:val="20"/>
                <w:color w:val="auto"/>
              </w:rPr>
            </w:pPr>
            <w:r>
              <w:rPr>
                <w:rFonts w:ascii="Arial" w:cs="Arial" w:eastAsia="Arial" w:hAnsi="Arial"/>
                <w:sz w:val="18"/>
                <w:szCs w:val="18"/>
                <w:color w:val="auto"/>
              </w:rPr>
              <w:t>Patents and technology</w:t>
            </w: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3980" w:type="dxa"/>
            <w:vAlign w:val="bottom"/>
            <w:gridSpan w:val="2"/>
          </w:tcPr>
          <w:p>
            <w:pPr>
              <w:ind w:left="100"/>
              <w:spacing w:after="0"/>
              <w:rPr>
                <w:sz w:val="20"/>
                <w:szCs w:val="20"/>
                <w:color w:val="auto"/>
              </w:rPr>
            </w:pPr>
            <w:r>
              <w:rPr>
                <w:rFonts w:ascii="Arial" w:cs="Arial" w:eastAsia="Arial" w:hAnsi="Arial"/>
                <w:sz w:val="18"/>
                <w:szCs w:val="18"/>
                <w:color w:val="auto"/>
              </w:rPr>
              <w:t>Distributor relationships</w:t>
            </w:r>
          </w:p>
        </w:tc>
        <w:tc>
          <w:tcPr>
            <w:tcW w:w="2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intangible assets</w:t>
            </w: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Financial Statement Index</w:t>
              </w:r>
            </w:hyperlink>
          </w:p>
        </w:tc>
        <w:tc>
          <w:tcPr>
            <w:tcW w:w="2420" w:type="dxa"/>
            <w:vAlign w:val="bottom"/>
            <w:vMerge w:val="restart"/>
          </w:tcPr>
          <w:p>
            <w:pPr>
              <w:jc w:val="right"/>
              <w:ind w:right="490"/>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980" w:type="dxa"/>
            <w:vAlign w:val="bottom"/>
            <w:gridSpan w:val="2"/>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82" w:right="239" w:bottom="1440" w:gutter="0" w:footer="0" w:header="0"/>
          <w:type w:val="continuous"/>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Amortization of intangible assets was included in the following financial statement captions: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240" w:type="dxa"/>
            <w:vAlign w:val="bottom"/>
          </w:tcPr>
          <w:p>
            <w:pPr>
              <w:spacing w:after="0"/>
              <w:rPr>
                <w:sz w:val="24"/>
                <w:szCs w:val="24"/>
                <w:color w:val="auto"/>
              </w:rPr>
            </w:pPr>
          </w:p>
        </w:tc>
        <w:tc>
          <w:tcPr>
            <w:tcW w:w="274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176</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94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129</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8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cost value of total intangible assets is a result of the effect of foreign currency exchange rate fluctuations.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Operating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various buildings, machinery, land, automobiles and office equipment. Rental expenses for all operating leases were approximately $775 and $1,029 for the years ended December 31, 2014 and 2013, respectively. Future minimum lease payments under non-cancelable operating leases as of December 31, 2014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4"/>
        </w:trPr>
        <w:tc>
          <w:tcPr>
            <w:tcW w:w="230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58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5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66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56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party to a Revolving Credit, Guaranty and Security Agreement (the “Credit Agreement”) and related security agreements with PNC Bank, National Association (“PNC”), which provides us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30, 2014, the Company and PNC entered into an amendment (the “Amendment”) to the Credit Agreement. The Amendment permits the Company to commence the Share Repurchase Program described in Note 7 below,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28, 2014, the Company and PNC entered into a second amendment to the Credit Agreement which modifies the definition of EBITDA in the Credit Agreement to include non-cash stock- based compensation expense.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Quarterly Average Undrawn Borrowing</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Applicable Margin for Alternate Base Rate</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4"/>
              </w:rPr>
              <w:t>Applicable Margin for LIBOR Rate Loans</w:t>
            </w:r>
          </w:p>
        </w:tc>
      </w:tr>
      <w:tr>
        <w:trPr>
          <w:trHeight w:val="234"/>
        </w:trPr>
        <w:tc>
          <w:tcPr>
            <w:tcW w:w="20" w:type="dxa"/>
            <w:vAlign w:val="bottom"/>
          </w:tcPr>
          <w:p>
            <w:pPr>
              <w:spacing w:after="0"/>
              <w:rPr>
                <w:sz w:val="20"/>
                <w:szCs w:val="20"/>
                <w:color w:val="auto"/>
              </w:rPr>
            </w:pPr>
          </w:p>
        </w:tc>
        <w:tc>
          <w:tcPr>
            <w:tcW w:w="42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Availability</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Loans</w:t>
            </w:r>
          </w:p>
        </w:tc>
        <w:tc>
          <w:tcPr>
            <w:tcW w:w="33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Greater than $8,000,000</w:t>
            </w:r>
          </w:p>
        </w:tc>
        <w:tc>
          <w:tcPr>
            <w:tcW w:w="34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w:t>
            </w:r>
          </w:p>
        </w:tc>
        <w:tc>
          <w:tcPr>
            <w:tcW w:w="3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$5,000,000 up to $8,000,000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34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30"/>
        </w:trPr>
        <w:tc>
          <w:tcPr>
            <w:tcW w:w="4240" w:type="dxa"/>
            <w:vAlign w:val="bottom"/>
            <w:gridSpan w:val="4"/>
          </w:tcPr>
          <w:p>
            <w:pPr>
              <w:spacing w:after="0"/>
              <w:rPr>
                <w:sz w:val="20"/>
                <w:szCs w:val="20"/>
                <w:color w:val="auto"/>
              </w:rPr>
            </w:pPr>
            <w:r>
              <w:rPr>
                <w:rFonts w:ascii="Arial" w:cs="Arial" w:eastAsia="Arial" w:hAnsi="Arial"/>
                <w:sz w:val="18"/>
                <w:szCs w:val="18"/>
                <w:color w:val="auto"/>
              </w:rPr>
              <w:t>Less than $5,000,000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3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2.50%</w:t>
            </w:r>
          </w:p>
        </w:tc>
      </w:tr>
      <w:tr>
        <w:trPr>
          <w:trHeight w:val="392"/>
        </w:trPr>
        <w:tc>
          <w:tcPr>
            <w:tcW w:w="4240" w:type="dxa"/>
            <w:vAlign w:val="bottom"/>
            <w:gridSpan w:val="4"/>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Financial Statement Index</w:t>
              </w:r>
            </w:hyperlink>
          </w:p>
        </w:tc>
        <w:tc>
          <w:tcPr>
            <w:tcW w:w="3540" w:type="dxa"/>
            <w:vAlign w:val="bottom"/>
          </w:tcPr>
          <w:p>
            <w:pPr>
              <w:jc w:val="right"/>
              <w:ind w:right="187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ectPr>
          <w:pgSz w:w="11900" w:h="16838" w:orient="portrait"/>
          <w:cols w:equalWidth="0" w:num="1">
            <w:col w:w="11420"/>
          </w:cols>
          <w:pgMar w:left="240" w:top="665" w:right="239" w:bottom="1440" w:gutter="0" w:footer="0" w:header="0"/>
        </w:sectPr>
      </w:pPr>
    </w:p>
    <w:bookmarkStart w:id="55" w:name="page56"/>
    <w:bookmarkEnd w:id="55"/>
    <w:p>
      <w:pPr>
        <w:jc w:val="both"/>
        <w:ind w:right="20" w:firstLine="648"/>
        <w:spacing w:after="0" w:line="277" w:lineRule="auto"/>
        <w:rPr>
          <w:sz w:val="20"/>
          <w:szCs w:val="20"/>
          <w:color w:val="auto"/>
        </w:rPr>
      </w:pPr>
      <w:r>
        <w:rPr>
          <w:rFonts w:ascii="Arial" w:cs="Arial" w:eastAsia="Arial" w:hAnsi="Arial"/>
          <w:sz w:val="18"/>
          <w:szCs w:val="18"/>
          <w:color w:val="auto"/>
        </w:rPr>
        <w:t>We must pay a fee on the Credit Facility’s unused availability of 0.375% per annum and customary letter of credit fees in addition to various collateral monitoring and related fees and expenses.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December 31, 2014 we were in compliance with all covenants. The Credit Facility is secured by substantially all our assets.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2013, we had $-0- outstanding under the Credit Facility, an applicable interest rate of 2.17%, approximately $12,628 of borrowing capacity in addition to our unrestricted cash on hand of $17,711, and no outstanding letters of credit related to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Indemnity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organizational documents provide that our directors or officers will be reimbursed for all expenses, to the fullest extent permitted by law arising out of their performance.</w:t>
      </w:r>
    </w:p>
    <w:p>
      <w:pPr>
        <w:spacing w:after="0" w:line="1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Purchase Commitments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2014, we have made commitments to purchase approximately $402 of production machinery and equipment.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eminent domain claims, labor disputes, rapid changes in government, economic and political policies, and other various contingencies that are outside of our control. Any such event could depress our earnings and have other material adverse effects on our business, financial condition and results of operations.</w:t>
      </w:r>
    </w:p>
    <w:p>
      <w:pPr>
        <w:spacing w:after="0" w:line="15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ind w:firstLine="1711"/>
        <w:spacing w:after="0" w:line="257"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665" w:right="239" w:bottom="1440" w:gutter="0" w:footer="0" w:header="0"/>
        </w:sectPr>
      </w:pPr>
    </w:p>
    <w:bookmarkStart w:id="56" w:name="page57"/>
    <w:bookmarkEnd w:id="56"/>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years ended December 31, 2014 and 2013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January 1</w:t>
            </w: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Accrual for warranties issued</w:t>
            </w:r>
          </w:p>
        </w:tc>
        <w:tc>
          <w:tcPr>
            <w:tcW w:w="9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Settlements made</w:t>
            </w: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(259)</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23"/>
        </w:trPr>
        <w:tc>
          <w:tcPr>
            <w:tcW w:w="8240" w:type="dxa"/>
            <w:vAlign w:val="bottom"/>
          </w:tcPr>
          <w:p>
            <w:pPr>
              <w:ind w:left="100"/>
              <w:spacing w:after="0"/>
              <w:rPr>
                <w:sz w:val="20"/>
                <w:szCs w:val="20"/>
                <w:color w:val="auto"/>
              </w:rPr>
            </w:pPr>
            <w:r>
              <w:rPr>
                <w:rFonts w:ascii="Arial" w:cs="Arial" w:eastAsia="Arial" w:hAnsi="Arial"/>
                <w:sz w:val="18"/>
                <w:szCs w:val="18"/>
                <w:color w:val="auto"/>
              </w:rPr>
              <w:t>Balance, December 31</w:t>
            </w:r>
          </w:p>
        </w:tc>
        <w:tc>
          <w:tcPr>
            <w:tcW w:w="9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8"/>
          <w:szCs w:val="18"/>
          <w:i w:val="1"/>
          <w:iCs w:val="1"/>
          <w:color w:val="auto"/>
        </w:rPr>
        <w:t>. Legal Matters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729"/>
        <w:spacing w:after="0" w:line="288" w:lineRule="auto"/>
        <w:rPr>
          <w:sz w:val="20"/>
          <w:szCs w:val="20"/>
          <w:color w:val="auto"/>
        </w:rPr>
      </w:pPr>
      <w:r>
        <w:rPr>
          <w:rFonts w:ascii="Arial" w:cs="Arial" w:eastAsia="Arial" w:hAnsi="Arial"/>
          <w:sz w:val="16"/>
          <w:szCs w:val="16"/>
          <w:color w:val="auto"/>
        </w:rPr>
        <w:t>In September 2011, we initiated an action against Arista Power, Inc. (“Arista”) and our former senior sales and engineering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breached the terms of his Employee Confidentiality, Non-Disclosure, Non-Compete, Non-Disparagement and Assignment Agreement with us; (ii) Modeen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breached a subcontract between Arista and us. We seek damages as determined at trial and preliminary and permanent injunctive relief. The defendants answered the allegations set forth in the Complaint, without asserting any counterclaims.</w:t>
      </w:r>
    </w:p>
    <w:p>
      <w:pPr>
        <w:spacing w:after="0" w:line="169"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We initiated the September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665" w:right="239" w:bottom="1440" w:gutter="0" w:footer="0" w:header="0"/>
        </w:sectPr>
      </w:pPr>
    </w:p>
    <w:bookmarkStart w:id="57" w:name="page58"/>
    <w:bookmarkEnd w:id="57"/>
    <w:p>
      <w:pPr>
        <w:jc w:val="both"/>
        <w:ind w:firstLine="729"/>
        <w:spacing w:after="0" w:line="279" w:lineRule="auto"/>
        <w:rPr>
          <w:sz w:val="20"/>
          <w:szCs w:val="20"/>
          <w:color w:val="auto"/>
        </w:rPr>
      </w:pPr>
      <w:r>
        <w:rPr>
          <w:rFonts w:ascii="Arial" w:cs="Arial" w:eastAsia="Arial" w:hAnsi="Arial"/>
          <w:sz w:val="17"/>
          <w:szCs w:val="17"/>
          <w:color w:val="auto"/>
        </w:rPr>
        <w:t>In November 2011, Arista initiated a counterclaim against us, our officers, several of our directors, and one of our employees in the State of New York Supreme Court, County of Monroe, alleging that we and the named defendants violated the terms of a Confidentiality Agreement with Arista and unfairly competed against Arista by unlawfully appropriating Arista’s trade secrets and that as a result of such activity, Arista has incurred damages in excess of $60 million. Arista sought damages, an accounting, and preliminary and permanent injunctive relief.</w:t>
      </w:r>
    </w:p>
    <w:p>
      <w:pPr>
        <w:spacing w:after="0" w:line="171"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After various motions and discovery between the parties, amendments to Arista’s Complaint, and pre-trial conferences among the parties and the presiding judge over the time since Arista originally initiated its action, Arista withdrew all its remaining claims against us and our employee on October 31, 2014, and through mutual execution by the parties of a Stipulation of Discontinuance With Prejudice, its case against Ultralife in Monroe County was discontinued.</w:t>
      </w:r>
    </w:p>
    <w:p>
      <w:pPr>
        <w:spacing w:after="0" w:line="187"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Our suit against Arista remains in Wayne County, where discovery is ongoing, and we plan to continue to vigorously pursue our complaint against Arista. It is not possible to predict the outcome of this action, whether we will be granted the injunctive relief we seek, nor the monetary amount, if any, which we may be awarded should we prevail.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authorized 1,000,000 shares of preferred stock, with a par value of $0.10 per share. At December 31, 2014, no preferred shares were issued or outstanding.</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Common Stock</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have authorized 40,000,000 shares of common stock, with a par value of $0.10 per share.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2014, we issued 56,898 shares of common stock to our non-employee directors, valued at $210. In 2013, we issued 19,845 shares of common stock to our non-employee directors, valued at $73.</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December 31, 2014 and 2013, we had 1,600,731 and 1,372,757 shares of treasury stock outstanding, with a cost of $8,420 and $7,658, respectively. On April 28, 2014, the Company’s Board of Directors approved a share repurchase program (the “Share Repurchase Program”) which became effective on May 1, 2014, under which the Company has the authorization to repurchase up to 1.8 million shares of its outstanding common stock over a period not to exceed twelve months. Share repurchases are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at our discretion and the Share Repurchase Program may be suspended, terminated or modified by us at any time and for any reason. The Share Repurchase Program does not obligate us to repurchase any specific number of shares.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2014, we repurchased a total of 227,974 shares of our common stock for an aggregate consideration of $762, of which we repurchased 216,754 shares under the Share Repurchase Program for an aggregate amount of $722.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various stock-based employee compensation plans, for which compensation cost is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882" w:right="239" w:bottom="1440" w:gutter="0" w:footer="0" w:header="0"/>
        </w:sectPr>
      </w:pPr>
    </w:p>
    <w:bookmarkStart w:id="58" w:name="page59"/>
    <w:bookmarkEnd w:id="58"/>
    <w:p>
      <w:pPr>
        <w:jc w:val="both"/>
        <w:ind w:firstLine="648"/>
        <w:spacing w:after="0" w:line="286" w:lineRule="auto"/>
        <w:rPr>
          <w:sz w:val="20"/>
          <w:szCs w:val="20"/>
          <w:color w:val="auto"/>
        </w:rPr>
      </w:pPr>
      <w:r>
        <w:rPr>
          <w:rFonts w:ascii="Arial" w:cs="Arial" w:eastAsia="Arial" w:hAnsi="Arial"/>
          <w:sz w:val="17"/>
          <w:szCs w:val="17"/>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authorized under the LTIP increased to 2,900,000.</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2014, our shareholders approved the 2014 Long-Term Incentive Plan (“2014 LTIP”) as the successor plan to the 2004 LTIP which expired on June 10, 2014. Under the 2014 LTIP, a total of 1,750,000 shares of Common Stock will be available for grant of awards. However,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given to employees. As of December 31, 2014, there were 2,006,122 stock options outstanding under the 2004 LTIP. No options have yet been granted under the 2014 LTIP.</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option is fully vested and expired on March 7, 2015.</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options set forth in items (ii), (iii) and (iv) were subject to shareholder approval of an amendment to the 2004 LTIP, which approval was obtained on June 7, 2011.</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2004 LTIP. The option vests in annual increments of 12,500 shares over a four-year period commencing December 30, 2011. The option expires on December 30,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compensation cost related to stock options of $614 and $774 for the years ended December 31, 2014 and 2013, respectively. As of December 31, 2014, there was $381 of total unrecognized compensation costs related to outstanding stock options, which is expected to be recognized over a weighted average period of 1.4 years.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2014 and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2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1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10"/>
        </w:trPr>
        <w:tc>
          <w:tcPr>
            <w:tcW w:w="4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Risk-free interest rate</w:t>
            </w:r>
          </w:p>
        </w:tc>
        <w:tc>
          <w:tcPr>
            <w:tcW w:w="39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8"/>
                <w:szCs w:val="18"/>
                <w:color w:val="auto"/>
              </w:rPr>
              <w:t>Volatility factor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50.70%</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61.94%</w:t>
            </w: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260" w:type="dxa"/>
            <w:vAlign w:val="bottom"/>
            <w:gridSpan w:val="2"/>
          </w:tcPr>
          <w:p>
            <w:pPr>
              <w:ind w:left="100"/>
              <w:spacing w:after="0"/>
              <w:rPr>
                <w:sz w:val="20"/>
                <w:szCs w:val="20"/>
                <w:color w:val="auto"/>
              </w:rPr>
            </w:pPr>
            <w:r>
              <w:rPr>
                <w:rFonts w:ascii="Arial" w:cs="Arial" w:eastAsia="Arial" w:hAnsi="Arial"/>
                <w:sz w:val="18"/>
                <w:szCs w:val="18"/>
                <w:color w:val="auto"/>
              </w:rPr>
              <w:t>Weighted average expected life (years)</w:t>
            </w:r>
          </w:p>
        </w:tc>
        <w:tc>
          <w:tcPr>
            <w:tcW w:w="5300" w:type="dxa"/>
            <w:vAlign w:val="bottom"/>
            <w:gridSpan w:val="2"/>
          </w:tcPr>
          <w:p>
            <w:pPr>
              <w:jc w:val="right"/>
              <w:ind w:right="7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4.06</w:t>
            </w:r>
          </w:p>
        </w:tc>
      </w:tr>
      <w:tr>
        <w:trPr>
          <w:trHeight w:val="216"/>
        </w:trPr>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Forfeiture rate</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635"/>
        </w:trPr>
        <w:tc>
          <w:tcPr>
            <w:tcW w:w="4260" w:type="dxa"/>
            <w:vAlign w:val="bottom"/>
            <w:gridSpan w:val="2"/>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Financial Statement Index</w:t>
              </w:r>
            </w:hyperlink>
          </w:p>
        </w:tc>
        <w:tc>
          <w:tcPr>
            <w:tcW w:w="3900" w:type="dxa"/>
            <w:vAlign w:val="bottom"/>
          </w:tcPr>
          <w:p>
            <w:pPr>
              <w:jc w:val="right"/>
              <w:ind w:right="2250"/>
              <w:spacing w:after="0"/>
              <w:rPr>
                <w:sz w:val="20"/>
                <w:szCs w:val="20"/>
                <w:color w:val="auto"/>
              </w:rPr>
            </w:pPr>
            <w:r>
              <w:rPr>
                <w:rFonts w:ascii="Arial" w:cs="Arial" w:eastAsia="Arial" w:hAnsi="Arial"/>
                <w:sz w:val="18"/>
                <w:szCs w:val="18"/>
                <w:color w:val="auto"/>
              </w:rPr>
              <w:t>59</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ectPr>
          <w:pgSz w:w="11900" w:h="16838" w:orient="portrait"/>
          <w:cols w:equalWidth="0" w:num="1">
            <w:col w:w="11420"/>
          </w:cols>
          <w:pgMar w:left="240" w:top="665" w:right="239" w:bottom="1440" w:gutter="0" w:footer="0" w:header="0"/>
        </w:sectPr>
      </w:pPr>
    </w:p>
    <w:bookmarkStart w:id="59" w:name="page60"/>
    <w:bookmarkEnd w:id="59"/>
    <w:p>
      <w:pPr>
        <w:jc w:val="both"/>
        <w:ind w:firstLine="648"/>
        <w:spacing w:after="0" w:line="277" w:lineRule="auto"/>
        <w:rPr>
          <w:sz w:val="20"/>
          <w:szCs w:val="20"/>
          <w:color w:val="auto"/>
        </w:rPr>
      </w:pPr>
      <w:r>
        <w:rPr>
          <w:rFonts w:ascii="Arial" w:cs="Arial" w:eastAsia="Arial" w:hAnsi="Arial"/>
          <w:sz w:val="18"/>
          <w:szCs w:val="18"/>
          <w:color w:val="auto"/>
        </w:rPr>
        <w:t>We used a Monte Carlo simulation option-pricing model to estimate the fair value of market performance stock-based awards, of which there were no new awards in the years ended December 31, 2014 or 2013.</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data for the stock options issued by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8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Term</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under option – January 1</w:t>
            </w:r>
          </w:p>
        </w:tc>
        <w:tc>
          <w:tcPr>
            <w:tcW w:w="2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2,131,622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00"/>
              <w:spacing w:after="0"/>
              <w:rPr>
                <w:sz w:val="20"/>
                <w:szCs w:val="20"/>
                <w:color w:val="auto"/>
              </w:rPr>
            </w:pPr>
            <w:r>
              <w:rPr>
                <w:rFonts w:ascii="Arial" w:cs="Arial" w:eastAsia="Arial" w:hAnsi="Arial"/>
                <w:sz w:val="18"/>
                <w:szCs w:val="18"/>
                <w:color w:val="auto"/>
              </w:rPr>
              <w:t>Options granted</w:t>
            </w:r>
          </w:p>
        </w:tc>
        <w:tc>
          <w:tcPr>
            <w:tcW w:w="3760" w:type="dxa"/>
            <w:vAlign w:val="bottom"/>
            <w:gridSpan w:val="3"/>
          </w:tcPr>
          <w:p>
            <w:pPr>
              <w:jc w:val="right"/>
              <w:ind w:right="120"/>
              <w:spacing w:after="0"/>
              <w:rPr>
                <w:sz w:val="20"/>
                <w:szCs w:val="20"/>
                <w:color w:val="auto"/>
              </w:rPr>
            </w:pPr>
            <w:r>
              <w:rPr>
                <w:rFonts w:ascii="Arial" w:cs="Arial" w:eastAsia="Arial" w:hAnsi="Arial"/>
                <w:sz w:val="18"/>
                <w:szCs w:val="18"/>
                <w:color w:val="auto"/>
              </w:rPr>
              <w:t>252,500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3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00"/>
              <w:spacing w:after="0"/>
              <w:rPr>
                <w:sz w:val="20"/>
                <w:szCs w:val="20"/>
                <w:color w:val="auto"/>
              </w:rPr>
            </w:pPr>
            <w:r>
              <w:rPr>
                <w:rFonts w:ascii="Arial" w:cs="Arial" w:eastAsia="Arial" w:hAnsi="Arial"/>
                <w:sz w:val="18"/>
                <w:szCs w:val="18"/>
                <w:color w:val="auto"/>
              </w:rPr>
              <w:t>Options forfeited or expired</w:t>
            </w:r>
          </w:p>
        </w:tc>
        <w:tc>
          <w:tcPr>
            <w:tcW w:w="3760" w:type="dxa"/>
            <w:vAlign w:val="bottom"/>
            <w:gridSpan w:val="3"/>
          </w:tcPr>
          <w:p>
            <w:pPr>
              <w:jc w:val="right"/>
              <w:ind w:right="60"/>
              <w:spacing w:after="0"/>
              <w:rPr>
                <w:sz w:val="20"/>
                <w:szCs w:val="20"/>
                <w:color w:val="auto"/>
              </w:rPr>
            </w:pPr>
            <w:r>
              <w:rPr>
                <w:rFonts w:ascii="Arial" w:cs="Arial" w:eastAsia="Arial" w:hAnsi="Arial"/>
                <w:sz w:val="18"/>
                <w:szCs w:val="18"/>
                <w:color w:val="auto"/>
              </w:rPr>
              <w:t>(324,933)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Shares under option – December 31</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ind w:left="100"/>
              <w:spacing w:after="0"/>
              <w:rPr>
                <w:sz w:val="20"/>
                <w:szCs w:val="20"/>
                <w:color w:val="auto"/>
              </w:rPr>
            </w:pPr>
            <w:r>
              <w:rPr>
                <w:rFonts w:ascii="Arial" w:cs="Arial" w:eastAsia="Arial" w:hAnsi="Arial"/>
                <w:sz w:val="18"/>
                <w:szCs w:val="18"/>
                <w:color w:val="auto"/>
              </w:rPr>
              <w:t>Vested and expected to vest -</w:t>
            </w:r>
          </w:p>
        </w:tc>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gridSpan w:val="2"/>
            <w:vMerge w:val="continue"/>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December 31</w:t>
            </w:r>
          </w:p>
        </w:tc>
        <w:tc>
          <w:tcPr>
            <w:tcW w:w="3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1,957,633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Options exercisable – December 31</w:t>
            </w:r>
          </w:p>
        </w:tc>
        <w:tc>
          <w:tcPr>
            <w:tcW w:w="3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1,296,619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0"/>
              </w:rPr>
              <w:t>Year Ended December 31, 2013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w w:val="87"/>
              </w:rPr>
              <w:t>Average Exercise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of 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Shares under option – January 1</w:t>
            </w:r>
          </w:p>
        </w:tc>
        <w:tc>
          <w:tcPr>
            <w:tcW w:w="2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2,211,488</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1"/>
              </w:rPr>
              <w:t>7.47</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00"/>
              <w:spacing w:after="0"/>
              <w:rPr>
                <w:sz w:val="20"/>
                <w:szCs w:val="20"/>
                <w:color w:val="auto"/>
              </w:rPr>
            </w:pPr>
            <w:r>
              <w:rPr>
                <w:rFonts w:ascii="Arial" w:cs="Arial" w:eastAsia="Arial" w:hAnsi="Arial"/>
                <w:sz w:val="18"/>
                <w:szCs w:val="18"/>
                <w:color w:val="auto"/>
              </w:rPr>
              <w:t>Options granted</w:t>
            </w: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3.60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2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1"/>
              </w:rPr>
              <w:t>3.91</w:t>
            </w:r>
          </w:p>
        </w:tc>
        <w:tc>
          <w:tcPr>
            <w:tcW w:w="0" w:type="dxa"/>
            <w:vAlign w:val="bottom"/>
          </w:tcPr>
          <w:p>
            <w:pPr>
              <w:spacing w:after="0"/>
              <w:rPr>
                <w:sz w:val="1"/>
                <w:szCs w:val="1"/>
                <w:color w:val="auto"/>
              </w:rPr>
            </w:pPr>
          </w:p>
        </w:tc>
      </w:tr>
      <w:tr>
        <w:trPr>
          <w:trHeight w:val="230"/>
        </w:trPr>
        <w:tc>
          <w:tcPr>
            <w:tcW w:w="3600" w:type="dxa"/>
            <w:vAlign w:val="bottom"/>
            <w:gridSpan w:val="2"/>
          </w:tcPr>
          <w:p>
            <w:pPr>
              <w:ind w:left="100"/>
              <w:spacing w:after="0"/>
              <w:rPr>
                <w:sz w:val="20"/>
                <w:szCs w:val="20"/>
                <w:color w:val="auto"/>
              </w:rPr>
            </w:pPr>
            <w:r>
              <w:rPr>
                <w:rFonts w:ascii="Arial" w:cs="Arial" w:eastAsia="Arial" w:hAnsi="Arial"/>
                <w:sz w:val="18"/>
                <w:szCs w:val="18"/>
                <w:color w:val="auto"/>
              </w:rPr>
              <w:t>Options forfeited or expired</w:t>
            </w:r>
          </w:p>
        </w:tc>
        <w:tc>
          <w:tcPr>
            <w:tcW w:w="2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(304,866)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7.94</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Shares under option – December 31</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2,131,622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Options exercisable – December 31</w:t>
            </w:r>
          </w:p>
        </w:tc>
        <w:tc>
          <w:tcPr>
            <w:tcW w:w="2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1,107,116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1"/>
              </w:rPr>
              <w:t>6.32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2320" w:type="dxa"/>
            <w:vAlign w:val="bottom"/>
            <w:tcBorders>
              <w:top w:val="single" w:sz="8" w:color="CCEEFF"/>
              <w:bottom w:val="single" w:sz="8" w:color="CCEEFF"/>
            </w:tcBorders>
            <w:vMerge w:val="restart"/>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60</w:t>
            </w: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80" w:type="dxa"/>
            <w:vAlign w:val="bottom"/>
            <w:tcBorders>
              <w:bottom w:val="single" w:sz="8" w:color="0000EE"/>
            </w:tcBorders>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Option outstanding</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Borders>
              <w:bottom w:val="single" w:sz="8" w:color="auto"/>
            </w:tcBorders>
            <w:gridSpan w:val="7"/>
          </w:tcPr>
          <w:p>
            <w:pPr>
              <w:ind w:left="1080"/>
              <w:spacing w:after="0"/>
              <w:rPr>
                <w:sz w:val="20"/>
                <w:szCs w:val="20"/>
                <w:color w:val="auto"/>
              </w:rPr>
            </w:pPr>
            <w:r>
              <w:rPr>
                <w:rFonts w:ascii="Arial" w:cs="Arial" w:eastAsia="Arial" w:hAnsi="Arial"/>
                <w:sz w:val="18"/>
                <w:szCs w:val="18"/>
                <w:color w:val="auto"/>
              </w:rPr>
              <w:t>Options exercisable</w:t>
            </w:r>
          </w:p>
        </w:tc>
      </w:tr>
      <w:tr>
        <w:trPr>
          <w:trHeight w:val="195"/>
        </w:trPr>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1"/>
              </w:rPr>
              <w:t>Number of Outstanding</w:t>
            </w:r>
          </w:p>
        </w:tc>
        <w:tc>
          <w:tcPr>
            <w:tcW w:w="194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89"/>
              </w:rPr>
              <w:t>Weighted-Average</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2"/>
              </w:rPr>
              <w:t>Number of Options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Options – December 31,</w:t>
            </w:r>
          </w:p>
        </w:tc>
        <w:tc>
          <w:tcPr>
            <w:tcW w:w="1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Remaining Contractual</w:t>
            </w:r>
          </w:p>
        </w:tc>
        <w:tc>
          <w:tcPr>
            <w:tcW w:w="14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Weighted- Average</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Exercisable at December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Weighted- Average</w:t>
            </w:r>
          </w:p>
        </w:tc>
      </w:tr>
      <w:tr>
        <w:trPr>
          <w:trHeight w:val="230"/>
        </w:trPr>
        <w:tc>
          <w:tcPr>
            <w:tcW w:w="1980" w:type="dxa"/>
            <w:vAlign w:val="bottom"/>
            <w:gridSpan w:val="4"/>
          </w:tcPr>
          <w:p>
            <w:pPr>
              <w:ind w:left="40"/>
              <w:spacing w:after="0"/>
              <w:rPr>
                <w:sz w:val="20"/>
                <w:szCs w:val="20"/>
                <w:color w:val="auto"/>
              </w:rPr>
            </w:pPr>
            <w:r>
              <w:rPr>
                <w:rFonts w:ascii="Arial" w:cs="Arial" w:eastAsia="Arial" w:hAnsi="Arial"/>
                <w:sz w:val="18"/>
                <w:szCs w:val="18"/>
                <w:color w:val="auto"/>
                <w:w w:val="94"/>
              </w:rPr>
              <w:t>Range of Exercise Prices</w:t>
            </w:r>
          </w:p>
        </w:tc>
        <w:tc>
          <w:tcPr>
            <w:tcW w:w="1720" w:type="dxa"/>
            <w:vAlign w:val="bottom"/>
          </w:tcPr>
          <w:p>
            <w:pPr>
              <w:jc w:val="center"/>
              <w:ind w:left="3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8"/>
                <w:szCs w:val="18"/>
                <w:color w:val="auto"/>
              </w:rPr>
              <w:t>Life</w:t>
            </w:r>
          </w:p>
        </w:tc>
        <w:tc>
          <w:tcPr>
            <w:tcW w:w="140" w:type="dxa"/>
            <w:vAlign w:val="bottom"/>
          </w:tcPr>
          <w:p>
            <w:pPr>
              <w:spacing w:after="0"/>
              <w:rPr>
                <w:sz w:val="20"/>
                <w:szCs w:val="20"/>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91"/>
              </w:rPr>
              <w:t>31, 2014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Exercise Price</w:t>
            </w:r>
          </w:p>
        </w:tc>
      </w:tr>
      <w:tr>
        <w:trPr>
          <w:trHeight w:val="210"/>
        </w:trPr>
        <w:tc>
          <w:tcPr>
            <w:tcW w:w="186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$3.22 - $3.99</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654,700</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296,863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$4.00 - $4.99</w:t>
            </w:r>
          </w:p>
        </w:tc>
        <w:tc>
          <w:tcPr>
            <w:tcW w:w="1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417,750</w:t>
            </w:r>
          </w:p>
        </w:tc>
        <w:tc>
          <w:tcPr>
            <w:tcW w:w="1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416,084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$5.00 - $9.99</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488,600</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 $15.00</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495,072</w:t>
            </w:r>
          </w:p>
        </w:tc>
        <w:tc>
          <w:tcPr>
            <w:tcW w:w="12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95,072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r>
      <w:tr>
        <w:trPr>
          <w:trHeight w:val="210"/>
        </w:trPr>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 $15.00</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2,056,122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1,296,619</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 average fair value of options granted during the years ended December 31, 2014 and 2013 was $1.60 and $1.70, respectively. The total intrinsic value of options (which is the amount by which the stock price exceeded the exercise price of the options on the date of exercise) exercised during the years ended December 31, 2014 and 2013 was $3 and $1, respectively.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flows from excess tax benefits are classified as a part of cash flows from financing activities. Excess tax benefits are realized tax benefits from tax deductions for exercised options in excess of the deferred tax asset attributable to stock compensation costs for such options. We did not record any excess tax benefits in 2014 or 2013. Cash received from option exercises under our stock-based compensation plans for the years ended December 31, 4nd 2013 was $11 and $12,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January 29, 2013, we granted 120,000 contingent restricted stock units to our President and Chief Executive Officer, Michael D. Popielec, subject to shareholder approval, which was obtained on June 4, 2013, which vest as follows: (i) 30,000 shares of our common stock will vest on the later of January 1, 2014 or the date when our common stock first reaches a closing price of $4.00 per share for 15 trading days in a 30 trading day period; (ii) 30,000 shares of our common stock will vest on the later of January 1, 2014 or the date when our common stock first reaches a closing price of $5.00 per share for 15 trading days in a 30 trading day period; (iii) 30,000 shares of our common stock will vest on the later of January 1, 2015 or the date when our common stock first reaches a closing price of $4.00 per share for 15 trading days in a 30 trading day period; and (iv) 30,000 shares of our common stock will vest on the later of January 1, 2015 or the date when our common stock first reaches a closing price of $5.00 per share for 15 trading days in a 30 trading day period.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restricted stock units described in (i) and (iii) had achieved their closing price condition prior to shareholder approval and were valued at the closing price on the date of grant. The restricted stock units described in (ii) and (iv) had not yet achieved their closing price conditions and were valued utilizing a Monte Carlo simulation to determine fair value and the derived service period. The weighted average assumptions utilized in this simulation included the risk-free interest rate of 0.21%, volatility of 59.08% and no dividend payouts. The weighted average fair value per share was estimated at $3.62 for an aggregate value of $434. Of this amount, $150 and $284 were recognized in selling, general and administrative expenses in the years ended December 31, 2014 and 2013,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2014, we awarded 49,200 restricted stock units under the 2014 LTIP to certain key employees. These units vest over three years and we estimated their weighted average grant date fair value to be $3.24 per share. $29 of expense was recorded in 2014 relating to these units. At December 31, 2014, there was $130 of unrecognized compensation expense related to restricted stock grants.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Reserved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reserved 3,879,104 shares of common stock under the various stock option plans, warrants and restricted stock awards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665"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8 - Income Taxes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8240" w:type="dxa"/>
            <w:vAlign w:val="bottom"/>
          </w:tcPr>
          <w:p>
            <w:pPr>
              <w:ind w:left="920"/>
              <w:spacing w:after="0"/>
              <w:rPr>
                <w:sz w:val="20"/>
                <w:szCs w:val="20"/>
                <w:color w:val="auto"/>
              </w:rPr>
            </w:pPr>
            <w:r>
              <w:rPr>
                <w:rFonts w:ascii="Arial" w:cs="Arial" w:eastAsia="Arial" w:hAnsi="Arial"/>
                <w:sz w:val="18"/>
                <w:szCs w:val="18"/>
                <w:color w:val="auto"/>
              </w:rPr>
              <w:t>Our income tax provision (benefit) consists of: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9"/>
              </w:rPr>
              <w:t>Years Ended December 31,</w:t>
            </w: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0"/>
        </w:trPr>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40" w:type="dxa"/>
            <w:vAlign w:val="bottom"/>
          </w:tcPr>
          <w:p>
            <w:pPr>
              <w:ind w:left="10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0"/>
        </w:trPr>
        <w:tc>
          <w:tcPr>
            <w:tcW w:w="8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income tax provision (benefit)</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(benefit) related to discontinued operations was immaterial in both years.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deferred tax provision in both 2014 and 2013 is principally a result of the increase in the net deferred tax liability related to deferred tax liabilities generated from goodwill and certain intangible assets that cannot be predicted to reverse for book purposes during our loss carryforward periods.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 used for income tax purposes. Significant components of our deferred tax liabilities and assets are as follows:</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tax liabilities: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deferred tax liabilities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425"/>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r>
      <w:tr>
        <w:trPr>
          <w:trHeight w:val="230"/>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8"/>
              </w:rPr>
              <w:t>4,462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0"/>
                <w:szCs w:val="20"/>
                <w:color w:val="auto"/>
              </w:rPr>
            </w:pPr>
          </w:p>
        </w:tc>
      </w:tr>
      <w:tr>
        <w:trPr>
          <w:trHeight w:val="210"/>
        </w:trPr>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8"/>
              </w:rPr>
              <w:t>4,462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-582295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-299720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520" w:space="720"/>
            <w:col w:w="3180"/>
          </w:cols>
          <w:pgMar w:left="240" w:top="66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9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00"/>
              <w:spacing w:after="0"/>
              <w:rPr>
                <w:sz w:val="20"/>
                <w:szCs w:val="20"/>
                <w:color w:val="auto"/>
              </w:rPr>
            </w:pPr>
            <w:r>
              <w:rPr>
                <w:rFonts w:ascii="Arial" w:cs="Arial" w:eastAsia="Arial" w:hAnsi="Arial"/>
                <w:sz w:val="18"/>
                <w:szCs w:val="18"/>
                <w:color w:val="auto"/>
              </w:rPr>
              <w:t>Deferred tax assets:</w:t>
            </w:r>
          </w:p>
        </w:tc>
        <w:tc>
          <w:tcPr>
            <w:tcW w:w="3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plant and equipment</w:t>
            </w:r>
          </w:p>
        </w:tc>
        <w:tc>
          <w:tcPr>
            <w:tcW w:w="3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Net operating loss carryforwards</w:t>
            </w:r>
          </w:p>
        </w:tc>
        <w:tc>
          <w:tcPr>
            <w:tcW w:w="3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20,164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18,976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3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Intangible assets</w:t>
            </w:r>
          </w:p>
        </w:tc>
        <w:tc>
          <w:tcPr>
            <w:tcW w:w="3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reserves and other</w:t>
            </w:r>
          </w:p>
        </w:tc>
        <w:tc>
          <w:tcPr>
            <w:tcW w:w="3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0"/>
        </w:trPr>
        <w:tc>
          <w:tcPr>
            <w:tcW w:w="4420" w:type="dxa"/>
            <w:vAlign w:val="bottom"/>
            <w:gridSpan w:val="2"/>
          </w:tcPr>
          <w:p>
            <w:pPr>
              <w:ind w:left="380"/>
              <w:spacing w:after="0"/>
              <w:rPr>
                <w:sz w:val="20"/>
                <w:szCs w:val="20"/>
                <w:color w:val="auto"/>
              </w:rPr>
            </w:pPr>
            <w:r>
              <w:rPr>
                <w:rFonts w:ascii="Arial" w:cs="Arial" w:eastAsia="Arial" w:hAnsi="Arial"/>
                <w:sz w:val="18"/>
                <w:szCs w:val="18"/>
                <w:color w:val="auto"/>
              </w:rPr>
              <w:t>Total deferred tax assets</w:t>
            </w:r>
          </w:p>
        </w:tc>
        <w:tc>
          <w:tcPr>
            <w:tcW w:w="38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Valuation allowance for deferred tax assets</w:t>
            </w:r>
          </w:p>
        </w:tc>
        <w:tc>
          <w:tcPr>
            <w:tcW w:w="3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(27,951)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deferred tax assets</w:t>
            </w:r>
          </w:p>
        </w:tc>
        <w:tc>
          <w:tcPr>
            <w:tcW w:w="38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100"/>
              <w:spacing w:after="0"/>
              <w:rPr>
                <w:sz w:val="20"/>
                <w:szCs w:val="20"/>
                <w:color w:val="auto"/>
              </w:rPr>
            </w:pPr>
            <w:r>
              <w:rPr>
                <w:rFonts w:ascii="Arial" w:cs="Arial" w:eastAsia="Arial" w:hAnsi="Arial"/>
                <w:sz w:val="18"/>
                <w:szCs w:val="18"/>
                <w:color w:val="auto"/>
              </w:rPr>
              <w:t>Net deferred tax liabilities</w:t>
            </w:r>
          </w:p>
        </w:tc>
        <w:tc>
          <w:tcPr>
            <w:tcW w:w="4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4,356</w:t>
            </w:r>
          </w:p>
        </w:tc>
        <w:tc>
          <w:tcPr>
            <w:tcW w:w="32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Financial Statement Index</w:t>
              </w:r>
            </w:hyperlink>
          </w:p>
        </w:tc>
        <w:tc>
          <w:tcPr>
            <w:tcW w:w="3820" w:type="dxa"/>
            <w:vAlign w:val="bottom"/>
            <w:vMerge w:val="restart"/>
          </w:tcPr>
          <w:p>
            <w:pPr>
              <w:jc w:val="right"/>
              <w:ind w:right="2330"/>
              <w:spacing w:after="0"/>
              <w:rPr>
                <w:sz w:val="20"/>
                <w:szCs w:val="20"/>
                <w:color w:val="auto"/>
              </w:rPr>
            </w:pPr>
            <w:r>
              <w:rPr>
                <w:rFonts w:ascii="Arial" w:cs="Arial" w:eastAsia="Arial" w:hAnsi="Arial"/>
                <w:sz w:val="18"/>
                <w:szCs w:val="18"/>
                <w:color w:val="auto"/>
              </w:rPr>
              <w:t>62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420" w:type="dxa"/>
            <w:vAlign w:val="bottom"/>
            <w:gridSpan w:val="2"/>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62" w:name="page63"/>
    <w:bookmarkEnd w:id="62"/>
    <w:p>
      <w:pPr>
        <w:ind w:left="660"/>
        <w:spacing w:after="0"/>
        <w:rPr>
          <w:sz w:val="20"/>
          <w:szCs w:val="20"/>
          <w:color w:val="auto"/>
        </w:rPr>
      </w:pPr>
      <w:r>
        <w:rPr>
          <w:rFonts w:ascii="Arial" w:cs="Arial" w:eastAsia="Arial" w:hAnsi="Arial"/>
          <w:sz w:val="16"/>
          <w:szCs w:val="16"/>
          <w:color w:val="auto"/>
        </w:rPr>
        <w:t>Net deferred tax liabilities is comprised of the following balance sheet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Current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Current deferred tax liabilities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Non-current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288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9"/>
              </w:rPr>
              <w:t>Years Ended December 31,</w:t>
            </w:r>
          </w:p>
        </w:tc>
      </w:tr>
      <w:tr>
        <w:trPr>
          <w:trHeight w:val="234"/>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411"/>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r>
      <w:tr>
        <w:trPr>
          <w:trHeight w:val="230"/>
        </w:trPr>
        <w:tc>
          <w:tcPr>
            <w:tcW w:w="300" w:type="dxa"/>
            <w:vAlign w:val="bottom"/>
          </w:tcPr>
          <w:p>
            <w:pPr>
              <w:spacing w:after="0"/>
              <w:rPr>
                <w:sz w:val="19"/>
                <w:szCs w:val="19"/>
                <w:color w:val="auto"/>
              </w:rPr>
            </w:pPr>
          </w:p>
        </w:tc>
        <w:tc>
          <w:tcPr>
            <w:tcW w:w="15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(4,462)</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(4,242)</w:t>
            </w:r>
          </w:p>
        </w:tc>
      </w:tr>
      <w:tr>
        <w:trPr>
          <w:trHeight w:val="223"/>
        </w:trPr>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180"/>
          </w:cols>
          <w:pgMar w:left="240" w:top="665"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valuation allowance for deferred tax assets increased $659 and $1,041 in the years ended December 31, 2014 and 2013, respectively.</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2014 and 2013, in the U.S. and the U.K., we continue to report a valuation allowance for our deferred tax assets that cannot be offset by reversing temporary differences. We continue to conclude that, based on historical factors, it is more likely than not that we will not fully utilize our U.S. and U.K. NOLs that have accumulated over time. The recognition of a valuation allowance on our deferred tax assets results from our evaluation of all available evidence, both positive and negative. The assessment of the realizability of the NOLs is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2014. We believe that these historical factors represent negative evidence sufficient to conclude that we should record a full valuation allowance against our deferred tax assets. In both 2014 and 2013, we have not recorded a valuation allowance against our foreign deferred tax assets as we believe that it is more likely than not that they will be realized. We continually assess the carrying value of this asset based on relevant accounting standards.</w:t>
      </w:r>
    </w:p>
    <w:p>
      <w:pPr>
        <w:spacing w:after="0" w:line="182"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As of December 31, 2014, we have foreign and domestic NOLs and credit carryforwards totaling approximately $65,900 and $1,400, respectively, available to reduce future taxable income. Included in our NOL carryforward are foreign loss carryforwards of approximately $12,400 which can be carried forward indefinitely. The domestic NOL carryforward of $53,500 beginning in 2019, through 2034. The domestic NOL carryforward includes approximately $2,900 for which a benefit will be recorded in capital in excess of par value when realized.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financial reporting purposes, income (loss) from continuing operations before income taxes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9"/>
              </w:rPr>
              <w:t>Years Ended December 31,</w:t>
            </w: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8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undistributed earnings of our foreign subsidiaries, at December 31, 2014 or 2013.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(loss) from continuing operations before income taxes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3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00"/>
              <w:spacing w:after="0"/>
              <w:rPr>
                <w:sz w:val="20"/>
                <w:szCs w:val="20"/>
                <w:color w:val="auto"/>
              </w:rPr>
            </w:pPr>
            <w:r>
              <w:rPr>
                <w:rFonts w:ascii="Arial" w:cs="Arial" w:eastAsia="Arial" w:hAnsi="Arial"/>
                <w:sz w:val="18"/>
                <w:szCs w:val="18"/>
                <w:color w:val="auto"/>
              </w:rPr>
              <w:t>Statutory income tax rate</w:t>
            </w:r>
          </w:p>
        </w:tc>
        <w:tc>
          <w:tcPr>
            <w:tcW w:w="4820" w:type="dxa"/>
            <w:vAlign w:val="bottom"/>
            <w:gridSpan w:val="3"/>
          </w:tcPr>
          <w:p>
            <w:pPr>
              <w:jc w:val="right"/>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(Increase) decrease in tax provision resulting from:</w:t>
            </w:r>
          </w:p>
        </w:tc>
        <w:tc>
          <w:tcPr>
            <w:tcW w:w="3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Equity compensation</w:t>
            </w:r>
          </w:p>
        </w:tc>
        <w:tc>
          <w:tcPr>
            <w:tcW w:w="4820" w:type="dxa"/>
            <w:vAlign w:val="bottom"/>
            <w:gridSpan w:val="3"/>
          </w:tcPr>
          <w:p>
            <w:pPr>
              <w:jc w:val="right"/>
              <w:ind w:right="70"/>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Income tax credits</w:t>
            </w:r>
          </w:p>
        </w:tc>
        <w:tc>
          <w:tcPr>
            <w:tcW w:w="48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tax rates</w:t>
            </w:r>
          </w:p>
        </w:tc>
        <w:tc>
          <w:tcPr>
            <w:tcW w:w="4820" w:type="dxa"/>
            <w:vAlign w:val="bottom"/>
            <w:gridSpan w:val="3"/>
          </w:tcPr>
          <w:p>
            <w:pPr>
              <w:jc w:val="right"/>
              <w:ind w:right="7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4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(36.6)</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4820" w:type="dxa"/>
            <w:vAlign w:val="bottom"/>
            <w:gridSpan w:val="3"/>
          </w:tcPr>
          <w:p>
            <w:pPr>
              <w:jc w:val="right"/>
              <w:ind w:right="7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Effective income tax rate</w:t>
            </w: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Financial Statement Index</w:t>
              </w:r>
            </w:hyperlink>
          </w:p>
        </w:tc>
        <w:tc>
          <w:tcPr>
            <w:tcW w:w="3380" w:type="dxa"/>
            <w:vAlign w:val="bottom"/>
            <w:vMerge w:val="restart"/>
          </w:tcPr>
          <w:p>
            <w:pPr>
              <w:jc w:val="right"/>
              <w:ind w:right="2170"/>
              <w:spacing w:after="0"/>
              <w:rPr>
                <w:sz w:val="20"/>
                <w:szCs w:val="20"/>
                <w:color w:val="auto"/>
              </w:rPr>
            </w:pPr>
            <w:r>
              <w:rPr>
                <w:rFonts w:ascii="Arial" w:cs="Arial" w:eastAsia="Arial" w:hAnsi="Arial"/>
                <w:sz w:val="18"/>
                <w:szCs w:val="18"/>
                <w:color w:val="auto"/>
              </w:rPr>
              <w:t>63</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00" w:type="dxa"/>
            <w:vAlign w:val="bottom"/>
            <w:gridSpan w:val="2"/>
            <w:vMerge w:val="continue"/>
          </w:tcPr>
          <w:p>
            <w:pPr>
              <w:spacing w:after="0"/>
              <w:rPr>
                <w:sz w:val="24"/>
                <w:szCs w:val="24"/>
                <w:color w:val="auto"/>
              </w:rPr>
            </w:pPr>
          </w:p>
        </w:tc>
        <w:tc>
          <w:tcPr>
            <w:tcW w:w="33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65"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unrecognized tax benefits related to uncertain tax positions at December 31, 2014 relate to Federal and various state jurisdictions. The following table summarizes the activity related to our unrecognized tax benefits: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6"/>
          </w:tcPr>
          <w:p>
            <w:pPr>
              <w:ind w:left="26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 beginning of year</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7,296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7,508</w:t>
            </w: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30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Decreases related to prior year tax positions</w:t>
            </w:r>
          </w:p>
        </w:tc>
        <w:tc>
          <w:tcPr>
            <w:tcW w:w="30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Expiration of statute of limitations for assessment of taxes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Settlements with taxing authorities</w:t>
            </w:r>
          </w:p>
        </w:tc>
        <w:tc>
          <w:tcPr>
            <w:tcW w:w="30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end of year</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7,296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unrecognized tax benefit balances at December 31, 2013 was comprised of tax benefits that, if recognized, would result in a deferred tax asset and a corresponding increase in our valuation allowance. As a result, because the benefit would be offset by an increase in the valuation allowance, there would be no net effect on our effective tax rate or income tax provision.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2014 remain subject to examination by the Internal Revenue Service (“IRS”) due to our NOL carryforwards. Our U.S. tax matters for the years 2001 through 2014 remain subject to examination by various state and local tax jurisdictions due to our NOL carryforwards. Our tax matters for the years 2008 through 2013 remain subject to examination by the respective foreign tax jurisdiction authorities. The IRS is examining our U.S. income tax returns through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9 - 401(k) Retirement Benefit Plan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Since January 2010, we have matched 50% on the first 4% contributed by an employee, or a maximum of 2% of the employee’s income. For 2014 and 2013, we contributed $164 and $99, respectively, to the 401(k)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Business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20"/>
          </w:cols>
          <w:pgMar w:left="240" w:top="665"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7"/>
              </w:rPr>
              <w:t>Battery &amp;</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Energy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cations</w:t>
            </w:r>
          </w:p>
        </w:tc>
        <w:tc>
          <w:tcPr>
            <w:tcW w:w="1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Discontinued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7"/>
              </w:rPr>
              <w:t>Products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3"/>
              </w:rPr>
              <w:t>Systems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Operations</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b w:val="1"/>
                <w:bCs w:val="1"/>
                <w:color w:val="auto"/>
              </w:rPr>
              <w:t>Corporate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66,494</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Segment contribution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8"/>
              </w:rPr>
              <w:t>(20,793)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Miscellaneous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Net loss attributable to Ultralife</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Total assets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38,415</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45"/>
              <w:spacing w:after="0"/>
              <w:rPr>
                <w:sz w:val="20"/>
                <w:szCs w:val="20"/>
                <w:color w:val="auto"/>
              </w:rPr>
            </w:pPr>
            <w:r>
              <w:rPr>
                <w:rFonts w:ascii="Arial" w:cs="Arial" w:eastAsia="Arial" w:hAnsi="Arial"/>
                <w:sz w:val="18"/>
                <w:szCs w:val="18"/>
                <w:color w:val="auto"/>
              </w:rPr>
              <w:t>20,171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87,642</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30"/>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45"/>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418"/>
        </w:trPr>
        <w:tc>
          <w:tcPr>
            <w:tcW w:w="19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7"/>
              </w:rPr>
              <w:t>Battery &amp;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Energy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cations</w:t>
            </w:r>
          </w:p>
        </w:tc>
        <w:tc>
          <w:tcPr>
            <w:tcW w:w="1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Discontinued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7"/>
              </w:rPr>
              <w:t>Products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3"/>
              </w:rPr>
              <w:t>Systems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Operations</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b w:val="1"/>
                <w:bCs w:val="1"/>
                <w:color w:val="auto"/>
              </w:rPr>
              <w:t>Corporate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78,835</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Segment contribution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8"/>
              </w:rPr>
              <w:t>(23,245)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Miscellaneous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Net loss attributable to Ultralife</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Total assets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40,851</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45"/>
              <w:spacing w:after="0"/>
              <w:rPr>
                <w:sz w:val="20"/>
                <w:szCs w:val="20"/>
                <w:color w:val="auto"/>
              </w:rPr>
            </w:pPr>
            <w:r>
              <w:rPr>
                <w:rFonts w:ascii="Arial" w:cs="Arial" w:eastAsia="Arial" w:hAnsi="Arial"/>
                <w:sz w:val="18"/>
                <w:szCs w:val="18"/>
                <w:color w:val="auto"/>
              </w:rPr>
              <w:t>19,275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90,194</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16,419</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30"/>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45"/>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377"/>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U.S. and Non-U.S. Revenue Information (in millions)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1</w:t>
            </w:r>
          </w:p>
        </w:tc>
        <w:tc>
          <w:tcPr>
            <w:tcW w:w="660" w:type="dxa"/>
            <w:vAlign w:val="bottom"/>
            <w:vMerge w:val="restart"/>
          </w:tcPr>
          <w:p>
            <w:pPr>
              <w:jc w:val="right"/>
              <w:ind w:right="520"/>
              <w:spacing w:after="0"/>
              <w:rPr>
                <w:sz w:val="20"/>
                <w:szCs w:val="20"/>
                <w:color w:val="auto"/>
              </w:rPr>
            </w:pPr>
            <w:r>
              <w:rPr>
                <w:rFonts w:ascii="Arial" w:cs="Arial" w:eastAsia="Arial" w:hAnsi="Arial"/>
                <w:sz w:val="16"/>
                <w:szCs w:val="16"/>
                <w:b w:val="1"/>
                <w:bCs w:val="1"/>
                <w:u w:val="single" w:color="auto"/>
                <w:color w:val="auto"/>
                <w:w w:val="74"/>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980" w:type="dxa"/>
            <w:vAlign w:val="bottom"/>
            <w:tcBorders>
              <w:bottom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5"/>
            <w:vMerge w:val="restart"/>
          </w:tcPr>
          <w:p>
            <w:pPr>
              <w:jc w:val="right"/>
              <w:ind w:right="180"/>
              <w:spacing w:after="0"/>
              <w:rPr>
                <w:sz w:val="20"/>
                <w:szCs w:val="20"/>
                <w:color w:val="auto"/>
              </w:rPr>
            </w:pPr>
            <w:r>
              <w:rPr>
                <w:rFonts w:ascii="Arial" w:cs="Arial" w:eastAsia="Arial" w:hAnsi="Arial"/>
                <w:sz w:val="18"/>
                <w:szCs w:val="18"/>
                <w:b w:val="1"/>
                <w:bCs w:val="1"/>
                <w:color w:val="auto"/>
                <w:w w:val="96"/>
              </w:rPr>
              <w:t>Non-United</w:t>
            </w:r>
          </w:p>
        </w:tc>
        <w:tc>
          <w:tcPr>
            <w:tcW w:w="0" w:type="dxa"/>
            <w:vAlign w:val="bottom"/>
          </w:tcPr>
          <w:p>
            <w:pPr>
              <w:spacing w:after="0"/>
              <w:rPr>
                <w:sz w:val="1"/>
                <w:szCs w:val="1"/>
                <w:color w:val="auto"/>
              </w:rPr>
            </w:pPr>
          </w:p>
        </w:tc>
      </w:tr>
      <w:tr>
        <w:trPr>
          <w:trHeight w:val="434"/>
        </w:trPr>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2014:</w:t>
            </w:r>
          </w:p>
        </w:tc>
        <w:tc>
          <w:tcPr>
            <w:tcW w:w="2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3"/>
              </w:rPr>
              <w:t>United States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88"/>
              </w:rPr>
              <w:t>States</w:t>
            </w:r>
          </w:p>
        </w:tc>
        <w:tc>
          <w:tcPr>
            <w:tcW w:w="0" w:type="dxa"/>
            <w:vAlign w:val="bottom"/>
          </w:tcPr>
          <w:p>
            <w:pPr>
              <w:spacing w:after="0"/>
              <w:rPr>
                <w:sz w:val="1"/>
                <w:szCs w:val="1"/>
                <w:color w:val="auto"/>
              </w:rPr>
            </w:pPr>
          </w:p>
        </w:tc>
      </w:tr>
      <w:tr>
        <w:trPr>
          <w:trHeight w:val="210"/>
        </w:trPr>
        <w:tc>
          <w:tcPr>
            <w:tcW w:w="4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Battery &amp; Energy Products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4"/>
          </w:tcPr>
          <w:p>
            <w:pPr>
              <w:ind w:left="100"/>
              <w:spacing w:after="0"/>
              <w:rPr>
                <w:sz w:val="20"/>
                <w:szCs w:val="20"/>
                <w:color w:val="auto"/>
              </w:rPr>
            </w:pPr>
            <w:r>
              <w:rPr>
                <w:rFonts w:ascii="Arial" w:cs="Arial" w:eastAsia="Arial" w:hAnsi="Arial"/>
                <w:sz w:val="18"/>
                <w:szCs w:val="18"/>
                <w:color w:val="auto"/>
              </w:rPr>
              <w:t>Communications Systems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i w:val="1"/>
                <w:iCs w:val="1"/>
                <w:color w:val="auto"/>
              </w:rPr>
              <w:t>59%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593"/>
        </w:trPr>
        <w:tc>
          <w:tcPr>
            <w:tcW w:w="4700" w:type="dxa"/>
            <w:vAlign w:val="bottom"/>
            <w:gridSpan w:val="4"/>
          </w:tcPr>
          <w:p>
            <w:pPr>
              <w:spacing w:after="0"/>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Financial Statement Index</w:t>
              </w:r>
            </w:hyperlink>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61"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Non-United</w:t>
            </w:r>
          </w:p>
        </w:tc>
      </w:tr>
      <w:tr>
        <w:trPr>
          <w:trHeight w:val="234"/>
        </w:trPr>
        <w:tc>
          <w:tcPr>
            <w:tcW w:w="5920" w:type="dxa"/>
            <w:vAlign w:val="bottom"/>
          </w:tcPr>
          <w:p>
            <w:pPr>
              <w:jc w:val="right"/>
              <w:ind w:right="5410"/>
              <w:spacing w:after="0"/>
              <w:rPr>
                <w:sz w:val="20"/>
                <w:szCs w:val="20"/>
                <w:color w:val="auto"/>
              </w:rPr>
            </w:pPr>
            <w:r>
              <w:rPr>
                <w:rFonts w:ascii="Arial" w:cs="Arial" w:eastAsia="Arial" w:hAnsi="Arial"/>
                <w:sz w:val="18"/>
                <w:szCs w:val="18"/>
                <w:b w:val="1"/>
                <w:bCs w:val="1"/>
                <w:color w:val="auto"/>
                <w:w w:val="86"/>
              </w:rPr>
              <w:t>2013: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United States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States</w:t>
            </w:r>
          </w:p>
        </w:tc>
      </w:tr>
      <w:tr>
        <w:trPr>
          <w:trHeight w:val="210"/>
        </w:trPr>
        <w:tc>
          <w:tcPr>
            <w:tcW w:w="59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Battery &amp; Energy Products</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r>
      <w:tr>
        <w:trPr>
          <w:trHeight w:val="230"/>
        </w:trPr>
        <w:tc>
          <w:tcPr>
            <w:tcW w:w="5920" w:type="dxa"/>
            <w:vAlign w:val="bottom"/>
          </w:tcPr>
          <w:p>
            <w:pPr>
              <w:ind w:left="100"/>
              <w:spacing w:after="0"/>
              <w:rPr>
                <w:sz w:val="20"/>
                <w:szCs w:val="20"/>
                <w:color w:val="auto"/>
              </w:rPr>
            </w:pPr>
            <w:r>
              <w:rPr>
                <w:rFonts w:ascii="Arial" w:cs="Arial" w:eastAsia="Arial" w:hAnsi="Arial"/>
                <w:sz w:val="18"/>
                <w:szCs w:val="18"/>
                <w:color w:val="auto"/>
              </w:rPr>
              <w:t>Communications Systems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23"/>
        </w:trPr>
        <w:tc>
          <w:tcPr>
            <w:tcW w:w="5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5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198" w:lineRule="exact"/>
              <w:rPr>
                <w:sz w:val="20"/>
                <w:szCs w:val="20"/>
                <w:color w:val="auto"/>
              </w:rPr>
            </w:pPr>
            <w:r>
              <w:rPr>
                <w:rFonts w:ascii="Arial" w:cs="Arial" w:eastAsia="Arial" w:hAnsi="Arial"/>
                <w:sz w:val="18"/>
                <w:szCs w:val="18"/>
                <w:i w:val="1"/>
                <w:iCs w:val="1"/>
                <w:color w:val="auto"/>
              </w:rPr>
              <w:t>64%</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
              <w:spacing w:after="0" w:line="198" w:lineRule="exact"/>
              <w:rPr>
                <w:sz w:val="20"/>
                <w:szCs w:val="20"/>
                <w:color w:val="auto"/>
              </w:rPr>
            </w:pPr>
            <w:r>
              <w:rPr>
                <w:rFonts w:ascii="Arial" w:cs="Arial" w:eastAsia="Arial" w:hAnsi="Arial"/>
                <w:sz w:val="18"/>
                <w:szCs w:val="18"/>
                <w:i w:val="1"/>
                <w:iCs w:val="1"/>
                <w:color w:val="auto"/>
              </w:rPr>
              <w:t>36%</w:t>
            </w:r>
          </w:p>
        </w:tc>
      </w:tr>
    </w:tbl>
    <w:p>
      <w:pPr>
        <w:ind w:left="120" w:hanging="112"/>
        <w:spacing w:after="0" w:line="181" w:lineRule="auto"/>
        <w:tabs>
          <w:tab w:leader="none" w:pos="120" w:val="left"/>
        </w:tabs>
        <w:numPr>
          <w:ilvl w:val="0"/>
          <w:numId w:val="12"/>
        </w:numPr>
        <w:rPr>
          <w:rFonts w:ascii="Arial" w:cs="Arial" w:eastAsia="Arial" w:hAnsi="Arial"/>
          <w:sz w:val="28"/>
          <w:szCs w:val="28"/>
          <w:color w:val="auto"/>
          <w:vertAlign w:val="superscript"/>
        </w:rPr>
      </w:pPr>
      <w:r>
        <w:rPr>
          <w:rFonts w:ascii="Arial" w:cs="Arial" w:eastAsia="Arial" w:hAnsi="Arial"/>
          <w:sz w:val="14"/>
          <w:szCs w:val="14"/>
          <w:color w:val="auto"/>
        </w:rPr>
        <w:t>Sales classified to U.S. include shipments to U.S.-based prime contractors which in some cases may serve non-U.S. projects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Long-lived assets (including goodwill and intangible assets) held outside the U.S., principally in China, were $5,153 and $4,749 at December 31, 2014 and 2013,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Commercial and Government/Defense Revenue Information:</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4"/>
        </w:trPr>
        <w:tc>
          <w:tcPr>
            <w:tcW w:w="470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Government/</w:t>
            </w: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Commercial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Defense</w:t>
            </w:r>
          </w:p>
        </w:tc>
      </w:tr>
      <w:tr>
        <w:trPr>
          <w:trHeight w:val="210"/>
        </w:trPr>
        <w:tc>
          <w:tcPr>
            <w:tcW w:w="59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Battery &amp; Energy Products</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r>
      <w:tr>
        <w:trPr>
          <w:trHeight w:val="230"/>
        </w:trPr>
        <w:tc>
          <w:tcPr>
            <w:tcW w:w="5920" w:type="dxa"/>
            <w:vAlign w:val="bottom"/>
            <w:gridSpan w:val="2"/>
          </w:tcPr>
          <w:p>
            <w:pPr>
              <w:ind w:left="100"/>
              <w:spacing w:after="0"/>
              <w:rPr>
                <w:sz w:val="20"/>
                <w:szCs w:val="20"/>
                <w:color w:val="auto"/>
              </w:rPr>
            </w:pPr>
            <w:r>
              <w:rPr>
                <w:rFonts w:ascii="Arial" w:cs="Arial" w:eastAsia="Arial" w:hAnsi="Arial"/>
                <w:sz w:val="18"/>
                <w:szCs w:val="18"/>
                <w:color w:val="auto"/>
              </w:rPr>
              <w:t>Communications Systems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23"/>
        </w:trPr>
        <w:tc>
          <w:tcPr>
            <w:tcW w:w="59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53%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47%</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Government/</w:t>
            </w:r>
          </w:p>
        </w:tc>
      </w:tr>
      <w:tr>
        <w:trPr>
          <w:trHeight w:val="234"/>
        </w:trPr>
        <w:tc>
          <w:tcPr>
            <w:tcW w:w="5920" w:type="dxa"/>
            <w:vAlign w:val="bottom"/>
          </w:tcPr>
          <w:p>
            <w:pPr>
              <w:jc w:val="right"/>
              <w:ind w:right="5410"/>
              <w:spacing w:after="0"/>
              <w:rPr>
                <w:sz w:val="20"/>
                <w:szCs w:val="20"/>
                <w:color w:val="auto"/>
              </w:rPr>
            </w:pPr>
            <w:r>
              <w:rPr>
                <w:rFonts w:ascii="Arial" w:cs="Arial" w:eastAsia="Arial" w:hAnsi="Arial"/>
                <w:sz w:val="18"/>
                <w:szCs w:val="18"/>
                <w:b w:val="1"/>
                <w:bCs w:val="1"/>
                <w:color w:val="auto"/>
                <w:w w:val="86"/>
              </w:rPr>
              <w:t>2013: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Commercial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Defense</w:t>
            </w:r>
          </w:p>
        </w:tc>
      </w:tr>
      <w:tr>
        <w:trPr>
          <w:trHeight w:val="210"/>
        </w:trPr>
        <w:tc>
          <w:tcPr>
            <w:tcW w:w="59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Battery &amp; Energy Products</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r>
      <w:tr>
        <w:trPr>
          <w:trHeight w:val="230"/>
        </w:trPr>
        <w:tc>
          <w:tcPr>
            <w:tcW w:w="5920" w:type="dxa"/>
            <w:vAlign w:val="bottom"/>
          </w:tcPr>
          <w:p>
            <w:pPr>
              <w:ind w:left="100"/>
              <w:spacing w:after="0"/>
              <w:rPr>
                <w:sz w:val="20"/>
                <w:szCs w:val="20"/>
                <w:color w:val="auto"/>
              </w:rPr>
            </w:pPr>
            <w:r>
              <w:rPr>
                <w:rFonts w:ascii="Arial" w:cs="Arial" w:eastAsia="Arial" w:hAnsi="Arial"/>
                <w:sz w:val="18"/>
                <w:szCs w:val="18"/>
                <w:color w:val="auto"/>
              </w:rPr>
              <w:t>Communications Systems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r>
      <w:tr>
        <w:trPr>
          <w:trHeight w:val="223"/>
        </w:trPr>
        <w:tc>
          <w:tcPr>
            <w:tcW w:w="5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34%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Fire at Manufacturing Facility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total amount of the loss pertaining to assets and the related expenses was approximately $1,589, including damaged inventory, business interruption and lost profits. Previous payments received against the loss claim total approximately $1,286, and no gain or loss has been recognized upon receipt of these partial payments. As of December 31, 2014, we reflect a receivable from the insurance company relating to this claim of $184, which is net of our deductible of approximately $132, and represents additional proceeds we expect to receive when the insurer finalizes the claim.</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0000EE"/>
            </w:tcBorders>
          </w:tcPr>
          <w:p>
            <w:pPr>
              <w:spacing w:after="0"/>
              <w:rPr>
                <w:rFonts w:ascii="Arial" w:cs="Arial" w:eastAsia="Arial" w:hAnsi="Arial"/>
                <w:sz w:val="18"/>
                <w:szCs w:val="18"/>
                <w:i w:val="1"/>
                <w:iCs w:val="1"/>
                <w:color w:val="0000EE"/>
                <w:w w:val="90"/>
              </w:rPr>
            </w:pPr>
            <w:hyperlink w:anchor="page40">
              <w:r>
                <w:rPr>
                  <w:rFonts w:ascii="Arial" w:cs="Arial" w:eastAsia="Arial" w:hAnsi="Arial"/>
                  <w:sz w:val="18"/>
                  <w:szCs w:val="18"/>
                  <w:i w:val="1"/>
                  <w:iCs w:val="1"/>
                  <w:color w:val="0000EE"/>
                  <w:w w:val="90"/>
                </w:rPr>
                <w:t>Financial Statement Index</w:t>
              </w:r>
            </w:hyperlink>
          </w:p>
        </w:tc>
        <w:tc>
          <w:tcPr>
            <w:tcW w:w="3920" w:type="dxa"/>
            <w:vAlign w:val="bottom"/>
          </w:tcPr>
          <w:p>
            <w:pPr>
              <w:jc w:val="right"/>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20"/>
          </w:cols>
          <w:pgMar w:left="240" w:top="66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auto"/>
        </w:rPr>
        <w:t>Evaluation Of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 Our president and chief executive officer (principal executive officer) and our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 Our management team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2014. In making this assessment, we used the criteria set forth by the Committee of Sponsoring Organizations of the Treadway Commission (“COSO”) in Internal Control-Integrated Framework. Based on our assessment, we concluded that, as of December 31, 2014, our internal control over financial reporting was effective based on those criteria.</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66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2014 Annual Meeting of Shareholders, which information included therein is incorporated herein by reference.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sections entitled "Election of Directors", "Executive Officers", "Section 16(a) Beneficial Ownership Reporting Compliance" and "Corporate Governance" in the Proxy Statement are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 in the Proxy Statement are incorporated herein by reference.</w:t>
      </w:r>
    </w:p>
    <w:p>
      <w:pPr>
        <w:spacing w:after="0" w:line="383" w:lineRule="exact"/>
        <w:rPr>
          <w:sz w:val="20"/>
          <w:szCs w:val="20"/>
          <w:color w:val="auto"/>
        </w:rPr>
      </w:pPr>
    </w:p>
    <w:p>
      <w:pPr>
        <w:jc w:val="both"/>
        <w:ind w:left="980" w:hanging="971"/>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5"/>
          </w:tcPr>
          <w:p>
            <w:pPr>
              <w:ind w:left="4180"/>
              <w:spacing w:after="0"/>
              <w:rPr>
                <w:sz w:val="20"/>
                <w:szCs w:val="20"/>
                <w:color w:val="auto"/>
              </w:rPr>
            </w:pPr>
            <w:r>
              <w:rPr>
                <w:rFonts w:ascii="Arial" w:cs="Arial" w:eastAsia="Arial" w:hAnsi="Arial"/>
                <w:sz w:val="18"/>
                <w:szCs w:val="18"/>
                <w:b w:val="1"/>
                <w:bCs w:val="1"/>
                <w:color w:val="auto"/>
              </w:rPr>
              <w:t>Equity Compensation Plan Information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securities remaining</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available for future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6"/>
              </w:rPr>
              <w:t>issuance under</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securities to be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issued upon exercise</w:t>
            </w:r>
          </w:p>
        </w:tc>
        <w:tc>
          <w:tcPr>
            <w:tcW w:w="2040" w:type="dxa"/>
            <w:vAlign w:val="bottom"/>
            <w:gridSpan w:val="4"/>
          </w:tcPr>
          <w:p>
            <w:pPr>
              <w:jc w:val="center"/>
              <w:ind w:right="560"/>
              <w:spacing w:after="0"/>
              <w:rPr>
                <w:sz w:val="20"/>
                <w:szCs w:val="20"/>
                <w:color w:val="auto"/>
              </w:rPr>
            </w:pPr>
            <w:r>
              <w:rPr>
                <w:rFonts w:ascii="Arial" w:cs="Arial" w:eastAsia="Arial" w:hAnsi="Arial"/>
                <w:sz w:val="18"/>
                <w:szCs w:val="18"/>
                <w:color w:val="auto"/>
                <w:w w:val="89"/>
              </w:rPr>
              <w:t>Weighted-average</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8"/>
              </w:rPr>
              <w:t>compensation plans</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of outstanding</w:t>
            </w:r>
          </w:p>
        </w:tc>
        <w:tc>
          <w:tcPr>
            <w:tcW w:w="120" w:type="dxa"/>
            <w:vAlign w:val="bottom"/>
          </w:tcPr>
          <w:p>
            <w:pPr>
              <w:spacing w:after="0"/>
              <w:rPr>
                <w:sz w:val="18"/>
                <w:szCs w:val="18"/>
                <w:color w:val="auto"/>
              </w:rPr>
            </w:pPr>
          </w:p>
        </w:tc>
        <w:tc>
          <w:tcPr>
            <w:tcW w:w="192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exercise price of</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5"/>
              </w:rPr>
              <w:t>(excluding</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options, warrants</w:t>
            </w:r>
          </w:p>
        </w:tc>
        <w:tc>
          <w:tcPr>
            <w:tcW w:w="2040" w:type="dxa"/>
            <w:vAlign w:val="bottom"/>
            <w:gridSpan w:val="4"/>
          </w:tcPr>
          <w:p>
            <w:pPr>
              <w:spacing w:after="0"/>
              <w:rPr>
                <w:sz w:val="20"/>
                <w:szCs w:val="20"/>
                <w:color w:val="auto"/>
              </w:rPr>
            </w:pPr>
            <w:r>
              <w:rPr>
                <w:rFonts w:ascii="Arial" w:cs="Arial" w:eastAsia="Arial" w:hAnsi="Arial"/>
                <w:sz w:val="18"/>
                <w:szCs w:val="18"/>
                <w:color w:val="auto"/>
              </w:rPr>
              <w:t>outstanding options,</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securities reflected</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3"/>
          </w:tcPr>
          <w:p>
            <w:pPr>
              <w:ind w:left="380"/>
              <w:spacing w:after="0"/>
              <w:rPr>
                <w:sz w:val="20"/>
                <w:szCs w:val="20"/>
                <w:color w:val="auto"/>
              </w:rPr>
            </w:pPr>
            <w:r>
              <w:rPr>
                <w:rFonts w:ascii="Arial" w:cs="Arial" w:eastAsia="Arial" w:hAnsi="Arial"/>
                <w:sz w:val="18"/>
                <w:szCs w:val="18"/>
                <w:color w:val="auto"/>
              </w:rPr>
              <w:t>and rights</w:t>
            </w:r>
          </w:p>
        </w:tc>
        <w:tc>
          <w:tcPr>
            <w:tcW w:w="2040" w:type="dxa"/>
            <w:vAlign w:val="bottom"/>
            <w:gridSpan w:val="4"/>
          </w:tcPr>
          <w:p>
            <w:pPr>
              <w:ind w:left="20"/>
              <w:spacing w:after="0"/>
              <w:rPr>
                <w:sz w:val="20"/>
                <w:szCs w:val="20"/>
                <w:color w:val="auto"/>
              </w:rPr>
            </w:pPr>
            <w:r>
              <w:rPr>
                <w:rFonts w:ascii="Arial" w:cs="Arial" w:eastAsia="Arial" w:hAnsi="Arial"/>
                <w:sz w:val="18"/>
                <w:szCs w:val="18"/>
                <w:color w:val="auto"/>
              </w:rPr>
              <w:t>warrants and rights</w:t>
            </w: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in column (a))</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Plan Category</w:t>
            </w:r>
          </w:p>
        </w:tc>
        <w:tc>
          <w:tcPr>
            <w:tcW w:w="5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(a)</w:t>
            </w: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0"/>
              </w:rPr>
              <w:t>(b)</w:t>
            </w:r>
          </w:p>
        </w:tc>
        <w:tc>
          <w:tcPr>
            <w:tcW w:w="5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426"/>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2,006,122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5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1,683,782</w:t>
            </w:r>
          </w:p>
        </w:tc>
        <w:tc>
          <w:tcPr>
            <w:tcW w:w="0" w:type="dxa"/>
            <w:vAlign w:val="bottom"/>
          </w:tcPr>
          <w:p>
            <w:pPr>
              <w:spacing w:after="0"/>
              <w:rPr>
                <w:sz w:val="1"/>
                <w:szCs w:val="1"/>
                <w:color w:val="auto"/>
              </w:rPr>
            </w:pPr>
          </w:p>
        </w:tc>
      </w:tr>
      <w:tr>
        <w:trPr>
          <w:trHeight w:val="446"/>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56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40" w:type="dxa"/>
            <w:vAlign w:val="bottom"/>
            <w:gridSpan w:val="2"/>
            <w:vMerge w:val="continue"/>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2,056,122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5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1,683,782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7 in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87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38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Documents filed as part of this report:</w:t>
      </w:r>
    </w:p>
    <w:p>
      <w:pPr>
        <w:spacing w:after="0" w:line="225" w:lineRule="exact"/>
        <w:rPr>
          <w:rFonts w:ascii="Arial" w:cs="Arial" w:eastAsia="Arial" w:hAnsi="Arial"/>
          <w:sz w:val="18"/>
          <w:szCs w:val="18"/>
          <w:color w:val="auto"/>
        </w:rPr>
      </w:pPr>
    </w:p>
    <w:p>
      <w:pPr>
        <w:ind w:left="1020" w:hanging="323"/>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financial statements and schedules required by this Item 15 are set forth in Part II, Item 8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Arial" w:cs="Arial" w:eastAsia="Arial" w:hAnsi="Arial"/>
                <w:sz w:val="18"/>
                <w:szCs w:val="18"/>
                <w:color w:val="auto"/>
              </w:rPr>
              <w:t>Exhibit</w:t>
            </w:r>
          </w:p>
        </w:tc>
        <w:tc>
          <w:tcPr>
            <w:tcW w:w="418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230"/>
        </w:trPr>
        <w:tc>
          <w:tcPr>
            <w:tcW w:w="1280" w:type="dxa"/>
            <w:vAlign w:val="bottom"/>
          </w:tcPr>
          <w:p>
            <w:pPr>
              <w:ind w:left="100"/>
              <w:spacing w:after="0"/>
              <w:rPr>
                <w:sz w:val="20"/>
                <w:szCs w:val="20"/>
                <w:color w:val="auto"/>
              </w:rPr>
            </w:pPr>
            <w:r>
              <w:rPr>
                <w:rFonts w:ascii="Arial" w:cs="Arial" w:eastAsia="Arial" w:hAnsi="Arial"/>
                <w:sz w:val="18"/>
                <w:szCs w:val="18"/>
                <w:color w:val="auto"/>
              </w:rPr>
              <w:t>Index</w:t>
            </w:r>
          </w:p>
        </w:tc>
        <w:tc>
          <w:tcPr>
            <w:tcW w:w="4180" w:type="dxa"/>
            <w:vAlign w:val="bottom"/>
          </w:tcPr>
          <w:p>
            <w:pPr>
              <w:ind w:left="80"/>
              <w:spacing w:after="0"/>
              <w:rPr>
                <w:sz w:val="20"/>
                <w:szCs w:val="20"/>
                <w:color w:val="auto"/>
              </w:rPr>
            </w:pPr>
            <w:r>
              <w:rPr>
                <w:rFonts w:ascii="Arial" w:cs="Arial" w:eastAsia="Arial" w:hAnsi="Arial"/>
                <w:sz w:val="18"/>
                <w:szCs w:val="18"/>
                <w:color w:val="auto"/>
              </w:rPr>
              <w:t>Description of Document</w:t>
            </w:r>
          </w:p>
        </w:tc>
        <w:tc>
          <w:tcPr>
            <w:tcW w:w="5760" w:type="dxa"/>
            <w:vAlign w:val="bottom"/>
          </w:tcPr>
          <w:p>
            <w:pPr>
              <w:ind w:left="128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1280" w:type="dxa"/>
            <w:vAlign w:val="bottom"/>
          </w:tcPr>
          <w:p>
            <w:pPr>
              <w:ind w:left="100"/>
              <w:spacing w:after="0"/>
              <w:rPr>
                <w:sz w:val="20"/>
                <w:szCs w:val="20"/>
                <w:color w:val="auto"/>
              </w:rPr>
            </w:pPr>
            <w:r>
              <w:rPr>
                <w:rFonts w:ascii="Arial" w:cs="Arial" w:eastAsia="Arial" w:hAnsi="Arial"/>
                <w:sz w:val="18"/>
                <w:szCs w:val="18"/>
                <w:color w:val="auto"/>
              </w:rPr>
              <w:t>2.1</w:t>
            </w:r>
          </w:p>
        </w:tc>
        <w:tc>
          <w:tcPr>
            <w:tcW w:w="4180" w:type="dxa"/>
            <w:vAlign w:val="bottom"/>
          </w:tcPr>
          <w:p>
            <w:pPr>
              <w:ind w:left="80"/>
              <w:spacing w:after="0"/>
              <w:rPr>
                <w:sz w:val="20"/>
                <w:szCs w:val="20"/>
                <w:color w:val="auto"/>
              </w:rPr>
            </w:pPr>
            <w:r>
              <w:rPr>
                <w:rFonts w:ascii="Arial" w:cs="Arial" w:eastAsia="Arial" w:hAnsi="Arial"/>
                <w:sz w:val="18"/>
                <w:szCs w:val="18"/>
                <w:color w:val="auto"/>
              </w:rPr>
              <w:t>Stock Purchase Agreement by and between BCF</w:t>
            </w:r>
          </w:p>
        </w:tc>
        <w:tc>
          <w:tcPr>
            <w:tcW w:w="5760" w:type="dxa"/>
            <w:vAlign w:val="bottom"/>
          </w:tcPr>
          <w:p>
            <w:pPr>
              <w:ind w:left="1280"/>
              <w:spacing w:after="0"/>
              <w:rPr>
                <w:sz w:val="20"/>
                <w:szCs w:val="20"/>
                <w:color w:val="auto"/>
              </w:rPr>
            </w:pPr>
            <w:r>
              <w:rPr>
                <w:rFonts w:ascii="Arial" w:cs="Arial" w:eastAsia="Arial" w:hAnsi="Arial"/>
                <w:sz w:val="18"/>
                <w:szCs w:val="18"/>
                <w:color w:val="auto"/>
                <w:w w:val="90"/>
              </w:rPr>
              <w:t>Exhibit 2.1 of the Form 10-Q for the quarter ended September</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Solutions, Inc. and Ultralife Corporation</w:t>
            </w:r>
          </w:p>
        </w:tc>
        <w:tc>
          <w:tcPr>
            <w:tcW w:w="5760" w:type="dxa"/>
            <w:vAlign w:val="bottom"/>
          </w:tcPr>
          <w:p>
            <w:pPr>
              <w:ind w:left="1280"/>
              <w:spacing w:after="0"/>
              <w:rPr>
                <w:sz w:val="20"/>
                <w:szCs w:val="20"/>
                <w:color w:val="auto"/>
              </w:rPr>
            </w:pPr>
            <w:r>
              <w:rPr>
                <w:rFonts w:ascii="Arial" w:cs="Arial" w:eastAsia="Arial" w:hAnsi="Arial"/>
                <w:sz w:val="18"/>
                <w:szCs w:val="18"/>
                <w:color w:val="auto"/>
              </w:rPr>
              <w:t>30, 2012, filed November 8, 2012</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3.1</w:t>
            </w:r>
          </w:p>
        </w:tc>
        <w:tc>
          <w:tcPr>
            <w:tcW w:w="4180" w:type="dxa"/>
            <w:vAlign w:val="bottom"/>
          </w:tcPr>
          <w:p>
            <w:pPr>
              <w:ind w:left="80"/>
              <w:spacing w:after="0"/>
              <w:rPr>
                <w:sz w:val="20"/>
                <w:szCs w:val="20"/>
                <w:color w:val="auto"/>
              </w:rPr>
            </w:pPr>
            <w:r>
              <w:rPr>
                <w:rFonts w:ascii="Arial" w:cs="Arial" w:eastAsia="Arial" w:hAnsi="Arial"/>
                <w:sz w:val="18"/>
                <w:szCs w:val="18"/>
                <w:color w:val="auto"/>
              </w:rPr>
              <w:t>Restated Certificate of Incorporation</w:t>
            </w:r>
          </w:p>
        </w:tc>
        <w:tc>
          <w:tcPr>
            <w:tcW w:w="5760" w:type="dxa"/>
            <w:vAlign w:val="bottom"/>
          </w:tcPr>
          <w:p>
            <w:pPr>
              <w:ind w:left="1280"/>
              <w:spacing w:after="0"/>
              <w:rPr>
                <w:sz w:val="20"/>
                <w:szCs w:val="20"/>
                <w:color w:val="auto"/>
              </w:rPr>
            </w:pPr>
            <w:r>
              <w:rPr>
                <w:rFonts w:ascii="Arial" w:cs="Arial" w:eastAsia="Arial" w:hAnsi="Arial"/>
                <w:sz w:val="18"/>
                <w:szCs w:val="18"/>
                <w:color w:val="auto"/>
                <w:w w:val="96"/>
              </w:rPr>
              <w:t>Exhibit 3.1 of the Form 10-K for the year ended December</w:t>
            </w:r>
          </w:p>
        </w:tc>
      </w:tr>
      <w:tr>
        <w:trPr>
          <w:trHeight w:val="216"/>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31, 2008, filed March 13, 2009</w:t>
            </w:r>
          </w:p>
        </w:tc>
      </w:tr>
      <w:tr>
        <w:trPr>
          <w:trHeight w:val="230"/>
        </w:trPr>
        <w:tc>
          <w:tcPr>
            <w:tcW w:w="1280" w:type="dxa"/>
            <w:vAlign w:val="bottom"/>
          </w:tcPr>
          <w:p>
            <w:pPr>
              <w:ind w:left="100"/>
              <w:spacing w:after="0"/>
              <w:rPr>
                <w:sz w:val="20"/>
                <w:szCs w:val="20"/>
                <w:color w:val="auto"/>
              </w:rPr>
            </w:pPr>
            <w:r>
              <w:rPr>
                <w:rFonts w:ascii="Arial" w:cs="Arial" w:eastAsia="Arial" w:hAnsi="Arial"/>
                <w:sz w:val="18"/>
                <w:szCs w:val="18"/>
                <w:color w:val="auto"/>
              </w:rPr>
              <w:t>3.2</w:t>
            </w:r>
          </w:p>
        </w:tc>
        <w:tc>
          <w:tcPr>
            <w:tcW w:w="4180" w:type="dxa"/>
            <w:vAlign w:val="bottom"/>
          </w:tcPr>
          <w:p>
            <w:pPr>
              <w:ind w:left="80"/>
              <w:spacing w:after="0"/>
              <w:rPr>
                <w:sz w:val="20"/>
                <w:szCs w:val="20"/>
                <w:color w:val="auto"/>
              </w:rPr>
            </w:pPr>
            <w:r>
              <w:rPr>
                <w:rFonts w:ascii="Arial" w:cs="Arial" w:eastAsia="Arial" w:hAnsi="Arial"/>
                <w:sz w:val="18"/>
                <w:szCs w:val="18"/>
                <w:color w:val="auto"/>
              </w:rPr>
              <w:t>Amended and Restated By-laws</w:t>
            </w:r>
          </w:p>
        </w:tc>
        <w:tc>
          <w:tcPr>
            <w:tcW w:w="5760" w:type="dxa"/>
            <w:vAlign w:val="bottom"/>
          </w:tcPr>
          <w:p>
            <w:pPr>
              <w:ind w:left="1280"/>
              <w:spacing w:after="0"/>
              <w:rPr>
                <w:sz w:val="20"/>
                <w:szCs w:val="20"/>
                <w:color w:val="auto"/>
              </w:rPr>
            </w:pPr>
            <w:r>
              <w:rPr>
                <w:rFonts w:ascii="Arial" w:cs="Arial" w:eastAsia="Arial" w:hAnsi="Arial"/>
                <w:sz w:val="18"/>
                <w:szCs w:val="18"/>
                <w:color w:val="auto"/>
              </w:rPr>
              <w:t>Exhibit 3.2 of the Form 8-K filed December 9, 2011</w:t>
            </w:r>
          </w:p>
        </w:tc>
      </w:tr>
      <w:tr>
        <w:trPr>
          <w:trHeight w:val="229"/>
        </w:trPr>
        <w:tc>
          <w:tcPr>
            <w:tcW w:w="1280" w:type="dxa"/>
            <w:vAlign w:val="bottom"/>
          </w:tcPr>
          <w:p>
            <w:pPr>
              <w:ind w:left="100"/>
              <w:spacing w:after="0"/>
              <w:rPr>
                <w:sz w:val="20"/>
                <w:szCs w:val="20"/>
                <w:color w:val="auto"/>
              </w:rPr>
            </w:pPr>
            <w:r>
              <w:rPr>
                <w:rFonts w:ascii="Arial" w:cs="Arial" w:eastAsia="Arial" w:hAnsi="Arial"/>
                <w:sz w:val="18"/>
                <w:szCs w:val="18"/>
                <w:color w:val="auto"/>
              </w:rPr>
              <w:t>4.1</w:t>
            </w:r>
          </w:p>
        </w:tc>
        <w:tc>
          <w:tcPr>
            <w:tcW w:w="4180" w:type="dxa"/>
            <w:vAlign w:val="bottom"/>
          </w:tcPr>
          <w:p>
            <w:pPr>
              <w:ind w:left="80"/>
              <w:spacing w:after="0"/>
              <w:rPr>
                <w:sz w:val="20"/>
                <w:szCs w:val="20"/>
                <w:color w:val="auto"/>
              </w:rPr>
            </w:pPr>
            <w:r>
              <w:rPr>
                <w:rFonts w:ascii="Arial" w:cs="Arial" w:eastAsia="Arial" w:hAnsi="Arial"/>
                <w:sz w:val="18"/>
                <w:szCs w:val="18"/>
                <w:color w:val="auto"/>
              </w:rPr>
              <w:t>Specimen Stock Certificate</w:t>
            </w:r>
          </w:p>
        </w:tc>
        <w:tc>
          <w:tcPr>
            <w:tcW w:w="5760" w:type="dxa"/>
            <w:vAlign w:val="bottom"/>
          </w:tcPr>
          <w:p>
            <w:pPr>
              <w:ind w:left="1280"/>
              <w:spacing w:after="0"/>
              <w:rPr>
                <w:sz w:val="20"/>
                <w:szCs w:val="20"/>
                <w:color w:val="auto"/>
              </w:rPr>
            </w:pPr>
            <w:r>
              <w:rPr>
                <w:rFonts w:ascii="Arial" w:cs="Arial" w:eastAsia="Arial" w:hAnsi="Arial"/>
                <w:sz w:val="18"/>
                <w:szCs w:val="18"/>
                <w:color w:val="auto"/>
                <w:w w:val="96"/>
              </w:rPr>
              <w:t>Exhibit 4.1 of the Form 10-K for the year ended December</w:t>
            </w:r>
          </w:p>
        </w:tc>
      </w:tr>
      <w:tr>
        <w:trPr>
          <w:trHeight w:val="216"/>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31, 2008, filed March 13, 2009</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4180" w:type="dxa"/>
            <w:vAlign w:val="bottom"/>
          </w:tcPr>
          <w:p>
            <w:pPr>
              <w:ind w:left="80"/>
              <w:spacing w:after="0"/>
              <w:rPr>
                <w:sz w:val="20"/>
                <w:szCs w:val="20"/>
                <w:color w:val="auto"/>
              </w:rPr>
            </w:pPr>
            <w:r>
              <w:rPr>
                <w:rFonts w:ascii="Arial" w:cs="Arial" w:eastAsia="Arial" w:hAnsi="Arial"/>
                <w:sz w:val="18"/>
                <w:szCs w:val="18"/>
                <w:color w:val="auto"/>
              </w:rPr>
              <w:t>Technology Transfer Agreement relating to Lithium</w:t>
            </w:r>
          </w:p>
        </w:tc>
        <w:tc>
          <w:tcPr>
            <w:tcW w:w="5760" w:type="dxa"/>
            <w:vAlign w:val="bottom"/>
          </w:tcPr>
          <w:p>
            <w:pPr>
              <w:ind w:left="1280"/>
              <w:spacing w:after="0"/>
              <w:rPr>
                <w:sz w:val="20"/>
                <w:szCs w:val="20"/>
                <w:color w:val="auto"/>
              </w:rPr>
            </w:pPr>
            <w:r>
              <w:rPr>
                <w:rFonts w:ascii="Arial" w:cs="Arial" w:eastAsia="Arial" w:hAnsi="Arial"/>
                <w:sz w:val="18"/>
                <w:szCs w:val="18"/>
                <w:color w:val="auto"/>
                <w:w w:val="99"/>
              </w:rPr>
              <w:t>Exhibit 10.19 of our Registration Statement on Form S-1</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Batteries</w:t>
            </w:r>
          </w:p>
        </w:tc>
        <w:tc>
          <w:tcPr>
            <w:tcW w:w="5760" w:type="dxa"/>
            <w:vAlign w:val="bottom"/>
          </w:tcPr>
          <w:p>
            <w:pPr>
              <w:ind w:left="1280"/>
              <w:spacing w:after="0"/>
              <w:rPr>
                <w:sz w:val="20"/>
                <w:szCs w:val="20"/>
                <w:color w:val="auto"/>
              </w:rPr>
            </w:pPr>
            <w:r>
              <w:rPr>
                <w:rFonts w:ascii="Arial" w:cs="Arial" w:eastAsia="Arial" w:hAnsi="Arial"/>
                <w:sz w:val="18"/>
                <w:szCs w:val="18"/>
                <w:color w:val="auto"/>
              </w:rPr>
              <w:t>filed on October 7, 1994, File No. 33-84888 (the “1994</w:t>
            </w:r>
          </w:p>
        </w:tc>
      </w:tr>
      <w:tr>
        <w:trPr>
          <w:trHeight w:val="216"/>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Registration Statement”)</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10.2*</w:t>
            </w:r>
          </w:p>
        </w:tc>
        <w:tc>
          <w:tcPr>
            <w:tcW w:w="4180" w:type="dxa"/>
            <w:vAlign w:val="bottom"/>
          </w:tcPr>
          <w:p>
            <w:pPr>
              <w:ind w:left="80"/>
              <w:spacing w:after="0"/>
              <w:rPr>
                <w:sz w:val="20"/>
                <w:szCs w:val="20"/>
                <w:color w:val="auto"/>
              </w:rPr>
            </w:pPr>
            <w:r>
              <w:rPr>
                <w:rFonts w:ascii="Arial" w:cs="Arial" w:eastAsia="Arial" w:hAnsi="Arial"/>
                <w:sz w:val="18"/>
                <w:szCs w:val="18"/>
                <w:color w:val="auto"/>
              </w:rPr>
              <w:t>Technology Transfer Agreement relating to Lithium</w:t>
            </w:r>
          </w:p>
        </w:tc>
        <w:tc>
          <w:tcPr>
            <w:tcW w:w="5760" w:type="dxa"/>
            <w:vAlign w:val="bottom"/>
          </w:tcPr>
          <w:p>
            <w:pPr>
              <w:ind w:left="1280"/>
              <w:spacing w:after="0"/>
              <w:rPr>
                <w:sz w:val="20"/>
                <w:szCs w:val="20"/>
                <w:color w:val="auto"/>
              </w:rPr>
            </w:pPr>
            <w:r>
              <w:rPr>
                <w:rFonts w:ascii="Arial" w:cs="Arial" w:eastAsia="Arial" w:hAnsi="Arial"/>
                <w:sz w:val="18"/>
                <w:szCs w:val="18"/>
                <w:color w:val="auto"/>
              </w:rPr>
              <w:t>Exhibit 10.20 of the 1994 Registration Statement</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Batteries</w:t>
            </w:r>
          </w:p>
        </w:tc>
        <w:tc>
          <w:tcPr>
            <w:tcW w:w="5760" w:type="dxa"/>
            <w:vAlign w:val="bottom"/>
          </w:tcPr>
          <w:p>
            <w:pPr>
              <w:spacing w:after="0"/>
              <w:rPr>
                <w:sz w:val="18"/>
                <w:szCs w:val="18"/>
                <w:color w:val="auto"/>
              </w:rPr>
            </w:pP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10.3*</w:t>
            </w:r>
          </w:p>
        </w:tc>
        <w:tc>
          <w:tcPr>
            <w:tcW w:w="4180" w:type="dxa"/>
            <w:vAlign w:val="bottom"/>
          </w:tcPr>
          <w:p>
            <w:pPr>
              <w:ind w:left="80"/>
              <w:spacing w:after="0"/>
              <w:rPr>
                <w:sz w:val="20"/>
                <w:szCs w:val="20"/>
                <w:color w:val="auto"/>
              </w:rPr>
            </w:pPr>
            <w:r>
              <w:rPr>
                <w:rFonts w:ascii="Arial" w:cs="Arial" w:eastAsia="Arial" w:hAnsi="Arial"/>
                <w:sz w:val="18"/>
                <w:szCs w:val="18"/>
                <w:color w:val="auto"/>
                <w:w w:val="93"/>
              </w:rPr>
              <w:t>Amendment to the Agreement relating to rechargeable</w:t>
            </w:r>
          </w:p>
        </w:tc>
        <w:tc>
          <w:tcPr>
            <w:tcW w:w="5760" w:type="dxa"/>
            <w:vAlign w:val="bottom"/>
          </w:tcPr>
          <w:p>
            <w:pPr>
              <w:ind w:left="1280"/>
              <w:spacing w:after="0"/>
              <w:rPr>
                <w:sz w:val="20"/>
                <w:szCs w:val="20"/>
                <w:color w:val="auto"/>
              </w:rPr>
            </w:pPr>
            <w:r>
              <w:rPr>
                <w:rFonts w:ascii="Arial" w:cs="Arial" w:eastAsia="Arial" w:hAnsi="Arial"/>
                <w:sz w:val="18"/>
                <w:szCs w:val="18"/>
                <w:color w:val="auto"/>
                <w:w w:val="91"/>
              </w:rPr>
              <w:t>Exhibit 10.24 of our Form 10-K for the fiscal year ended June</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batteries</w:t>
            </w:r>
          </w:p>
        </w:tc>
        <w:tc>
          <w:tcPr>
            <w:tcW w:w="5760" w:type="dxa"/>
            <w:vAlign w:val="bottom"/>
          </w:tcPr>
          <w:p>
            <w:pPr>
              <w:ind w:left="1280"/>
              <w:spacing w:after="0"/>
              <w:rPr>
                <w:sz w:val="20"/>
                <w:szCs w:val="20"/>
                <w:color w:val="auto"/>
              </w:rPr>
            </w:pPr>
            <w:r>
              <w:rPr>
                <w:rFonts w:ascii="Arial" w:cs="Arial" w:eastAsia="Arial" w:hAnsi="Arial"/>
                <w:sz w:val="18"/>
                <w:szCs w:val="18"/>
                <w:color w:val="auto"/>
              </w:rPr>
              <w:t>30, 1996 (this Exhibit may be found in SEC File No. 0-</w:t>
            </w:r>
          </w:p>
        </w:tc>
      </w:tr>
      <w:tr>
        <w:trPr>
          <w:trHeight w:val="216"/>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20852)</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10.4†</w:t>
            </w:r>
          </w:p>
        </w:tc>
        <w:tc>
          <w:tcPr>
            <w:tcW w:w="4180" w:type="dxa"/>
            <w:vAlign w:val="bottom"/>
          </w:tcPr>
          <w:p>
            <w:pPr>
              <w:ind w:left="80"/>
              <w:spacing w:after="0"/>
              <w:rPr>
                <w:sz w:val="20"/>
                <w:szCs w:val="20"/>
                <w:color w:val="auto"/>
              </w:rPr>
            </w:pPr>
            <w:r>
              <w:rPr>
                <w:rFonts w:ascii="Arial" w:cs="Arial" w:eastAsia="Arial" w:hAnsi="Arial"/>
                <w:sz w:val="18"/>
                <w:szCs w:val="18"/>
                <w:color w:val="auto"/>
                <w:w w:val="98"/>
              </w:rPr>
              <w:t>Ultralife Corporation 2014 Long-Term Incentive Plan</w:t>
            </w:r>
          </w:p>
        </w:tc>
        <w:tc>
          <w:tcPr>
            <w:tcW w:w="5760" w:type="dxa"/>
            <w:vAlign w:val="bottom"/>
          </w:tcPr>
          <w:p>
            <w:pPr>
              <w:ind w:left="1280"/>
              <w:spacing w:after="0"/>
              <w:rPr>
                <w:sz w:val="20"/>
                <w:szCs w:val="20"/>
                <w:color w:val="auto"/>
              </w:rPr>
            </w:pPr>
            <w:r>
              <w:rPr>
                <w:rFonts w:ascii="Arial" w:cs="Arial" w:eastAsia="Arial" w:hAnsi="Arial"/>
                <w:sz w:val="18"/>
                <w:szCs w:val="18"/>
                <w:color w:val="auto"/>
                <w:w w:val="96"/>
              </w:rPr>
              <w:t>Appendix A to our Definitive Proxy Statement filed on April</w:t>
            </w:r>
          </w:p>
        </w:tc>
      </w:tr>
      <w:tr>
        <w:trPr>
          <w:trHeight w:val="216"/>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21, 2014</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10.5†</w:t>
            </w:r>
          </w:p>
        </w:tc>
        <w:tc>
          <w:tcPr>
            <w:tcW w:w="4180" w:type="dxa"/>
            <w:vAlign w:val="bottom"/>
          </w:tcPr>
          <w:p>
            <w:pPr>
              <w:ind w:left="80"/>
              <w:spacing w:after="0"/>
              <w:rPr>
                <w:sz w:val="20"/>
                <w:szCs w:val="20"/>
                <w:color w:val="auto"/>
              </w:rPr>
            </w:pPr>
            <w:r>
              <w:rPr>
                <w:rFonts w:ascii="Arial" w:cs="Arial" w:eastAsia="Arial" w:hAnsi="Arial"/>
                <w:sz w:val="18"/>
                <w:szCs w:val="18"/>
                <w:color w:val="auto"/>
                <w:w w:val="98"/>
              </w:rPr>
              <w:t>Ultralife Batteries, Inc. Amended and Restated 2004</w:t>
            </w:r>
          </w:p>
        </w:tc>
        <w:tc>
          <w:tcPr>
            <w:tcW w:w="5760" w:type="dxa"/>
            <w:vAlign w:val="bottom"/>
          </w:tcPr>
          <w:p>
            <w:pPr>
              <w:ind w:left="1280"/>
              <w:spacing w:after="0"/>
              <w:rPr>
                <w:sz w:val="20"/>
                <w:szCs w:val="20"/>
                <w:color w:val="auto"/>
              </w:rPr>
            </w:pPr>
            <w:r>
              <w:rPr>
                <w:rFonts w:ascii="Arial" w:cs="Arial" w:eastAsia="Arial" w:hAnsi="Arial"/>
                <w:sz w:val="18"/>
                <w:szCs w:val="18"/>
                <w:color w:val="auto"/>
                <w:w w:val="93"/>
              </w:rPr>
              <w:t>Exhibit 99.2 of our Registration Statement on Form S-8 filed</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Long-Term Incentive Plan</w:t>
            </w:r>
          </w:p>
        </w:tc>
        <w:tc>
          <w:tcPr>
            <w:tcW w:w="5760" w:type="dxa"/>
            <w:vAlign w:val="bottom"/>
          </w:tcPr>
          <w:p>
            <w:pPr>
              <w:ind w:left="1280"/>
              <w:spacing w:after="0"/>
              <w:rPr>
                <w:sz w:val="20"/>
                <w:szCs w:val="20"/>
                <w:color w:val="auto"/>
              </w:rPr>
            </w:pPr>
            <w:r>
              <w:rPr>
                <w:rFonts w:ascii="Arial" w:cs="Arial" w:eastAsia="Arial" w:hAnsi="Arial"/>
                <w:sz w:val="18"/>
                <w:szCs w:val="18"/>
                <w:color w:val="auto"/>
              </w:rPr>
              <w:t>on July 26, 2004, File No. 333-117662</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10.6†</w:t>
            </w:r>
          </w:p>
        </w:tc>
        <w:tc>
          <w:tcPr>
            <w:tcW w:w="4180" w:type="dxa"/>
            <w:vAlign w:val="bottom"/>
          </w:tcPr>
          <w:p>
            <w:pPr>
              <w:ind w:left="80"/>
              <w:spacing w:after="0"/>
              <w:rPr>
                <w:sz w:val="20"/>
                <w:szCs w:val="20"/>
                <w:color w:val="auto"/>
              </w:rPr>
            </w:pPr>
            <w:r>
              <w:rPr>
                <w:rFonts w:ascii="Arial" w:cs="Arial" w:eastAsia="Arial" w:hAnsi="Arial"/>
                <w:sz w:val="18"/>
                <w:szCs w:val="18"/>
                <w:color w:val="auto"/>
              </w:rPr>
              <w:t>Amendment No. 1 to Ultralife Batteries, Inc.</w:t>
            </w:r>
          </w:p>
        </w:tc>
        <w:tc>
          <w:tcPr>
            <w:tcW w:w="5760" w:type="dxa"/>
            <w:vAlign w:val="bottom"/>
          </w:tcPr>
          <w:p>
            <w:pPr>
              <w:ind w:left="1280"/>
              <w:spacing w:after="0"/>
              <w:rPr>
                <w:sz w:val="20"/>
                <w:szCs w:val="20"/>
                <w:color w:val="auto"/>
              </w:rPr>
            </w:pPr>
            <w:r>
              <w:rPr>
                <w:rFonts w:ascii="Arial" w:cs="Arial" w:eastAsia="Arial" w:hAnsi="Arial"/>
                <w:sz w:val="18"/>
                <w:szCs w:val="18"/>
                <w:color w:val="auto"/>
                <w:w w:val="93"/>
              </w:rPr>
              <w:t>Exhibit 99.3 of our Registration Statement on Form S-8 filed</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Amended and Restated 2004 Long-Term Incentive</w:t>
            </w:r>
          </w:p>
        </w:tc>
        <w:tc>
          <w:tcPr>
            <w:tcW w:w="5760" w:type="dxa"/>
            <w:vAlign w:val="bottom"/>
          </w:tcPr>
          <w:p>
            <w:pPr>
              <w:ind w:left="1280"/>
              <w:spacing w:after="0"/>
              <w:rPr>
                <w:sz w:val="20"/>
                <w:szCs w:val="20"/>
                <w:color w:val="auto"/>
              </w:rPr>
            </w:pPr>
            <w:r>
              <w:rPr>
                <w:rFonts w:ascii="Arial" w:cs="Arial" w:eastAsia="Arial" w:hAnsi="Arial"/>
                <w:sz w:val="18"/>
                <w:szCs w:val="18"/>
                <w:color w:val="auto"/>
              </w:rPr>
              <w:t>August 18, 2006, File No. 333-136737</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Plan</w:t>
            </w:r>
          </w:p>
        </w:tc>
        <w:tc>
          <w:tcPr>
            <w:tcW w:w="5760" w:type="dxa"/>
            <w:vAlign w:val="bottom"/>
          </w:tcPr>
          <w:p>
            <w:pPr>
              <w:spacing w:after="0"/>
              <w:rPr>
                <w:sz w:val="18"/>
                <w:szCs w:val="18"/>
                <w:color w:val="auto"/>
              </w:rPr>
            </w:pP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10.7†</w:t>
            </w:r>
          </w:p>
        </w:tc>
        <w:tc>
          <w:tcPr>
            <w:tcW w:w="4180" w:type="dxa"/>
            <w:vAlign w:val="bottom"/>
          </w:tcPr>
          <w:p>
            <w:pPr>
              <w:ind w:left="80"/>
              <w:spacing w:after="0"/>
              <w:rPr>
                <w:sz w:val="20"/>
                <w:szCs w:val="20"/>
                <w:color w:val="auto"/>
              </w:rPr>
            </w:pPr>
            <w:r>
              <w:rPr>
                <w:rFonts w:ascii="Arial" w:cs="Arial" w:eastAsia="Arial" w:hAnsi="Arial"/>
                <w:sz w:val="18"/>
                <w:szCs w:val="18"/>
                <w:color w:val="auto"/>
              </w:rPr>
              <w:t>Amendment No. 2 to Ultralife Batteries, Inc.</w:t>
            </w:r>
          </w:p>
        </w:tc>
        <w:tc>
          <w:tcPr>
            <w:tcW w:w="5760" w:type="dxa"/>
            <w:vAlign w:val="bottom"/>
          </w:tcPr>
          <w:p>
            <w:pPr>
              <w:ind w:left="1280"/>
              <w:spacing w:after="0"/>
              <w:rPr>
                <w:sz w:val="20"/>
                <w:szCs w:val="20"/>
                <w:color w:val="auto"/>
              </w:rPr>
            </w:pPr>
            <w:r>
              <w:rPr>
                <w:rFonts w:ascii="Arial" w:cs="Arial" w:eastAsia="Arial" w:hAnsi="Arial"/>
                <w:sz w:val="18"/>
                <w:szCs w:val="18"/>
                <w:color w:val="auto"/>
                <w:w w:val="93"/>
              </w:rPr>
              <w:t>Exhibit 99.4 of our Registration Statement on Form S-8 filed</w:t>
            </w:r>
          </w:p>
        </w:tc>
      </w:tr>
      <w:tr>
        <w:trPr>
          <w:trHeight w:val="216"/>
        </w:trPr>
        <w:tc>
          <w:tcPr>
            <w:tcW w:w="12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Amended and Restated 2004 Long-Term Incentive</w:t>
            </w:r>
          </w:p>
        </w:tc>
        <w:tc>
          <w:tcPr>
            <w:tcW w:w="5760" w:type="dxa"/>
            <w:vAlign w:val="bottom"/>
          </w:tcPr>
          <w:p>
            <w:pPr>
              <w:ind w:left="1280"/>
              <w:spacing w:after="0"/>
              <w:rPr>
                <w:sz w:val="20"/>
                <w:szCs w:val="20"/>
                <w:color w:val="auto"/>
              </w:rPr>
            </w:pPr>
            <w:r>
              <w:rPr>
                <w:rFonts w:ascii="Arial" w:cs="Arial" w:eastAsia="Arial" w:hAnsi="Arial"/>
                <w:sz w:val="18"/>
                <w:szCs w:val="18"/>
                <w:color w:val="auto"/>
              </w:rPr>
              <w:t>November 13, 2008, File No. 333-155349</w:t>
            </w:r>
          </w:p>
        </w:tc>
      </w:tr>
      <w:tr>
        <w:trPr>
          <w:trHeight w:val="230"/>
        </w:trPr>
        <w:tc>
          <w:tcPr>
            <w:tcW w:w="1280" w:type="dxa"/>
            <w:vAlign w:val="bottom"/>
          </w:tcPr>
          <w:p>
            <w:pPr>
              <w:spacing w:after="0"/>
              <w:rPr>
                <w:sz w:val="20"/>
                <w:szCs w:val="20"/>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Plan</w:t>
            </w:r>
          </w:p>
        </w:tc>
        <w:tc>
          <w:tcPr>
            <w:tcW w:w="5760" w:type="dxa"/>
            <w:vAlign w:val="bottom"/>
          </w:tcPr>
          <w:p>
            <w:pPr>
              <w:spacing w:after="0"/>
              <w:rPr>
                <w:sz w:val="20"/>
                <w:szCs w:val="20"/>
                <w:color w:val="auto"/>
              </w:rPr>
            </w:pPr>
          </w:p>
        </w:tc>
      </w:tr>
      <w:tr>
        <w:trPr>
          <w:trHeight w:val="608"/>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180" w:type="dxa"/>
            <w:vAlign w:val="bottom"/>
          </w:tcPr>
          <w:p>
            <w:pPr>
              <w:spacing w:after="0"/>
              <w:rPr>
                <w:sz w:val="24"/>
                <w:szCs w:val="24"/>
                <w:color w:val="auto"/>
              </w:rPr>
            </w:pPr>
          </w:p>
        </w:tc>
        <w:tc>
          <w:tcPr>
            <w:tcW w:w="5760" w:type="dxa"/>
            <w:vAlign w:val="bottom"/>
          </w:tcPr>
          <w:p>
            <w:pPr>
              <w:ind w:left="18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878"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Exhibit</w:t>
            </w:r>
          </w:p>
        </w:tc>
        <w:tc>
          <w:tcPr>
            <w:tcW w:w="4540" w:type="dxa"/>
            <w:vAlign w:val="bottom"/>
          </w:tcPr>
          <w:p>
            <w:pPr>
              <w:spacing w:after="0"/>
              <w:rPr>
                <w:sz w:val="18"/>
                <w:szCs w:val="18"/>
                <w:color w:val="auto"/>
              </w:rPr>
            </w:pPr>
          </w:p>
        </w:tc>
      </w:tr>
      <w:tr>
        <w:trPr>
          <w:trHeight w:val="230"/>
        </w:trPr>
        <w:tc>
          <w:tcPr>
            <w:tcW w:w="1280" w:type="dxa"/>
            <w:vAlign w:val="bottom"/>
          </w:tcPr>
          <w:p>
            <w:pPr>
              <w:ind w:left="100"/>
              <w:spacing w:after="0"/>
              <w:rPr>
                <w:sz w:val="20"/>
                <w:szCs w:val="20"/>
                <w:color w:val="auto"/>
              </w:rPr>
            </w:pPr>
            <w:r>
              <w:rPr>
                <w:rFonts w:ascii="Arial" w:cs="Arial" w:eastAsia="Arial" w:hAnsi="Arial"/>
                <w:sz w:val="18"/>
                <w:szCs w:val="18"/>
                <w:color w:val="auto"/>
              </w:rPr>
              <w:t>Index</w:t>
            </w:r>
          </w:p>
        </w:tc>
        <w:tc>
          <w:tcPr>
            <w:tcW w:w="4540" w:type="dxa"/>
            <w:vAlign w:val="bottom"/>
          </w:tcPr>
          <w:p>
            <w:pPr>
              <w:ind w:left="80"/>
              <w:spacing w:after="0"/>
              <w:rPr>
                <w:sz w:val="20"/>
                <w:szCs w:val="20"/>
                <w:color w:val="auto"/>
              </w:rPr>
            </w:pPr>
            <w:r>
              <w:rPr>
                <w:rFonts w:ascii="Arial" w:cs="Arial" w:eastAsia="Arial" w:hAnsi="Arial"/>
                <w:sz w:val="18"/>
                <w:szCs w:val="18"/>
                <w:color w:val="auto"/>
              </w:rPr>
              <w:t>Description of Document</w:t>
            </w:r>
          </w:p>
        </w:tc>
      </w:tr>
      <w:tr>
        <w:trPr>
          <w:trHeight w:val="418"/>
        </w:trPr>
        <w:tc>
          <w:tcPr>
            <w:tcW w:w="1280" w:type="dxa"/>
            <w:vAlign w:val="bottom"/>
          </w:tcPr>
          <w:p>
            <w:pPr>
              <w:ind w:left="100"/>
              <w:spacing w:after="0"/>
              <w:rPr>
                <w:sz w:val="20"/>
                <w:szCs w:val="20"/>
                <w:color w:val="auto"/>
              </w:rPr>
            </w:pPr>
            <w:r>
              <w:rPr>
                <w:rFonts w:ascii="Arial" w:cs="Arial" w:eastAsia="Arial" w:hAnsi="Arial"/>
                <w:sz w:val="18"/>
                <w:szCs w:val="18"/>
                <w:color w:val="auto"/>
              </w:rPr>
              <w:t>10.8†</w:t>
            </w:r>
          </w:p>
        </w:tc>
        <w:tc>
          <w:tcPr>
            <w:tcW w:w="4540" w:type="dxa"/>
            <w:vAlign w:val="bottom"/>
          </w:tcPr>
          <w:p>
            <w:pPr>
              <w:ind w:left="80"/>
              <w:spacing w:after="0"/>
              <w:rPr>
                <w:sz w:val="20"/>
                <w:szCs w:val="20"/>
                <w:color w:val="auto"/>
              </w:rPr>
            </w:pPr>
            <w:r>
              <w:rPr>
                <w:rFonts w:ascii="Arial" w:cs="Arial" w:eastAsia="Arial" w:hAnsi="Arial"/>
                <w:sz w:val="18"/>
                <w:szCs w:val="18"/>
                <w:color w:val="auto"/>
              </w:rPr>
              <w:t>Amendment No. 3 to Ultralife Batteries, Inc.</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Amended and Restated 2004 Long-Term Incentive</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Plan</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10.9†</w:t>
            </w:r>
          </w:p>
        </w:tc>
        <w:tc>
          <w:tcPr>
            <w:tcW w:w="4540" w:type="dxa"/>
            <w:vAlign w:val="bottom"/>
          </w:tcPr>
          <w:p>
            <w:pPr>
              <w:ind w:left="80"/>
              <w:spacing w:after="0"/>
              <w:rPr>
                <w:sz w:val="20"/>
                <w:szCs w:val="20"/>
                <w:color w:val="auto"/>
              </w:rPr>
            </w:pPr>
            <w:r>
              <w:rPr>
                <w:rFonts w:ascii="Arial" w:cs="Arial" w:eastAsia="Arial" w:hAnsi="Arial"/>
                <w:sz w:val="18"/>
                <w:szCs w:val="18"/>
                <w:color w:val="auto"/>
              </w:rPr>
              <w:t>Employment Agreement between the Registrant and</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Peter F. Comerford</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10.10†</w:t>
            </w:r>
          </w:p>
        </w:tc>
        <w:tc>
          <w:tcPr>
            <w:tcW w:w="4540" w:type="dxa"/>
            <w:vAlign w:val="bottom"/>
          </w:tcPr>
          <w:p>
            <w:pPr>
              <w:ind w:left="80"/>
              <w:spacing w:after="0"/>
              <w:rPr>
                <w:sz w:val="20"/>
                <w:szCs w:val="20"/>
                <w:color w:val="auto"/>
              </w:rPr>
            </w:pPr>
            <w:r>
              <w:rPr>
                <w:rFonts w:ascii="Arial" w:cs="Arial" w:eastAsia="Arial" w:hAnsi="Arial"/>
                <w:sz w:val="18"/>
                <w:szCs w:val="18"/>
                <w:color w:val="auto"/>
              </w:rPr>
              <w:t>Employment Agreement between the Registrant and</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Michael D. Popielec dated December 6, 2010</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10.11†</w:t>
            </w:r>
          </w:p>
        </w:tc>
        <w:tc>
          <w:tcPr>
            <w:tcW w:w="4540" w:type="dxa"/>
            <w:vAlign w:val="bottom"/>
          </w:tcPr>
          <w:p>
            <w:pPr>
              <w:ind w:left="80"/>
              <w:spacing w:after="0"/>
              <w:rPr>
                <w:sz w:val="20"/>
                <w:szCs w:val="20"/>
                <w:color w:val="auto"/>
              </w:rPr>
            </w:pPr>
            <w:r>
              <w:rPr>
                <w:rFonts w:ascii="Arial" w:cs="Arial" w:eastAsia="Arial" w:hAnsi="Arial"/>
                <w:sz w:val="18"/>
                <w:szCs w:val="18"/>
                <w:color w:val="auto"/>
              </w:rPr>
              <w:t>Revised definition of “Change in Control” for</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Ultralife Corporation Amended and Restated 2004</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Long-Term Incentive Plan</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10.12</w:t>
            </w:r>
          </w:p>
        </w:tc>
        <w:tc>
          <w:tcPr>
            <w:tcW w:w="4540" w:type="dxa"/>
            <w:vAlign w:val="bottom"/>
          </w:tcPr>
          <w:p>
            <w:pPr>
              <w:ind w:left="80"/>
              <w:spacing w:after="0"/>
              <w:rPr>
                <w:sz w:val="20"/>
                <w:szCs w:val="20"/>
                <w:color w:val="auto"/>
              </w:rPr>
            </w:pPr>
            <w:r>
              <w:rPr>
                <w:rFonts w:ascii="Arial" w:cs="Arial" w:eastAsia="Arial" w:hAnsi="Arial"/>
                <w:sz w:val="18"/>
                <w:szCs w:val="18"/>
                <w:color w:val="auto"/>
              </w:rPr>
              <w:t>Settlement Agreement between the Registrant and the</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United States of America dated June 1, 2011</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10.13†</w:t>
            </w:r>
          </w:p>
        </w:tc>
        <w:tc>
          <w:tcPr>
            <w:tcW w:w="4540" w:type="dxa"/>
            <w:vAlign w:val="bottom"/>
          </w:tcPr>
          <w:p>
            <w:pPr>
              <w:ind w:left="80"/>
              <w:spacing w:after="0"/>
              <w:rPr>
                <w:sz w:val="20"/>
                <w:szCs w:val="20"/>
                <w:color w:val="auto"/>
              </w:rPr>
            </w:pPr>
            <w:r>
              <w:rPr>
                <w:rFonts w:ascii="Arial" w:cs="Arial" w:eastAsia="Arial" w:hAnsi="Arial"/>
                <w:sz w:val="18"/>
                <w:szCs w:val="18"/>
                <w:color w:val="auto"/>
              </w:rPr>
              <w:t>Amendment No. 4 to Ultralife Corporation Amended</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and Restated 2004 Long-Term Incentive Plan</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10.14†</w:t>
            </w:r>
          </w:p>
        </w:tc>
        <w:tc>
          <w:tcPr>
            <w:tcW w:w="4540" w:type="dxa"/>
            <w:vAlign w:val="bottom"/>
          </w:tcPr>
          <w:p>
            <w:pPr>
              <w:ind w:left="80"/>
              <w:spacing w:after="0"/>
              <w:rPr>
                <w:sz w:val="20"/>
                <w:szCs w:val="20"/>
                <w:color w:val="auto"/>
              </w:rPr>
            </w:pPr>
            <w:r>
              <w:rPr>
                <w:rFonts w:ascii="Arial" w:cs="Arial" w:eastAsia="Arial" w:hAnsi="Arial"/>
                <w:sz w:val="18"/>
                <w:szCs w:val="18"/>
                <w:color w:val="auto"/>
              </w:rPr>
              <w:t>Amendment No. 5 to Ultralife Corporation Amended</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and Restated 2004 Long-Term Incentive Plan</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10.15</w:t>
            </w:r>
          </w:p>
        </w:tc>
        <w:tc>
          <w:tcPr>
            <w:tcW w:w="4540" w:type="dxa"/>
            <w:vAlign w:val="bottom"/>
          </w:tcPr>
          <w:p>
            <w:pPr>
              <w:ind w:left="80"/>
              <w:spacing w:after="0"/>
              <w:rPr>
                <w:sz w:val="20"/>
                <w:szCs w:val="20"/>
                <w:color w:val="auto"/>
              </w:rPr>
            </w:pPr>
            <w:r>
              <w:rPr>
                <w:rFonts w:ascii="Arial" w:cs="Arial" w:eastAsia="Arial" w:hAnsi="Arial"/>
                <w:sz w:val="18"/>
                <w:szCs w:val="18"/>
                <w:color w:val="auto"/>
              </w:rPr>
              <w:t>Revolving Credit, Guaranty, and Security Agreement</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between Ultralife Corporation and PNC Bank,</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National Association, dated May 24, 2013</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10.16†</w:t>
            </w:r>
          </w:p>
        </w:tc>
        <w:tc>
          <w:tcPr>
            <w:tcW w:w="4540" w:type="dxa"/>
            <w:vAlign w:val="bottom"/>
          </w:tcPr>
          <w:p>
            <w:pPr>
              <w:ind w:left="80"/>
              <w:spacing w:after="0"/>
              <w:rPr>
                <w:sz w:val="20"/>
                <w:szCs w:val="20"/>
                <w:color w:val="auto"/>
              </w:rPr>
            </w:pPr>
            <w:r>
              <w:rPr>
                <w:rFonts w:ascii="Arial" w:cs="Arial" w:eastAsia="Arial" w:hAnsi="Arial"/>
                <w:sz w:val="18"/>
                <w:szCs w:val="18"/>
                <w:color w:val="auto"/>
              </w:rPr>
              <w:t>Retirement and Consulting Agreement, Release and</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Waiver of All Claims, between Ultralife Corporation</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and Peter F. Comerford, dated May 28,2013</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10.17†</w:t>
            </w:r>
          </w:p>
        </w:tc>
        <w:tc>
          <w:tcPr>
            <w:tcW w:w="4540" w:type="dxa"/>
            <w:vAlign w:val="bottom"/>
          </w:tcPr>
          <w:p>
            <w:pPr>
              <w:ind w:left="80"/>
              <w:spacing w:after="0"/>
              <w:rPr>
                <w:sz w:val="20"/>
                <w:szCs w:val="20"/>
                <w:color w:val="auto"/>
              </w:rPr>
            </w:pPr>
            <w:r>
              <w:rPr>
                <w:rFonts w:ascii="Arial" w:cs="Arial" w:eastAsia="Arial" w:hAnsi="Arial"/>
                <w:sz w:val="18"/>
                <w:szCs w:val="18"/>
                <w:color w:val="auto"/>
              </w:rPr>
              <w:t>Restricted Stock Unit Agreement between Ultralife</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Corporation and Michael D. Popielec. Dated June 4,</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2013</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10.18†</w:t>
            </w:r>
          </w:p>
        </w:tc>
        <w:tc>
          <w:tcPr>
            <w:tcW w:w="4540" w:type="dxa"/>
            <w:vAlign w:val="bottom"/>
          </w:tcPr>
          <w:p>
            <w:pPr>
              <w:ind w:left="80"/>
              <w:spacing w:after="0"/>
              <w:rPr>
                <w:sz w:val="20"/>
                <w:szCs w:val="20"/>
                <w:color w:val="auto"/>
              </w:rPr>
            </w:pPr>
            <w:r>
              <w:rPr>
                <w:rFonts w:ascii="Arial" w:cs="Arial" w:eastAsia="Arial" w:hAnsi="Arial"/>
                <w:sz w:val="18"/>
                <w:szCs w:val="18"/>
                <w:color w:val="auto"/>
              </w:rPr>
              <w:t>Amended No. 6. to Ultralife Corporation Amended</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and Restated 2004 Long-Term Incentive Plan</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10.19</w:t>
            </w:r>
          </w:p>
        </w:tc>
        <w:tc>
          <w:tcPr>
            <w:tcW w:w="4540" w:type="dxa"/>
            <w:vAlign w:val="bottom"/>
          </w:tcPr>
          <w:p>
            <w:pPr>
              <w:ind w:left="80"/>
              <w:spacing w:after="0"/>
              <w:rPr>
                <w:sz w:val="20"/>
                <w:szCs w:val="20"/>
                <w:color w:val="auto"/>
              </w:rPr>
            </w:pPr>
            <w:r>
              <w:rPr>
                <w:rFonts w:ascii="Arial" w:cs="Arial" w:eastAsia="Arial" w:hAnsi="Arial"/>
                <w:sz w:val="18"/>
                <w:szCs w:val="18"/>
                <w:color w:val="auto"/>
              </w:rPr>
              <w:t>Amendment No. 1, dated April 30, 2014, to the</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Revolving Credit, Guaranty, and Security Agreement</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between Ultralife Corporation and PNC Bank,</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National Association, dated May 24, 2013</w:t>
            </w:r>
          </w:p>
        </w:tc>
      </w:tr>
      <w:tr>
        <w:trPr>
          <w:trHeight w:val="216"/>
        </w:trPr>
        <w:tc>
          <w:tcPr>
            <w:tcW w:w="1280" w:type="dxa"/>
            <w:vAlign w:val="bottom"/>
          </w:tcPr>
          <w:p>
            <w:pPr>
              <w:ind w:left="100"/>
              <w:spacing w:after="0"/>
              <w:rPr>
                <w:sz w:val="20"/>
                <w:szCs w:val="20"/>
                <w:color w:val="auto"/>
              </w:rPr>
            </w:pPr>
            <w:r>
              <w:rPr>
                <w:rFonts w:ascii="Arial" w:cs="Arial" w:eastAsia="Arial" w:hAnsi="Arial"/>
                <w:sz w:val="18"/>
                <w:szCs w:val="18"/>
                <w:color w:val="auto"/>
              </w:rPr>
              <w:t>10.20</w:t>
            </w:r>
          </w:p>
        </w:tc>
        <w:tc>
          <w:tcPr>
            <w:tcW w:w="4540" w:type="dxa"/>
            <w:vAlign w:val="bottom"/>
          </w:tcPr>
          <w:p>
            <w:pPr>
              <w:ind w:left="80"/>
              <w:spacing w:after="0"/>
              <w:rPr>
                <w:sz w:val="20"/>
                <w:szCs w:val="20"/>
                <w:color w:val="auto"/>
              </w:rPr>
            </w:pPr>
            <w:r>
              <w:rPr>
                <w:rFonts w:ascii="Arial" w:cs="Arial" w:eastAsia="Arial" w:hAnsi="Arial"/>
                <w:sz w:val="18"/>
                <w:szCs w:val="18"/>
                <w:color w:val="auto"/>
              </w:rPr>
              <w:t>Amendment No. 2, dated October 28, 2014, to the</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Revolving Credit, Guaranty, and Security Agreement</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between Ultralife Corporation and PNC Bank,</w:t>
            </w:r>
          </w:p>
        </w:tc>
      </w:tr>
      <w:tr>
        <w:trPr>
          <w:trHeight w:val="216"/>
        </w:trPr>
        <w:tc>
          <w:tcPr>
            <w:tcW w:w="12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National Association, dated May 24, 2013</w:t>
            </w:r>
          </w:p>
        </w:tc>
      </w:tr>
      <w:tr>
        <w:trPr>
          <w:trHeight w:val="230"/>
        </w:trPr>
        <w:tc>
          <w:tcPr>
            <w:tcW w:w="1280" w:type="dxa"/>
            <w:vAlign w:val="bottom"/>
          </w:tcPr>
          <w:p>
            <w:pPr>
              <w:ind w:left="100"/>
              <w:spacing w:after="0"/>
              <w:rPr>
                <w:sz w:val="20"/>
                <w:szCs w:val="20"/>
                <w:color w:val="auto"/>
              </w:rPr>
            </w:pPr>
            <w:r>
              <w:rPr>
                <w:rFonts w:ascii="Arial" w:cs="Arial" w:eastAsia="Arial" w:hAnsi="Arial"/>
                <w:sz w:val="18"/>
                <w:szCs w:val="18"/>
                <w:color w:val="auto"/>
              </w:rPr>
              <w:t>21</w:t>
            </w:r>
          </w:p>
        </w:tc>
        <w:tc>
          <w:tcPr>
            <w:tcW w:w="454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243"/>
        </w:trPr>
        <w:tc>
          <w:tcPr>
            <w:tcW w:w="1280" w:type="dxa"/>
            <w:vAlign w:val="bottom"/>
          </w:tcPr>
          <w:p>
            <w:pPr>
              <w:ind w:left="100"/>
              <w:spacing w:after="0"/>
              <w:rPr>
                <w:sz w:val="20"/>
                <w:szCs w:val="20"/>
                <w:color w:val="auto"/>
              </w:rPr>
            </w:pPr>
            <w:r>
              <w:rPr>
                <w:rFonts w:ascii="Arial" w:cs="Arial" w:eastAsia="Arial" w:hAnsi="Arial"/>
                <w:sz w:val="18"/>
                <w:szCs w:val="18"/>
                <w:color w:val="auto"/>
              </w:rPr>
              <w:t>23.1</w:t>
            </w:r>
          </w:p>
        </w:tc>
        <w:tc>
          <w:tcPr>
            <w:tcW w:w="4540" w:type="dxa"/>
            <w:vAlign w:val="bottom"/>
          </w:tcPr>
          <w:p>
            <w:pPr>
              <w:ind w:left="80"/>
              <w:spacing w:after="0"/>
              <w:rPr>
                <w:sz w:val="20"/>
                <w:szCs w:val="20"/>
                <w:color w:val="auto"/>
              </w:rPr>
            </w:pPr>
            <w:r>
              <w:rPr>
                <w:rFonts w:ascii="Arial" w:cs="Arial" w:eastAsia="Arial" w:hAnsi="Arial"/>
                <w:sz w:val="18"/>
                <w:szCs w:val="18"/>
                <w:color w:val="auto"/>
              </w:rPr>
              <w:t>Consent of Bonadio &amp; Co.,LLP</w:t>
            </w:r>
          </w:p>
        </w:tc>
      </w:tr>
      <w:tr>
        <w:trPr>
          <w:trHeight w:val="243"/>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4540" w:type="dxa"/>
            <w:vAlign w:val="bottom"/>
          </w:tcPr>
          <w:p>
            <w:pPr>
              <w:ind w:left="80"/>
              <w:spacing w:after="0"/>
              <w:rPr>
                <w:sz w:val="20"/>
                <w:szCs w:val="20"/>
                <w:color w:val="auto"/>
              </w:rPr>
            </w:pPr>
            <w:r>
              <w:rPr>
                <w:rFonts w:ascii="Arial" w:cs="Arial" w:eastAsia="Arial" w:hAnsi="Arial"/>
                <w:sz w:val="18"/>
                <w:szCs w:val="18"/>
                <w:color w:val="auto"/>
              </w:rPr>
              <w:t>CEO 302 Certifications</w:t>
            </w:r>
          </w:p>
        </w:tc>
      </w:tr>
      <w:tr>
        <w:trPr>
          <w:trHeight w:val="243"/>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4540" w:type="dxa"/>
            <w:vAlign w:val="bottom"/>
          </w:tcPr>
          <w:p>
            <w:pPr>
              <w:ind w:left="80"/>
              <w:spacing w:after="0"/>
              <w:rPr>
                <w:sz w:val="20"/>
                <w:szCs w:val="20"/>
                <w:color w:val="auto"/>
              </w:rPr>
            </w:pPr>
            <w:r>
              <w:rPr>
                <w:rFonts w:ascii="Arial" w:cs="Arial" w:eastAsia="Arial" w:hAnsi="Arial"/>
                <w:sz w:val="18"/>
                <w:szCs w:val="18"/>
                <w:color w:val="auto"/>
              </w:rPr>
              <w:t>CFO 302 Certifications</w:t>
            </w:r>
          </w:p>
        </w:tc>
      </w:tr>
      <w:tr>
        <w:trPr>
          <w:trHeight w:val="243"/>
        </w:trPr>
        <w:tc>
          <w:tcPr>
            <w:tcW w:w="1280" w:type="dxa"/>
            <w:vAlign w:val="bottom"/>
          </w:tcPr>
          <w:p>
            <w:pPr>
              <w:ind w:left="100"/>
              <w:spacing w:after="0"/>
              <w:rPr>
                <w:sz w:val="20"/>
                <w:szCs w:val="20"/>
                <w:color w:val="auto"/>
              </w:rPr>
            </w:pPr>
            <w:r>
              <w:rPr>
                <w:rFonts w:ascii="Arial" w:cs="Arial" w:eastAsia="Arial" w:hAnsi="Arial"/>
                <w:sz w:val="18"/>
                <w:szCs w:val="18"/>
                <w:color w:val="auto"/>
              </w:rPr>
              <w:t>32</w:t>
            </w:r>
          </w:p>
        </w:tc>
        <w:tc>
          <w:tcPr>
            <w:tcW w:w="4540" w:type="dxa"/>
            <w:vAlign w:val="bottom"/>
          </w:tcPr>
          <w:p>
            <w:pPr>
              <w:ind w:left="80"/>
              <w:spacing w:after="0"/>
              <w:rPr>
                <w:sz w:val="20"/>
                <w:szCs w:val="20"/>
                <w:color w:val="auto"/>
              </w:rPr>
            </w:pPr>
            <w:r>
              <w:rPr>
                <w:rFonts w:ascii="Arial" w:cs="Arial" w:eastAsia="Arial" w:hAnsi="Arial"/>
                <w:sz w:val="18"/>
                <w:szCs w:val="18"/>
                <w:color w:val="auto"/>
              </w:rPr>
              <w:t>906 Certifications</w:t>
            </w:r>
          </w:p>
        </w:tc>
      </w:tr>
      <w:tr>
        <w:trPr>
          <w:trHeight w:val="608"/>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ind w:left="4360"/>
              <w:spacing w:after="0"/>
              <w:rPr>
                <w:sz w:val="20"/>
                <w:szCs w:val="20"/>
                <w:color w:val="auto"/>
              </w:rPr>
            </w:pPr>
            <w:r>
              <w:rPr>
                <w:rFonts w:ascii="Arial" w:cs="Arial" w:eastAsia="Arial" w:hAnsi="Arial"/>
                <w:sz w:val="18"/>
                <w:szCs w:val="18"/>
                <w:color w:val="auto"/>
                <w:w w:val="79"/>
              </w:rPr>
              <w:t>70</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 99.5 of our Registration Statement on Form S-8 filed November 13, 2008, File No. 333-155349</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Exhibit 10.30 of the Form 10-K for the year ended December 31, 2009, filed March 16, 2010</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10.40 of the Form 10-K for the year ended December 31, 2010, filed March 15,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26,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June 2, 2011</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Exhibit 4.5 of the Registration Statement on Form S-8 filed on January 30, 2012, File No. 333-179235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26, 2011</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Appendix A of Form DEF 14A filed on April 22, 2013</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10.1 of the Form 10-Q for the quarter ended March 30, 2014, filed May 9, 2014</w:t>
      </w:r>
    </w:p>
    <w:p>
      <w:pPr>
        <w:spacing w:after="0" w:line="38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Exhibit 10.1 of the Form 10-Q for the quarter ended September 28, 2014, filed November 3, 2014</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20" w:space="720"/>
            <w:col w:w="4420"/>
          </w:cols>
          <w:pgMar w:left="240" w:top="665" w:right="499" w:bottom="1440" w:gutter="0" w:footer="0" w:header="0"/>
        </w:sectPr>
      </w:pPr>
    </w:p>
    <w:bookmarkStart w:id="70" w:name="page71"/>
    <w:bookmarkEnd w:id="70"/>
    <w:tbl>
      <w:tblPr>
        <w:tblLayout w:type="fixed"/>
        <w:tblInd w:w="10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w:t>
            </w:r>
          </w:p>
        </w:tc>
        <w:tc>
          <w:tcPr>
            <w:tcW w:w="484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Index</w:t>
            </w:r>
          </w:p>
        </w:tc>
        <w:tc>
          <w:tcPr>
            <w:tcW w:w="4840" w:type="dxa"/>
            <w:vAlign w:val="bottom"/>
          </w:tcPr>
          <w:p>
            <w:pPr>
              <w:ind w:left="280"/>
              <w:spacing w:after="0"/>
              <w:rPr>
                <w:sz w:val="20"/>
                <w:szCs w:val="20"/>
                <w:color w:val="auto"/>
              </w:rPr>
            </w:pPr>
            <w:r>
              <w:rPr>
                <w:rFonts w:ascii="Arial" w:cs="Arial" w:eastAsia="Arial" w:hAnsi="Arial"/>
                <w:sz w:val="18"/>
                <w:szCs w:val="18"/>
                <w:color w:val="auto"/>
              </w:rPr>
              <w:t>Description of Document</w:t>
            </w:r>
          </w:p>
        </w:tc>
        <w:tc>
          <w:tcPr>
            <w:tcW w:w="3220" w:type="dxa"/>
            <w:vAlign w:val="bottom"/>
          </w:tcPr>
          <w:p>
            <w:pPr>
              <w:ind w:left="820"/>
              <w:spacing w:after="0"/>
              <w:rPr>
                <w:sz w:val="20"/>
                <w:szCs w:val="20"/>
                <w:color w:val="auto"/>
              </w:rPr>
            </w:pPr>
            <w:r>
              <w:rPr>
                <w:rFonts w:ascii="Arial" w:cs="Arial" w:eastAsia="Arial" w:hAnsi="Arial"/>
                <w:sz w:val="18"/>
                <w:szCs w:val="18"/>
                <w:color w:val="auto"/>
                <w:w w:val="91"/>
              </w:rPr>
              <w:t>Incorporated By Reference from:</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100.INS</w:t>
            </w:r>
          </w:p>
        </w:tc>
        <w:tc>
          <w:tcPr>
            <w:tcW w:w="484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3220" w:type="dxa"/>
            <w:vAlign w:val="bottom"/>
          </w:tcPr>
          <w:p>
            <w:pPr>
              <w:ind w:left="82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100.SCH</w:t>
            </w:r>
          </w:p>
        </w:tc>
        <w:tc>
          <w:tcPr>
            <w:tcW w:w="48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3220" w:type="dxa"/>
            <w:vAlign w:val="bottom"/>
          </w:tcPr>
          <w:p>
            <w:pPr>
              <w:ind w:left="82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100.CAL</w:t>
            </w:r>
          </w:p>
        </w:tc>
        <w:tc>
          <w:tcPr>
            <w:tcW w:w="484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3220" w:type="dxa"/>
            <w:vAlign w:val="bottom"/>
          </w:tcPr>
          <w:p>
            <w:pPr>
              <w:ind w:left="82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100.LAB</w:t>
            </w:r>
          </w:p>
        </w:tc>
        <w:tc>
          <w:tcPr>
            <w:tcW w:w="484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3220" w:type="dxa"/>
            <w:vAlign w:val="bottom"/>
          </w:tcPr>
          <w:p>
            <w:pPr>
              <w:ind w:left="82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100.PRE</w:t>
            </w:r>
          </w:p>
        </w:tc>
        <w:tc>
          <w:tcPr>
            <w:tcW w:w="484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c>
          <w:tcPr>
            <w:tcW w:w="3220" w:type="dxa"/>
            <w:vAlign w:val="bottom"/>
          </w:tcPr>
          <w:p>
            <w:pPr>
              <w:ind w:left="820"/>
              <w:spacing w:after="0"/>
              <w:rPr>
                <w:sz w:val="20"/>
                <w:szCs w:val="20"/>
                <w:color w:val="auto"/>
              </w:rPr>
            </w:pPr>
            <w:r>
              <w:rPr>
                <w:rFonts w:ascii="Arial" w:cs="Arial" w:eastAsia="Arial" w:hAnsi="Arial"/>
                <w:sz w:val="18"/>
                <w:szCs w:val="18"/>
                <w:color w:val="auto"/>
              </w:rPr>
              <w:t>Filed herewith</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100.DEF</w:t>
            </w:r>
          </w:p>
        </w:tc>
        <w:tc>
          <w:tcPr>
            <w:tcW w:w="484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3220" w:type="dxa"/>
            <w:vAlign w:val="bottom"/>
          </w:tcPr>
          <w:p>
            <w:pPr>
              <w:ind w:left="820"/>
              <w:spacing w:after="0"/>
              <w:rPr>
                <w:sz w:val="20"/>
                <w:szCs w:val="20"/>
                <w:color w:val="auto"/>
              </w:rPr>
            </w:pPr>
            <w:r>
              <w:rPr>
                <w:rFonts w:ascii="Arial" w:cs="Arial" w:eastAsia="Arial" w:hAnsi="Arial"/>
                <w:sz w:val="18"/>
                <w:szCs w:val="18"/>
                <w:color w:val="auto"/>
              </w:rPr>
              <w:t>Filed herewith</w:t>
            </w:r>
          </w:p>
        </w:tc>
      </w:tr>
    </w:tbl>
    <w:p>
      <w:pPr>
        <w:spacing w:after="0" w:line="202" w:lineRule="exact"/>
        <w:rPr>
          <w:sz w:val="20"/>
          <w:szCs w:val="20"/>
          <w:color w:val="auto"/>
        </w:rPr>
      </w:pPr>
    </w:p>
    <w:p>
      <w:pPr>
        <w:ind w:left="780" w:hanging="124"/>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0219"/>
          </w:cols>
          <w:pgMar w:left="240" w:top="881"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5240" w:type="dxa"/>
            <w:vAlign w:val="bottom"/>
          </w:tcPr>
          <w:p>
            <w:pPr>
              <w:ind w:left="1400"/>
              <w:spacing w:after="0"/>
              <w:rPr>
                <w:sz w:val="20"/>
                <w:szCs w:val="20"/>
                <w:color w:val="auto"/>
              </w:rPr>
            </w:pPr>
            <w:r>
              <w:rPr>
                <w:rFonts w:ascii="Arial" w:cs="Arial" w:eastAsia="Arial" w:hAnsi="Arial"/>
                <w:sz w:val="18"/>
                <w:szCs w:val="18"/>
                <w:b w:val="1"/>
                <w:bCs w:val="1"/>
                <w:color w:val="auto"/>
              </w:rPr>
              <w:t>ULTRALIFE CORPORATION</w:t>
            </w: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195"/>
        </w:trPr>
        <w:tc>
          <w:tcPr>
            <w:tcW w:w="608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0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195"/>
        </w:trPr>
        <w:tc>
          <w:tcPr>
            <w:tcW w:w="608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Michael D. Popielec</w:t>
            </w:r>
          </w:p>
        </w:tc>
      </w:tr>
      <w:tr>
        <w:trPr>
          <w:trHeight w:val="216"/>
        </w:trPr>
        <w:tc>
          <w:tcPr>
            <w:tcW w:w="60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195"/>
        </w:trPr>
        <w:tc>
          <w:tcPr>
            <w:tcW w:w="608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Philip A. Fain</w:t>
            </w:r>
          </w:p>
        </w:tc>
      </w:tr>
      <w:tr>
        <w:trPr>
          <w:trHeight w:val="216"/>
        </w:trPr>
        <w:tc>
          <w:tcPr>
            <w:tcW w:w="60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0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60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Accounting Officer)</w:t>
            </w: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/s/Steven M. Anderson</w:t>
            </w:r>
          </w:p>
        </w:tc>
      </w:tr>
      <w:tr>
        <w:trPr>
          <w:trHeight w:val="224"/>
        </w:trPr>
        <w:tc>
          <w:tcPr>
            <w:tcW w:w="60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Steven M. Anderson (Director)</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L. Saeli</w:t>
            </w:r>
          </w:p>
        </w:tc>
      </w:tr>
      <w:tr>
        <w:trPr>
          <w:trHeight w:val="224"/>
        </w:trPr>
        <w:tc>
          <w:tcPr>
            <w:tcW w:w="60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Thomas L. Saeli (Director)</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W. Shaw II</w:t>
            </w:r>
          </w:p>
        </w:tc>
      </w:tr>
      <w:tr>
        <w:trPr>
          <w:trHeight w:val="224"/>
        </w:trPr>
        <w:tc>
          <w:tcPr>
            <w:tcW w:w="60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Robert W. Shaw II (Director)</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Ranjit C. Singh</w:t>
            </w:r>
          </w:p>
        </w:tc>
      </w:tr>
      <w:tr>
        <w:trPr>
          <w:trHeight w:val="224"/>
        </w:trPr>
        <w:tc>
          <w:tcPr>
            <w:tcW w:w="60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Ranjit C. Singh (Director)</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Date: March 10, 2015</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Bradford T. Whitmore</w:t>
            </w:r>
          </w:p>
        </w:tc>
      </w:tr>
      <w:tr>
        <w:trPr>
          <w:trHeight w:val="224"/>
        </w:trPr>
        <w:tc>
          <w:tcPr>
            <w:tcW w:w="60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Bradford T. Whitmore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878" w:right="239" w:bottom="1440" w:gutter="0" w:footer="0" w:header="0"/>
        </w:sectPr>
      </w:pPr>
    </w:p>
    <w:bookmarkStart w:id="72" w:name="page73"/>
    <w:bookmarkEnd w:id="72"/>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960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9600" w:type="dxa"/>
            <w:vAlign w:val="bottom"/>
          </w:tcPr>
          <w:p>
            <w:pPr>
              <w:ind w:left="140"/>
              <w:spacing w:after="0"/>
              <w:rPr>
                <w:sz w:val="20"/>
                <w:szCs w:val="20"/>
                <w:color w:val="auto"/>
              </w:rPr>
            </w:pPr>
            <w:r>
              <w:rPr>
                <w:rFonts w:ascii="Arial" w:cs="Arial" w:eastAsia="Arial" w:hAnsi="Arial"/>
                <w:sz w:val="18"/>
                <w:szCs w:val="18"/>
                <w:color w:val="auto"/>
              </w:rPr>
              <w:t>Consent of Bonadio &amp; Co., LLP</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4540" w:type="dxa"/>
            <w:vAlign w:val="bottom"/>
          </w:tcPr>
          <w:p>
            <w:pPr>
              <w:jc w:val="right"/>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080"/>
          </w:cols>
          <w:pgMar w:left="240" w:top="1125" w:right="5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ectPr>
          <w:pgSz w:w="11900" w:h="16838" w:orient="portrait"/>
          <w:cols w:equalWidth="0" w:num="1">
            <w:col w:w="11420"/>
          </w:cols>
          <w:pgMar w:left="240" w:top="121" w:right="239" w:bottom="1440" w:gutter="0" w:footer="0" w:header="0"/>
        </w:sectPr>
      </w:pPr>
    </w:p>
    <w:bookmarkStart w:id="74" w:name="page75"/>
    <w:bookmarkEnd w:id="74"/>
    <w:p>
      <w:pPr>
        <w:ind w:left="778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Forms S-8 (Nos. 333-117662, 333-136737, 333-155349 and 333-179235) of our report dated March 10, 2015 on the consolidated financial statements of Ultralife Corporation for the year ended December 31, 2014, which appear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Bonadio &amp; Co., LLP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Pittsford, New York</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10, 2015</w:t>
      </w:r>
    </w:p>
    <w:p>
      <w:pPr>
        <w:sectPr>
          <w:pgSz w:w="11900" w:h="16838" w:orient="portrait"/>
          <w:cols w:equalWidth="0" w:num="1">
            <w:col w:w="11420"/>
          </w:cols>
          <w:pgMar w:left="240" w:top="121" w:right="239" w:bottom="1440" w:gutter="0" w:footer="0" w:header="0"/>
        </w:sectPr>
      </w:pPr>
    </w:p>
    <w:bookmarkStart w:id="75" w:name="page76"/>
    <w:bookmarkEnd w:id="75"/>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11"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3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960" w:hanging="655"/>
        <w:spacing w:after="0" w:line="342" w:lineRule="auto"/>
        <w:tabs>
          <w:tab w:leader="none" w:pos="1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March 10,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1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3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960" w:hanging="655"/>
        <w:spacing w:after="0" w:line="342" w:lineRule="auto"/>
        <w:tabs>
          <w:tab w:leader="none" w:pos="1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March 10, 2015</w:t>
            </w:r>
          </w:p>
        </w:tc>
        <w:tc>
          <w:tcPr>
            <w:tcW w:w="6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195"/>
        </w:trPr>
        <w:tc>
          <w:tcPr>
            <w:tcW w:w="4580" w:type="dxa"/>
            <w:vAlign w:val="bottom"/>
          </w:tcPr>
          <w:p>
            <w:pPr>
              <w:spacing w:after="0"/>
              <w:rPr>
                <w:sz w:val="16"/>
                <w:szCs w:val="16"/>
                <w:color w:val="auto"/>
              </w:rPr>
            </w:pPr>
          </w:p>
        </w:tc>
        <w:tc>
          <w:tcPr>
            <w:tcW w:w="6740" w:type="dxa"/>
            <w:vAlign w:val="bottom"/>
          </w:tcPr>
          <w:p>
            <w:pPr>
              <w:ind w:left="10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580" w:type="dxa"/>
            <w:vAlign w:val="bottom"/>
          </w:tcPr>
          <w:p>
            <w:pPr>
              <w:spacing w:after="0"/>
              <w:rPr>
                <w:sz w:val="20"/>
                <w:szCs w:val="20"/>
                <w:color w:val="auto"/>
              </w:rPr>
            </w:pPr>
          </w:p>
        </w:tc>
        <w:tc>
          <w:tcPr>
            <w:tcW w:w="674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Section 1350 Certification</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March 10,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Date: March 10,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amp;"/>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4"/>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4"/>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1)"/>
      <w:numFmt w:val="lowerLetter"/>
      <w:start w:val="1"/>
    </w:lvl>
    <w:lvl w:ilvl="1">
      <w:lvlJc w:val="left"/>
      <w:lvlText w:val="%2."/>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2019-12-29T17:38:26Z</dcterms:created>
  <dcterms:modified xsi:type="dcterms:W3CDTF">2019-12-29T17:38:26Z</dcterms:modified>
</cp:coreProperties>
</file>