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4340" w:right="980" w:hanging="3348"/>
        <w:spacing w:after="0" w:line="261" w:lineRule="auto"/>
        <w:tabs>
          <w:tab w:leader="none" w:pos="128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 Ended July 1, 2018</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9" w:lineRule="exact"/>
        <w:rPr>
          <w:sz w:val="24"/>
          <w:szCs w:val="24"/>
          <w:color w:val="auto"/>
        </w:rPr>
      </w:pPr>
    </w:p>
    <w:p>
      <w:pPr>
        <w:ind w:left="426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0-27460</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ULTRALIFE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200" w:type="dxa"/>
            <w:vAlign w:val="bottom"/>
          </w:tcPr>
          <w:p>
            <w:pPr>
              <w:jc w:val="right"/>
              <w:ind w:right="790"/>
              <w:spacing w:after="0"/>
              <w:rPr>
                <w:sz w:val="20"/>
                <w:szCs w:val="20"/>
                <w:color w:val="auto"/>
              </w:rPr>
            </w:pPr>
            <w:r>
              <w:rPr>
                <w:rFonts w:ascii="Arial" w:cs="Arial" w:eastAsia="Arial" w:hAnsi="Arial"/>
                <w:sz w:val="18"/>
                <w:szCs w:val="18"/>
                <w:b w:val="1"/>
                <w:bCs w:val="1"/>
                <w:color w:val="auto"/>
              </w:rPr>
              <w:t>16-1387013</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5200" w:type="dxa"/>
            <w:vAlign w:val="bottom"/>
          </w:tcPr>
          <w:p>
            <w:pPr>
              <w:jc w:val="center"/>
              <w:ind w:left="24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2000 Technology Parkway</w:t>
            </w:r>
          </w:p>
        </w:tc>
        <w:tc>
          <w:tcPr>
            <w:tcW w:w="5200" w:type="dxa"/>
            <w:vAlign w:val="bottom"/>
          </w:tcPr>
          <w:p>
            <w:pPr>
              <w:jc w:val="right"/>
              <w:ind w:right="990"/>
              <w:spacing w:after="0"/>
              <w:rPr>
                <w:sz w:val="20"/>
                <w:szCs w:val="20"/>
                <w:color w:val="auto"/>
              </w:rPr>
            </w:pPr>
            <w:r>
              <w:rPr>
                <w:rFonts w:ascii="Arial" w:cs="Arial" w:eastAsia="Arial" w:hAnsi="Arial"/>
                <w:sz w:val="18"/>
                <w:szCs w:val="18"/>
                <w:b w:val="1"/>
                <w:bCs w:val="1"/>
                <w:color w:val="auto"/>
              </w:rPr>
              <w:t>14513</w:t>
            </w:r>
          </w:p>
        </w:tc>
        <w:tc>
          <w:tcPr>
            <w:tcW w:w="0" w:type="dxa"/>
            <w:vAlign w:val="bottom"/>
          </w:tcPr>
          <w:p>
            <w:pPr>
              <w:spacing w:after="0"/>
              <w:rPr>
                <w:sz w:val="1"/>
                <w:szCs w:val="1"/>
                <w:color w:val="auto"/>
              </w:rPr>
            </w:pPr>
          </w:p>
        </w:tc>
      </w:t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Newark, New York</w:t>
            </w:r>
          </w:p>
        </w:tc>
        <w:tc>
          <w:tcPr>
            <w:tcW w:w="5200" w:type="dxa"/>
            <w:vAlign w:val="bottom"/>
          </w:tcPr>
          <w:p>
            <w:pPr>
              <w:jc w:val="center"/>
              <w:ind w:left="24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vMerge w:val="restart"/>
          </w:tcPr>
          <w:p>
            <w:pPr>
              <w:jc w:val="right"/>
              <w:ind w:right="3210"/>
              <w:spacing w:after="0"/>
              <w:rPr>
                <w:sz w:val="20"/>
                <w:szCs w:val="20"/>
                <w:color w:val="auto"/>
              </w:rPr>
            </w:pPr>
            <w:r>
              <w:rPr>
                <w:rFonts w:ascii="Arial" w:cs="Arial" w:eastAsia="Arial" w:hAnsi="Arial"/>
                <w:sz w:val="18"/>
                <w:szCs w:val="18"/>
                <w:color w:val="auto"/>
                <w:w w:val="98"/>
              </w:rPr>
              <w:t>___________________</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(315) 332-7100</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00" w:lineRule="exact"/>
        <w:rPr>
          <w:sz w:val="24"/>
          <w:szCs w:val="24"/>
          <w:color w:val="auto"/>
        </w:rPr>
      </w:pPr>
    </w:p>
    <w:p>
      <w:pPr>
        <w:spacing w:after="0" w:line="2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80"/>
              <w:spacing w:after="0"/>
              <w:rPr>
                <w:sz w:val="20"/>
                <w:szCs w:val="20"/>
                <w:color w:val="auto"/>
              </w:rPr>
            </w:pPr>
            <w:r>
              <w:rPr>
                <w:rFonts w:ascii="Arial" w:cs="Arial" w:eastAsia="Arial" w:hAnsi="Arial"/>
                <w:sz w:val="18"/>
                <w:szCs w:val="18"/>
                <w:color w:val="auto"/>
              </w:rPr>
              <w:t>]</w:t>
            </w:r>
          </w:p>
        </w:tc>
        <w:tc>
          <w:tcPr>
            <w:tcW w:w="298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80"/>
              <w:spacing w:after="0"/>
              <w:rPr>
                <w:sz w:val="20"/>
                <w:szCs w:val="20"/>
                <w:color w:val="auto"/>
              </w:rPr>
            </w:pPr>
            <w:r>
              <w:rPr>
                <w:rFonts w:ascii="Arial" w:cs="Arial" w:eastAsia="Arial" w:hAnsi="Arial"/>
                <w:sz w:val="18"/>
                <w:szCs w:val="18"/>
                <w:color w:val="auto"/>
              </w:rPr>
              <w:t>] (Do not check if a smaller reporting company)</w:t>
            </w:r>
          </w:p>
        </w:tc>
        <w:tc>
          <w:tcPr>
            <w:tcW w:w="298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9"/>
              </w:rPr>
              <w:t>[ X ]</w:t>
            </w:r>
          </w:p>
        </w:tc>
      </w:tr>
      <w:tr>
        <w:trPr>
          <w:trHeight w:val="230"/>
        </w:trPr>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98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tabs>
          <w:tab w:leader="none" w:pos="87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r>
      <w:r>
        <w:rPr>
          <w:sz w:val="20"/>
          <w:szCs w:val="20"/>
          <w:color w:val="auto"/>
        </w:rPr>
        <w:tab/>
      </w:r>
      <w:r>
        <w:rPr>
          <w:rFonts w:ascii="Arial" w:cs="Arial" w:eastAsia="Arial" w:hAnsi="Arial"/>
          <w:sz w:val="17"/>
          <w:szCs w:val="17"/>
          <w:color w:val="auto"/>
        </w:rPr>
        <w:t>] No [ X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15,945,777, net of 4,019,711 treasury shares, as of July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920" w:type="dxa"/>
            <w:vAlign w:val="bottom"/>
          </w:tcPr>
          <w:p>
            <w:pPr>
              <w:jc w:val="center"/>
              <w:ind w:right="170"/>
              <w:spacing w:after="0"/>
              <w:rPr>
                <w:sz w:val="20"/>
                <w:szCs w:val="20"/>
                <w:color w:val="auto"/>
              </w:rPr>
            </w:pPr>
            <w:r>
              <w:rPr>
                <w:rFonts w:ascii="Arial" w:cs="Arial" w:eastAsia="Arial" w:hAnsi="Arial"/>
                <w:sz w:val="18"/>
                <w:szCs w:val="18"/>
                <w:b w:val="1"/>
                <w:bCs w:val="1"/>
                <w:color w:val="auto"/>
              </w:rPr>
              <w:t>ULTRALIFE CORPORATION AND SUBSIDIARIES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920" w:type="dxa"/>
            <w:vAlign w:val="bottom"/>
          </w:tcPr>
          <w:p>
            <w:pPr>
              <w:jc w:val="center"/>
              <w:ind w:right="17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Balance Sheets as of July 1, 2018 (Unaudited) and December 31, 2017</w:t>
            </w:r>
          </w:p>
        </w:tc>
        <w:tc>
          <w:tcPr>
            <w:tcW w:w="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Consolidated Statements of Income and Comprehensive Income (Unaudited) for the Three and Six Month Periods Ended July 1, 2018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July 2, 2017</w:t>
            </w:r>
          </w:p>
        </w:tc>
        <w:tc>
          <w:tcPr>
            <w:tcW w:w="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Statements of Cash Flows (Unaudited) for the Six Month Periods Ended July 1, 2018 and July 2, 2017</w:t>
            </w:r>
          </w:p>
        </w:tc>
        <w:tc>
          <w:tcPr>
            <w:tcW w:w="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Exhibits</w:t>
            </w:r>
          </w:p>
        </w:tc>
        <w:tc>
          <w:tcPr>
            <w:tcW w:w="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Signatures</w:t>
            </w:r>
          </w:p>
        </w:tc>
        <w:tc>
          <w:tcPr>
            <w:tcW w:w="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Index to Exhibits</w:t>
            </w:r>
          </w:p>
        </w:tc>
        <w:tc>
          <w:tcPr>
            <w:tcW w:w="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920" w:type="dxa"/>
            <w:vAlign w:val="bottom"/>
          </w:tcPr>
          <w:p>
            <w:pPr>
              <w:jc w:val="center"/>
              <w:ind w:right="17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July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Cash</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20,285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w w:val="97"/>
              </w:rPr>
              <w:t>Trade Accounts Receivable, Net of Allowance for Doubtful Accounts of $283 and $292, Respectively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2,445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Property, Equipment and Improvements, Net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 Par Value $.10 Per Share; Authorized 40,000,000 Shares; Issued – 19,961,404 Shares at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w w:val="91"/>
              </w:rPr>
              <w:t>July 1, 2018 and 19,670,928 Shares at December 31, 2017; Outstanding – 15,941,693 Shares at July 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2018 and 15,651,217 Shares at December 31, 2017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(79,117)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Treasury Stock - At Cost; 4,019,711 Shares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(18,469)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Ultralife Corporation Equity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 periods ended</w:t>
            </w:r>
          </w:p>
        </w:tc>
        <w:tc>
          <w:tcPr>
            <w:tcW w:w="200" w:type="dxa"/>
            <w:vAlign w:val="bottom"/>
          </w:tcPr>
          <w:p>
            <w:pPr>
              <w:spacing w:after="0"/>
              <w:rPr>
                <w:sz w:val="18"/>
                <w:szCs w:val="18"/>
                <w:color w:val="auto"/>
              </w:rPr>
            </w:pPr>
          </w:p>
        </w:tc>
        <w:tc>
          <w:tcPr>
            <w:tcW w:w="240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45,933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1,185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income per share attributable to Ultralife common shareholders – basic</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per share attributable to Ultralife common shareholders –</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diluted</w:t>
            </w:r>
          </w:p>
        </w:tc>
        <w:tc>
          <w:tcPr>
            <w:tcW w:w="28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30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Six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July 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3,807</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(4,177)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Equipment and Improvements</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Government Grant</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20,749</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its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2017.</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December 31, 2017 consolidated balance sheet data referenced herein was derived from audited financial statements, but does not include all disclosures required by GAAP.</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2018, the Company adopted Accounting Standards Update 2014-09 (Topic 606) “Revenue from Contracts with Customers”. Adoption of Topic 606 did not impact the timing of revenue recognition in our Consolidated Financial Statements for the current or prior interim or annual periods. Accordingly, no adjustments have been made to opening retained earnings or prior period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 add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from prior period performance obligations for the three and six months ended July 1, 2018 were not material.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1, 2018,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Deferred revenue, unbilled revenue and deferred contract costs recorded on our Consolidated Balance Sheets as of July 1, 2018 and December 31, 2017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Payment terms are generally 30 days. Trade accounts receivable are recorded at their invoiced amounts, net of allowance for doubtful accounts.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and the aging of specific receivables. Receivable balances are written off when collection is deemed unlikely.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Commissions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commissions are expensed as incurred for contracts with an expected duration of one year or less. There were no sales commissions capitalized as of July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generally offer warranties against product defects. Costs incurred to service warranty claims are recorded as costs of products sold. We provide for potential warranty costs based on historical experience. Provision for warranty costs is recorded in other current liabilities and other long-term liabilities as applicable on our Consolidated Balance Sheets. The Company does not offer separate service-type warranties on its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disaggregated revenue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totaling $20,749 and $18,330 as of July 1, 2018 and December 31, 2017, respectively.</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July 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1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20,285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4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20,749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Restricted cash at July 1, 2018 consists of a government grant awarded in the People’s Republic of China to fund specified technological research and development expenditures. The grant proceeds will be realized to income as a direct offset to expense as the expenditures are incurred. No expenditures have been incurred or proceeds realized with respect to the grant as of July 1, 2018. Restricted cash also includes deposits withheld by the Dutch tax authorities and third party VAT representatives in connection with a previously utilized logistics arrangement in the Netherlands. Restricted cash is included as a component of the cash balance for purposes of the statement of cash flows.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stated at the lower of cost or market, net of obsolescence reserves, with cost determined under the first-in, first-out (FIFO) method. The composition of inventories, net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July 1,</w:t>
            </w:r>
          </w:p>
        </w:tc>
        <w:tc>
          <w:tcPr>
            <w:tcW w:w="140" w:type="dxa"/>
            <w:vAlign w:val="bottom"/>
          </w:tcPr>
          <w:p>
            <w:pPr>
              <w:spacing w:after="0"/>
              <w:rPr>
                <w:sz w:val="18"/>
                <w:szCs w:val="18"/>
                <w:color w:val="auto"/>
              </w:rPr>
            </w:pPr>
          </w:p>
        </w:tc>
        <w:tc>
          <w:tcPr>
            <w:tcW w:w="174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13,739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8,785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24,861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5.   PROPERTY, EQUIPMENT AND IMPROVEMENTS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w w:val="91"/>
              </w:rPr>
              <w:t>Major classes of property, equipment and improvements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July 1,</w:t>
            </w:r>
          </w:p>
        </w:tc>
        <w:tc>
          <w:tcPr>
            <w:tcW w:w="140" w:type="dxa"/>
            <w:vAlign w:val="bottom"/>
          </w:tcPr>
          <w:p>
            <w:pPr>
              <w:spacing w:after="0"/>
              <w:rPr>
                <w:sz w:val="24"/>
                <w:szCs w:val="24"/>
                <w:color w:val="auto"/>
              </w:rPr>
            </w:pPr>
          </w:p>
        </w:tc>
        <w:tc>
          <w:tcPr>
            <w:tcW w:w="174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7,858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51,121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1,997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1,550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68,110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(60,054)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(59,141)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2"/>
          </w:tcPr>
          <w:p>
            <w:pPr>
              <w:spacing w:after="0"/>
              <w:rPr>
                <w:sz w:val="20"/>
                <w:szCs w:val="20"/>
                <w:color w:val="auto"/>
              </w:rPr>
            </w:pPr>
            <w:r>
              <w:rPr>
                <w:rFonts w:ascii="Arial" w:cs="Arial" w:eastAsia="Arial" w:hAnsi="Arial"/>
                <w:sz w:val="18"/>
                <w:szCs w:val="18"/>
                <w:color w:val="auto"/>
                <w:w w:val="93"/>
              </w:rPr>
              <w:t>Depreciation expense for property, equipment and improvements was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60" w:type="dxa"/>
            <w:vAlign w:val="bottom"/>
          </w:tcPr>
          <w:p>
            <w:pPr>
              <w:spacing w:after="0"/>
              <w:rPr>
                <w:sz w:val="24"/>
                <w:szCs w:val="24"/>
                <w:color w:val="auto"/>
              </w:rPr>
            </w:pPr>
          </w:p>
        </w:tc>
        <w:tc>
          <w:tcPr>
            <w:tcW w:w="2600" w:type="dxa"/>
            <w:vAlign w:val="bottom"/>
            <w:gridSpan w:val="11"/>
          </w:tcPr>
          <w:p>
            <w:pPr>
              <w:ind w:left="280"/>
              <w:spacing w:after="0"/>
              <w:rPr>
                <w:sz w:val="20"/>
                <w:szCs w:val="20"/>
                <w:color w:val="auto"/>
              </w:rPr>
            </w:pPr>
            <w:r>
              <w:rPr>
                <w:rFonts w:ascii="Arial" w:cs="Arial" w:eastAsia="Arial" w:hAnsi="Arial"/>
                <w:sz w:val="18"/>
                <w:szCs w:val="18"/>
                <w:b w:val="1"/>
                <w:bCs w:val="1"/>
                <w:color w:val="auto"/>
              </w:rPr>
              <w:t>Six-month periods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July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100"/>
              <w:spacing w:after="0"/>
              <w:rPr>
                <w:sz w:val="20"/>
                <w:szCs w:val="20"/>
                <w:color w:val="auto"/>
              </w:rPr>
            </w:pPr>
            <w:r>
              <w:rPr>
                <w:rFonts w:ascii="Arial" w:cs="Arial" w:eastAsia="Arial" w:hAnsi="Arial"/>
                <w:sz w:val="18"/>
                <w:szCs w:val="18"/>
                <w:b w:val="1"/>
                <w:bCs w:val="1"/>
                <w:color w:val="auto"/>
              </w:rPr>
              <w:t>July 2,</w:t>
            </w: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July 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980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INTANGIBLE ASSETS AND LONG TERM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six-month periods ended July 1, 2018 and July 2,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Battery &amp;</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Communi-</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19,965</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July 2, 2017</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20,223</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July 1, 2018</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20,322</w:t>
            </w:r>
          </w:p>
        </w:tc>
        <w:tc>
          <w:tcPr>
            <w:tcW w:w="260" w:type="dxa"/>
            <w:vAlign w:val="bottom"/>
          </w:tcPr>
          <w:p>
            <w:pPr>
              <w:spacing w:after="0"/>
              <w:rPr>
                <w:sz w:val="21"/>
                <w:szCs w:val="21"/>
                <w:color w:val="auto"/>
              </w:rPr>
            </w:pPr>
          </w:p>
        </w:tc>
      </w:tr>
      <w:tr>
        <w:trPr>
          <w:trHeight w:val="413"/>
        </w:trPr>
        <w:tc>
          <w:tcPr>
            <w:tcW w:w="34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 Other Intangible Assets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0"/>
              </w:rPr>
              <w:t>at July 1,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Net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3,410</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6,555</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16,245</w:t>
            </w:r>
          </w:p>
        </w:tc>
        <w:tc>
          <w:tcPr>
            <w:tcW w:w="80" w:type="dxa"/>
            <w:vAlign w:val="bottom"/>
          </w:tcPr>
          <w:p>
            <w:pPr>
              <w:spacing w:after="0"/>
              <w:rPr>
                <w:sz w:val="18"/>
                <w:szCs w:val="18"/>
                <w:color w:val="auto"/>
              </w:rPr>
            </w:pP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9,440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at December 31, 2017</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Net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3,411</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5,545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16,344</w:t>
            </w: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9,259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Amortization expense for intangible assets was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2600" w:type="dxa"/>
            <w:vAlign w:val="bottom"/>
            <w:gridSpan w:val="10"/>
          </w:tcPr>
          <w:p>
            <w:pPr>
              <w:ind w:left="280"/>
              <w:spacing w:after="0"/>
              <w:rPr>
                <w:sz w:val="20"/>
                <w:szCs w:val="20"/>
                <w:color w:val="auto"/>
              </w:rPr>
            </w:pPr>
            <w:r>
              <w:rPr>
                <w:rFonts w:ascii="Arial" w:cs="Arial" w:eastAsia="Arial" w:hAnsi="Arial"/>
                <w:sz w:val="18"/>
                <w:szCs w:val="18"/>
                <w:b w:val="1"/>
                <w:bCs w:val="1"/>
                <w:color w:val="auto"/>
              </w:rPr>
              <w:t>Six-month periods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July 2,</w:t>
            </w:r>
          </w:p>
        </w:tc>
        <w:tc>
          <w:tcPr>
            <w:tcW w:w="12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July 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104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the cost value of total other intangible assets from December 31, 2017 to July 1, 2018 of $99 is the result of the effect of foreign currency translations.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Agreement at the Overnight LIBOR Rate plus the applicable margin, or at the Base Rate plus the applicable margin, as selected by the Company. During the period beginning May 31, 2017 and ending April 1, 2018, the applicable margin for Overnight LIBOR Loans is 185 basis points, the applicable margin for Base Rate Loans is negative 50 basis points and applicable margin for the Unused Fee is 20 basis points. Beginning April 2, 2018 and thereafter, the applicable margins will be determined based on the chart below.</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120" w:type="dxa"/>
            <w:vAlign w:val="bottom"/>
            <w:tcBorders>
              <w:top w:val="single" w:sz="8" w:color="auto"/>
              <w:left w:val="single" w:sz="8" w:color="auto"/>
              <w:right w:val="single" w:sz="8" w:color="auto"/>
            </w:tcBorders>
          </w:tcPr>
          <w:p>
            <w:pPr>
              <w:spacing w:after="0"/>
              <w:rPr>
                <w:sz w:val="22"/>
                <w:szCs w:val="22"/>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6"/>
        </w:trPr>
        <w:tc>
          <w:tcPr>
            <w:tcW w:w="412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Consolidated Senior Leverage Ratio</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Points for Overnight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Points for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LIBOR Loans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Base Rate Loans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37"/>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53"/>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Less than 1.50 to 1.00</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r>
      <w:tr>
        <w:trPr>
          <w:trHeight w:val="41"/>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3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Greater than or equal to 1.50 to 1.00 but less than 2.50</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1.00</w:t>
            </w:r>
          </w:p>
        </w:tc>
        <w:tc>
          <w:tcPr>
            <w:tcW w:w="26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r>
      <w:tr>
        <w:trPr>
          <w:trHeight w:val="41"/>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50"/>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Greater than or equal to 2.50 to 1.00</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215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r>
        <w:trPr>
          <w:trHeight w:val="41"/>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July 1,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July 1, 2018, we had no outstanding balance under the Credit Facility and no outstanding letters of credit related to the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8.   SHAREHOLDERS’ EQUITY</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w w:val="92"/>
              </w:rPr>
              <w:t>We recorded non-cash stock compensation expense in each period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7"/>
          </w:tcPr>
          <w:p>
            <w:pPr>
              <w:ind w:left="200"/>
              <w:spacing w:after="0"/>
              <w:rPr>
                <w:sz w:val="20"/>
                <w:szCs w:val="20"/>
                <w:color w:val="auto"/>
              </w:rPr>
            </w:pPr>
            <w:r>
              <w:rPr>
                <w:rFonts w:ascii="Arial" w:cs="Arial" w:eastAsia="Arial" w:hAnsi="Arial"/>
                <w:sz w:val="18"/>
                <w:szCs w:val="18"/>
                <w:b w:val="1"/>
                <w:bCs w:val="1"/>
                <w:color w:val="auto"/>
              </w:rPr>
              <w:t>Three-month periods ended</w:t>
            </w:r>
          </w:p>
        </w:tc>
        <w:tc>
          <w:tcPr>
            <w:tcW w:w="200" w:type="dxa"/>
            <w:vAlign w:val="bottom"/>
          </w:tcPr>
          <w:p>
            <w:pPr>
              <w:spacing w:after="0"/>
              <w:rPr>
                <w:sz w:val="24"/>
                <w:szCs w:val="24"/>
                <w:color w:val="auto"/>
              </w:rPr>
            </w:pPr>
          </w:p>
        </w:tc>
        <w:tc>
          <w:tcPr>
            <w:tcW w:w="2400" w:type="dxa"/>
            <w:vAlign w:val="bottom"/>
            <w:gridSpan w:val="6"/>
          </w:tcPr>
          <w:p>
            <w:pPr>
              <w:ind w:left="80"/>
              <w:spacing w:after="0"/>
              <w:rPr>
                <w:sz w:val="20"/>
                <w:szCs w:val="20"/>
                <w:color w:val="auto"/>
              </w:rPr>
            </w:pPr>
            <w:r>
              <w:rPr>
                <w:rFonts w:ascii="Arial" w:cs="Arial" w:eastAsia="Arial" w:hAnsi="Arial"/>
                <w:sz w:val="18"/>
                <w:szCs w:val="18"/>
                <w:b w:val="1"/>
                <w:bCs w:val="1"/>
                <w:color w:val="auto"/>
              </w:rPr>
              <w:t>Six-month periods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July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July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July 1, 2018, there was $844 of total unrecognized compensation cost related to outstanding stock options, which is expected to be recognized over a weighted average period of 1.4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six-month period ended July 1, 2018:</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1,860,211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216,500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Forfeited or Expired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(116,199)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11.53</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1, 2018</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1,670,036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w:t>
            </w:r>
          </w:p>
        </w:tc>
      </w:tr>
      <w:tr>
        <w:trPr>
          <w:trHeight w:val="197"/>
        </w:trPr>
        <w:tc>
          <w:tcPr>
            <w:tcW w:w="532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at July 1, 2018</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1,563,589</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6.43</w:t>
            </w:r>
          </w:p>
        </w:tc>
        <w:tc>
          <w:tcPr>
            <w:tcW w:w="14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5,584</w:t>
            </w:r>
          </w:p>
        </w:tc>
      </w:tr>
      <w:tr>
        <w:trPr>
          <w:trHeight w:val="20"/>
        </w:trPr>
        <w:tc>
          <w:tcPr>
            <w:tcW w:w="5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July 1, 2018</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981,556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4.86</w:t>
            </w:r>
          </w:p>
        </w:tc>
        <w:tc>
          <w:tcPr>
            <w:tcW w:w="14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4,648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The following assumptions were used to value stock options granted during the six months ended July 1, 2018:</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Volatility Factor</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Dividends</w:t>
            </w:r>
          </w:p>
        </w:tc>
        <w:tc>
          <w:tcPr>
            <w:tcW w:w="192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six months ended July 1, 2018 was $4.22.</w:t>
      </w:r>
    </w:p>
    <w:p>
      <w:pPr>
        <w:spacing w:after="0" w:line="225"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On July 25, 2018, the Company’s Board of Directors, at the recommendation of the Compensation and Management Committee and pursuant to the Company’s Amended and Restated 2004 Long-Term Incentive Plan, modified the option previously granted to the Company’s President and Chief Executive Officer to purchase an aggregate 200,000 shares of the Company’s common stock at $10.00, such that the option will vest immediately upon the Company’s common stock first reaching a closing price $10.00 for 15 trading days in a 30 trading-day period. The option expires December 30, 2020. The transaction will be accounted for as an equity award modification pursuant to Accounting Standards Codification Topic 718, Compensation – Stock Compensation. The Company will recognize for the third quarter 2018 compensation cost of approximately $182, representing the incremental fair value of the modified award computed as of the modification date as the difference between the fair value of the modified award and the fair value of the original award immediately before it was modified. The incremental fair value was determined using a Monte Carlo simulation option-pricing model consistent with the valuation methodology used to value and recognize the original award.</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827" w:right="17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six months of 2018 or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July 1, 2018 and July 2, 2017 was $354 and $248, respectively. Cash received from stock option exercises under our stock-based compensation plans for the six-month periods ended July 1, 2018 and July 2, 2017 was $1,293 and $989,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17,500 shares of restricted stock were awarded to certain of our employees. These shares vest in equal annual installments over three years. The weighted average grant date fair value of these awards was $7.16 per share. Unrecognized compensation cost related to these restricted shares was $91 at July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elimination of the corporate alternative minimum tax (AMT) and changing how existing AMT credits can be realized; (3) changing rules related to usage and limitation of net operating loss carryforwards created in tax years beginning after December 31, 2017; (4) generally eliminating U.S. federal income taxes on dividends from foreign subsidiaries for tax years beginning after December 31, 2017; and (5) implementing a territorial tax system and imposing a transition toll tax on deemed repatriated earnings of foreign subsidiaries.</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Act provided for a one-time deemed mandatory repatriation for post-1986 undistributed foreign subsidiary earnings and profits (“E&amp;P”) through the year ended December 31, 2017. The Company had a deficit in foreign E&amp;P and is not expected to be subject to the deemed mandatory repatriation.</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At July 1, 2018, the amounts recorded for the Tax Act remain provisional for the transition tax, the remeasurement of deferred taxes, and our reassessment of permanently reinvested earnings, uncertain tax positions and valuation allowances. These estimates may be impacted by further analysis and future clarification and guidance regarding available tax accounting methods and elections, earnings and profits computations, state tax conformity to federal tax changes and the impact of the Global Intangible Low-Taxed Income (“GILTI”) provisions. At July 2018, we were not able to reasonably estimate, and therefore have not recorded, deferred taxes for the GILTI provisions. We have not yet determined our policy election with respect to whether to record deferred taxes for basis differences expected to reverse as a result of the GILTI provisions in future periods or use the period cost method.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308" w:lineRule="auto"/>
        <w:rPr>
          <w:sz w:val="20"/>
          <w:szCs w:val="20"/>
          <w:color w:val="auto"/>
        </w:rPr>
      </w:pPr>
      <w:r>
        <w:rPr>
          <w:rFonts w:ascii="Arial" w:cs="Arial" w:eastAsia="Arial" w:hAnsi="Arial"/>
          <w:sz w:val="17"/>
          <w:szCs w:val="17"/>
          <w:color w:val="auto"/>
        </w:rPr>
        <w:t>For the three-month periods ended July 1, 2018 and July 2, 2017, we recognized $78 and $179, respectively, in income tax expense. For the six-month periods ended July 1, 2018 and July 2, 2017, we recognized $133 and $266, respectively, in income tax expense. These are detailed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4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Three-month periods ended</w:t>
            </w:r>
          </w:p>
        </w:tc>
        <w:tc>
          <w:tcPr>
            <w:tcW w:w="200" w:type="dxa"/>
            <w:vAlign w:val="bottom"/>
          </w:tcPr>
          <w:p>
            <w:pPr>
              <w:spacing w:after="0"/>
              <w:rPr>
                <w:sz w:val="18"/>
                <w:szCs w:val="18"/>
                <w:color w:val="auto"/>
              </w:rPr>
            </w:pPr>
          </w:p>
        </w:tc>
        <w:tc>
          <w:tcPr>
            <w:tcW w:w="2400" w:type="dxa"/>
            <w:vAlign w:val="bottom"/>
            <w:gridSpan w:val="6"/>
          </w:tcPr>
          <w:p>
            <w:pPr>
              <w:ind w:left="80"/>
              <w:spacing w:after="0"/>
              <w:rPr>
                <w:sz w:val="20"/>
                <w:szCs w:val="20"/>
                <w:color w:val="auto"/>
              </w:rPr>
            </w:pPr>
            <w:r>
              <w:rPr>
                <w:rFonts w:ascii="Arial" w:cs="Arial" w:eastAsia="Arial" w:hAnsi="Arial"/>
                <w:sz w:val="18"/>
                <w:szCs w:val="18"/>
                <w:b w:val="1"/>
                <w:bCs w:val="1"/>
                <w:color w:val="auto"/>
              </w:rPr>
              <w:t>Six-month periods ended</w:t>
            </w:r>
          </w:p>
        </w:tc>
      </w:tr>
      <w:tr>
        <w:trPr>
          <w:trHeight w:val="216"/>
        </w:trPr>
        <w:tc>
          <w:tcPr>
            <w:tcW w:w="60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July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July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r>
      <w:tr>
        <w:trPr>
          <w:trHeight w:val="234"/>
        </w:trPr>
        <w:tc>
          <w:tcPr>
            <w:tcW w:w="6080" w:type="dxa"/>
            <w:vAlign w:val="bottom"/>
          </w:tcPr>
          <w:p>
            <w:pPr>
              <w:spacing w:after="0"/>
              <w:rPr>
                <w:sz w:val="20"/>
                <w:szCs w:val="20"/>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0"/>
        </w:trPr>
        <w:tc>
          <w:tcPr>
            <w:tcW w:w="60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0"/>
        </w:trPr>
        <w:tc>
          <w:tcPr>
            <w:tcW w:w="6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deferred income tax benefit for 2018 represents the increase in the taxable temporary difference related to goodwill and certain other indefinite-lived intangible assets of the U.S. operations that cannot be predicted to reverse for book purposes during our loss carryforward periods, partially offset by the amortization of certain intangible assets of Accutronics (U.K.). The deferred income tax provision for 2017 reflects the higher previously-enacted U.S corporate tax rate. The current income tax provisions for 2018 and 2017 are primarily due to the income generated by our foreign operations during the respective periods.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w w:val="91"/>
              </w:rPr>
              <w:t>Our effective consolidated tax rates for the six-month periods ended July 1, 2018 and July 2, 2017 were:</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Six-Month Periods Ended</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July 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July 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3,021</w:t>
            </w:r>
          </w:p>
        </w:tc>
      </w:tr>
      <w:tr>
        <w:trPr>
          <w:trHeight w:val="216"/>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r>
      <w:tr>
        <w:trPr>
          <w:trHeight w:val="216"/>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2018 and 2017, in the U.S. and for certain past operations in the U.K., we recognize a valuation allowance for our net operating loss carryforwards and other deferred tax assets that cannot be offset by reversing temporary differences. The recognition of the valuation allowance is based on an assessment of all available evidence, both positive and negative, weighted based on objective verifiability. The assessment of the realizability of the U.S. deferred tax assets was based on a number of factors including our history of operating losses, our historical operating volatility, our historical inability to accurately forecast earnings for future periods and the continued uncertainty of the general business climate. The use of our U.K. net operating loss carryforwards may be limited due to the change in the past U.K. operation. Based on our assessment of all available evidence and its weighting based on objective verifiability, we concluded that the realizability of these deferred tax assets is not more likely than not at July 1, 2018. In both 2018 and 2017,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As of December 31, 2017, we have domestic and foreign net operating losses (“NOL”) totaling approximately $69,594 and $12,760, respectively, and domestic tax credits of approximately $1,837, available to reduce future taxable income. Included in our NOL carryforwards are foreign loss carryforwards of approximately $12,760, nearly all of which can be carried forward indefinitely. The domestic NOL carryforward of $69,594 expires beginning in 2019 through 2034.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July 1, 2018,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July 1, 2018 and December 31, 2017.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2002 through 2017 remain subject to examination by the Internal Revenue Service (“IRS”) and various state and local tax jurisdictions due to our NOL carryforwards. Our tax matters for the years 2009 through 2017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July 1, 2018, 1,268,286 stock options and 17,500 restricted stock awards were included in the calculation of Diluted EPS as such securities are dilutive. Inclusion of these securities resulted in 598,061 additional shares in the calculation of fully diluted earnings per share. For the comparable three-month period ended July 2, 2017, 1,055,097 stock options and 13,400 restricted stock awards were included in the calculation of Diluted EPS resulting in 339,705 additional shares in the calculation of fully diluted earnings per share. For the six-month periods ended July 1, 2018 and July 2, 2017, 1,254,286 and 1,055,097 stock options and 17,500 and 13,400 restricted stock awards, respectively, were included in the calculation of Diluted EPS as such securities are dilutive. Inclusion of these securities resulted in 540,836 and 291,062 additional shares, respectively, in the calculation of fully diluted earnings per share.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401,750 and 1,060,916 outstanding stock options for the three-month periods ended July 1, 2018 and July 2, 2017, respectively, which were not included in EPS as the effect would be anti-dilutive. There were 415,750 and 1,060,916 outstanding stock options for the six-month periods ended July 1, 2018 and July 2, 2017,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July 1, 2018, we have made commitments to purchase approximately $2,381 of production machinery and equipment.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six months of 2018 and 2017 were as follows: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8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Six-Month Periods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b w:val="1"/>
                <w:bCs w:val="1"/>
                <w:color w:val="auto"/>
              </w:rPr>
              <w:t>July 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July 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80" w:type="dxa"/>
            <w:vAlign w:val="bottom"/>
          </w:tcPr>
          <w:p>
            <w:pPr>
              <w:spacing w:after="0"/>
              <w:rPr>
                <w:sz w:val="20"/>
                <w:szCs w:val="20"/>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0"/>
        </w:trPr>
        <w:tc>
          <w:tcPr>
            <w:tcW w:w="7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Accrued Warranty Obligations – Ending</w:t>
            </w:r>
          </w:p>
        </w:tc>
        <w:tc>
          <w:tcPr>
            <w:tcW w:w="112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such matters will not have a material adverse effect on our financial position, results of operations or cash flows.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lawsuit has now been resolved (February 2018), the claimant has terminated the action against the Company, and the Court has acknowledged and consented to this termination. The matter was terminated without financial consequences to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5140" w:type="dxa"/>
            <w:vAlign w:val="bottom"/>
          </w:tcPr>
          <w:p>
            <w:pPr>
              <w:spacing w:after="0"/>
              <w:rPr>
                <w:sz w:val="20"/>
                <w:szCs w:val="20"/>
                <w:color w:val="auto"/>
              </w:rPr>
            </w:pPr>
            <w:r>
              <w:rPr>
                <w:rFonts w:ascii="Arial" w:cs="Arial" w:eastAsia="Arial" w:hAnsi="Arial"/>
                <w:sz w:val="18"/>
                <w:szCs w:val="18"/>
                <w:b w:val="1"/>
                <w:bCs w:val="1"/>
                <w:color w:val="auto"/>
              </w:rPr>
              <w:t>Three-Month Period Ended July 1, 2018:</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Segment Contribution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1,624</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Income, Net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Three-Month Period Ended July 2, 2017:</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Segment Contribution</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1,480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(4,899)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Expense, Net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Six-Month Period Ended July 1, 2018:</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3,870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(9,844)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3,988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Expense, Net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w:t>
            </w:r>
          </w:p>
        </w:tc>
      </w:tr>
      <w:tr>
        <w:trPr>
          <w:trHeight w:val="432"/>
        </w:trPr>
        <w:tc>
          <w:tcPr>
            <w:tcW w:w="42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Six-Month Period Ended July 2, 2017:</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41,974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(9,948)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Expense, Net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r>
      <w:tr>
        <w:trPr>
          <w:trHeight w:val="432"/>
        </w:trPr>
        <w:tc>
          <w:tcPr>
            <w:tcW w:w="42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and Government/Defense Revenue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Three-Month Period Ended July 1, 2018:</w:t>
            </w:r>
          </w:p>
        </w:tc>
        <w:tc>
          <w:tcPr>
            <w:tcW w:w="260" w:type="dxa"/>
            <w:vAlign w:val="bottom"/>
          </w:tcPr>
          <w:p>
            <w:pPr>
              <w:spacing w:after="0"/>
              <w:rPr>
                <w:sz w:val="18"/>
                <w:szCs w:val="18"/>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Government/</w:t>
            </w:r>
          </w:p>
        </w:tc>
      </w:tr>
      <w:tr>
        <w:trPr>
          <w:trHeight w:val="234"/>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Defense</w:t>
            </w:r>
          </w:p>
        </w:tc>
        <w:tc>
          <w:tcPr>
            <w:tcW w:w="16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5,033</w:t>
            </w:r>
          </w:p>
        </w:tc>
      </w:tr>
      <w:tr>
        <w:trPr>
          <w:trHeight w:val="20"/>
        </w:trPr>
        <w:tc>
          <w:tcPr>
            <w:tcW w:w="4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12,610</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45%</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i w:val="1"/>
                <w:iCs w:val="1"/>
                <w:color w:val="auto"/>
              </w:rPr>
              <w:t>55%</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Three-Month Period Ended July 2, 2017:</w:t>
            </w:r>
          </w:p>
        </w:tc>
        <w:tc>
          <w:tcPr>
            <w:tcW w:w="260" w:type="dxa"/>
            <w:vAlign w:val="bottom"/>
          </w:tcPr>
          <w:p>
            <w:pPr>
              <w:spacing w:after="0"/>
              <w:rPr>
                <w:sz w:val="18"/>
                <w:szCs w:val="18"/>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Government/</w:t>
            </w:r>
          </w:p>
        </w:tc>
      </w:tr>
      <w:tr>
        <w:trPr>
          <w:trHeight w:val="234"/>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Defense</w:t>
            </w:r>
          </w:p>
        </w:tc>
        <w:tc>
          <w:tcPr>
            <w:tcW w:w="16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3,059</w:t>
            </w:r>
          </w:p>
        </w:tc>
      </w:tr>
      <w:tr>
        <w:trPr>
          <w:trHeight w:val="20"/>
        </w:trPr>
        <w:tc>
          <w:tcPr>
            <w:tcW w:w="4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9,121</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54%</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i w:val="1"/>
                <w:iCs w:val="1"/>
                <w:color w:val="auto"/>
              </w:rPr>
              <w:t>46%</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Six-Month Period Ended July 1, 2018:</w:t>
            </w:r>
          </w:p>
        </w:tc>
        <w:tc>
          <w:tcPr>
            <w:tcW w:w="260" w:type="dxa"/>
            <w:vAlign w:val="bottom"/>
          </w:tcPr>
          <w:p>
            <w:pPr>
              <w:spacing w:after="0"/>
              <w:rPr>
                <w:sz w:val="18"/>
                <w:szCs w:val="18"/>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Government/</w:t>
            </w:r>
          </w:p>
        </w:tc>
      </w:tr>
      <w:tr>
        <w:trPr>
          <w:trHeight w:val="234"/>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Defense</w:t>
            </w:r>
          </w:p>
        </w:tc>
        <w:tc>
          <w:tcPr>
            <w:tcW w:w="16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10,878</w:t>
            </w:r>
          </w:p>
        </w:tc>
      </w:tr>
      <w:tr>
        <w:trPr>
          <w:trHeight w:val="20"/>
        </w:trPr>
        <w:tc>
          <w:tcPr>
            <w:tcW w:w="4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26,053</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43%</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i w:val="1"/>
                <w:iCs w:val="1"/>
                <w:color w:val="auto"/>
              </w:rPr>
              <w:t>57%</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Six-Month Period Ended July 2, 2017:</w:t>
            </w:r>
          </w:p>
        </w:tc>
        <w:tc>
          <w:tcPr>
            <w:tcW w:w="260" w:type="dxa"/>
            <w:vAlign w:val="bottom"/>
          </w:tcPr>
          <w:p>
            <w:pPr>
              <w:spacing w:after="0"/>
              <w:rPr>
                <w:sz w:val="18"/>
                <w:szCs w:val="18"/>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Government/</w:t>
            </w:r>
          </w:p>
        </w:tc>
      </w:tr>
      <w:tr>
        <w:trPr>
          <w:trHeight w:val="234"/>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Defense</w:t>
            </w:r>
          </w:p>
        </w:tc>
        <w:tc>
          <w:tcPr>
            <w:tcW w:w="16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7,615</w:t>
            </w:r>
          </w:p>
        </w:tc>
      </w:tr>
      <w:tr>
        <w:trPr>
          <w:trHeight w:val="20"/>
        </w:trPr>
        <w:tc>
          <w:tcPr>
            <w:tcW w:w="4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21,804</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48%</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i w:val="1"/>
                <w:iCs w:val="1"/>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vMerge w:val="restart"/>
          </w:tcPr>
          <w:p>
            <w:pPr>
              <w:spacing w:after="0"/>
              <w:rPr>
                <w:sz w:val="20"/>
                <w:szCs w:val="20"/>
                <w:color w:val="auto"/>
              </w:rPr>
            </w:pPr>
            <w:r>
              <w:rPr>
                <w:rFonts w:ascii="Arial" w:cs="Arial" w:eastAsia="Arial" w:hAnsi="Arial"/>
                <w:sz w:val="18"/>
                <w:szCs w:val="18"/>
                <w:color w:val="auto"/>
                <w:w w:val="90"/>
              </w:rPr>
              <w:t>U.S. and Non-U.S. Revenue Information</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1</w:t>
            </w:r>
          </w:p>
        </w:tc>
        <w:tc>
          <w:tcPr>
            <w:tcW w:w="820" w:type="dxa"/>
            <w:vAlign w:val="bottom"/>
            <w:vMerge w:val="restart"/>
          </w:tcPr>
          <w:p>
            <w:pPr>
              <w:jc w:val="right"/>
              <w:ind w:right="670"/>
              <w:spacing w:after="0"/>
              <w:rPr>
                <w:sz w:val="20"/>
                <w:szCs w:val="20"/>
                <w:color w:val="auto"/>
              </w:rPr>
            </w:pPr>
            <w:r>
              <w:rPr>
                <w:rFonts w:ascii="Arial" w:cs="Arial" w:eastAsia="Arial" w:hAnsi="Arial"/>
                <w:sz w:val="18"/>
                <w:szCs w:val="18"/>
                <w:u w:val="single" w:color="auto"/>
                <w:color w:val="auto"/>
                <w:w w:val="78"/>
              </w:rPr>
              <w:t>:</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94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0"/>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Three-Month Period Ended July 1, 2018:</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United</w:t>
            </w:r>
          </w:p>
        </w:tc>
        <w:tc>
          <w:tcPr>
            <w:tcW w:w="20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Non-United</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States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5,033</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69%</w:t>
            </w: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i w:val="1"/>
                <w:iCs w:val="1"/>
                <w:color w:val="auto"/>
              </w:rPr>
              <w:t>31%</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Three-Month Period Ended July 2, 2017:</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United</w:t>
            </w:r>
          </w:p>
        </w:tc>
        <w:tc>
          <w:tcPr>
            <w:tcW w:w="2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Non-United</w:t>
            </w:r>
          </w:p>
        </w:tc>
        <w:tc>
          <w:tcPr>
            <w:tcW w:w="172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States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States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9,632</w:t>
            </w:r>
          </w:p>
        </w:tc>
        <w:tc>
          <w:tcPr>
            <w:tcW w:w="172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Communications Systems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2,789</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7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9,902</w:t>
            </w:r>
          </w:p>
        </w:tc>
        <w:tc>
          <w:tcPr>
            <w:tcW w:w="1720" w:type="dxa"/>
            <w:vAlign w:val="bottom"/>
          </w:tcPr>
          <w:p>
            <w:pPr>
              <w:spacing w:after="0"/>
              <w:rPr>
                <w:sz w:val="19"/>
                <w:szCs w:val="19"/>
                <w:color w:val="auto"/>
              </w:rPr>
            </w:pP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1"/>
        </w:trPr>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50%</w:t>
            </w: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i w:val="1"/>
                <w:iCs w:val="1"/>
                <w:color w:val="auto"/>
              </w:rPr>
              <w:t>50%</w:t>
            </w:r>
          </w:p>
        </w:tc>
        <w:tc>
          <w:tcPr>
            <w:tcW w:w="1720" w:type="dxa"/>
            <w:vAlign w:val="bottom"/>
          </w:tcPr>
          <w:p>
            <w:pPr>
              <w:spacing w:after="0"/>
              <w:rPr>
                <w:sz w:val="18"/>
                <w:szCs w:val="18"/>
                <w:color w:val="auto"/>
              </w:rPr>
            </w:pPr>
          </w:p>
        </w:tc>
      </w:tr>
      <w:tr>
        <w:trPr>
          <w:trHeight w:val="418"/>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Six-Month Period Ended July 1, 2018:</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United</w:t>
            </w:r>
          </w:p>
        </w:tc>
        <w:tc>
          <w:tcPr>
            <w:tcW w:w="2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Non-United</w:t>
            </w:r>
          </w:p>
        </w:tc>
      </w:tr>
      <w:tr>
        <w:trPr>
          <w:trHeight w:val="234"/>
        </w:trPr>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States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States</w:t>
            </w:r>
          </w:p>
        </w:tc>
        <w:tc>
          <w:tcPr>
            <w:tcW w:w="160" w:type="dxa"/>
            <w:vAlign w:val="bottom"/>
          </w:tcPr>
          <w:p>
            <w:pPr>
              <w:spacing w:after="0"/>
              <w:rPr>
                <w:sz w:val="20"/>
                <w:szCs w:val="20"/>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Communications Systems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10,606</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r>
      <w:tr>
        <w:trPr>
          <w:trHeight w:val="20"/>
        </w:trPr>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15,265</w:t>
            </w: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3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67%</w:t>
            </w: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i w:val="1"/>
                <w:iCs w:val="1"/>
                <w:color w:val="auto"/>
              </w:rPr>
              <w:t>33%</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Six-Month Period Ended July 2, 2017:</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United</w:t>
            </w:r>
          </w:p>
        </w:tc>
        <w:tc>
          <w:tcPr>
            <w:tcW w:w="2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Non-United</w:t>
            </w:r>
          </w:p>
        </w:tc>
      </w:tr>
      <w:tr>
        <w:trPr>
          <w:trHeight w:val="234"/>
        </w:trPr>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States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States</w:t>
            </w:r>
          </w:p>
        </w:tc>
        <w:tc>
          <w:tcPr>
            <w:tcW w:w="160" w:type="dxa"/>
            <w:vAlign w:val="bottom"/>
          </w:tcPr>
          <w:p>
            <w:pPr>
              <w:spacing w:after="0"/>
              <w:rPr>
                <w:sz w:val="20"/>
                <w:szCs w:val="20"/>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34,359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17,694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Communications Systems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7,257</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r>
      <w:tr>
        <w:trPr>
          <w:trHeight w:val="20"/>
        </w:trPr>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18,052</w:t>
            </w: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3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57%</w:t>
            </w: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i w:val="1"/>
                <w:iCs w:val="1"/>
                <w:color w:val="auto"/>
              </w:rPr>
              <w:t>43%</w:t>
            </w:r>
          </w:p>
        </w:tc>
      </w:tr>
    </w:tbl>
    <w:p>
      <w:pPr>
        <w:spacing w:after="0" w:line="329"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2014, the Financial Accounting Standards Board (“FASB”) issued Accounting Standards Update 2014-09 (Topic 606) “Revenue from Contracts with Customers” related to revenue from contracts with customers. Under this standard, revenue is recognized when promised goods or services are transferred to customers in an amount that reflects the consideration that is expected to be received for those goods or services. The updated standard will replace most existing revenue recognition guidance under GAAP and permits the use of either the retrospective or cumulative effect transition method. Topic 606 is effective for annual reporting periods beginning after December 15, 2017, including interim periods within that reporting period. The Company has adopted Topic 606 effective January 1, 2018. See Note 2 for further discussion.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Accounting Standards Update 2016-18, “Statement of Cash Flows (Topic 230): Restricted Cash”. The standard is effective for fiscal years beginning after December 31, 2017, and interim periods within those fiscal years, and should be applied using a retrospective transition method for each period presented. The standard requires that amounts generally described as restricted cash and restricted cash equivalents be included with cash and cash equivalents when reconciling the beginning-of-period and end-of-period total cash amounts shown on the statements of cash flows. The Company has adopted this standard effective January 1, 2018. As a result, restricted cash has been included in the total cash amounts on the Company’s Consolidated Statement of Cash Flows for all periods presented and the required disclosures have been included in the Notes to Consolidated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2016, the FASB issued Accounting Standards Update 2016-15, “Statement of Cash Flows (Topic 230), Classification of Certain Cash Receipts and Cash Payments”. The standard makes eight targeted changes to how cash receipts and cash payments are presented and classified in the statement of cash flows. The standard is effective for fiscal years beginning after December 15, 2017, and interim periods within those fiscal years. The standard requires adoption on a retrospective basis unless it is impracticable to apply, in which case the Company would be required to apply the amendments prospectively as of the earliest date practicable. The Company has adopted this standard effective January 1, 2018. Adoption of this standard did not impact our Consolidated Financial Statements for the current or prior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In May 2017, the FASB issued Accounting Standards Update 2017-09, “Compensation – Stock Compensation (Topic 718) – Scope of Modification Accounting”, which provides guidance about which changes to the terms or conditions of a share-based payment award require an entity to apply modification accounting in Topic 718. The standard is effective for fiscal years beginning after December 15, 2017 and interim periods within those fiscal years. The standard is to be applied on a prospective basis to an award modified on or after the adoption date. The Company has adopted this standard effective January 1, 2018. Adoption of this standard did not impact our Consolidated Financial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developments to recently issued accounting standards, including the expected dates of adoption and anticipated effects on the Company’s Consolidated Financial Statements, from those disclosed in the Company’s 2017 Annual Report on Form 10-K, except for the following:</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2018, the FASB issued Accounting Standards Update 2018-05, “Income Taxes (Topic 740): Amendments to SEC Paragraphs Pursuant to SEC Staff Accounting Bulletin No. 118”. The standard adds various Securities and Exchange Commission (“SEC”) paragraphs pursuant to the issuance of the December 2017 SEC Staff Accounting Bulletin No. 118, “Income Tax Accounting Implications of the Tax Cuts and Jobs Act” (“SAB 118”), which was effective immediately. The SEC issued SAB 118 to address concerns about reporting entities’ ability to timely comply with the accounting requirements to recognize all of the effects of the Tax Cuts and Jobs Act in the period of enactment. SAB 118 allows disclosure that timely determination of some or all of the income tax effects from the Tax Cuts and Jobs Act are incomplete by the due date of the financial statements and if possible to provide a reasonable estimate. We have accounted for the tax effects of the Tax Cuts and Jobs Act under the guidance of SAB 118. We have determined reasonable estimates for those effects and have recorded provisional amounts in our Consolidated Financial Statements as of July 1, 2018 and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possible future declines in demand for the products that use our batteries or communications systems; the unique risks associated with our China operations; our efforts to develop new commercial applications for our products; possible breaches in security and other disruptions; reduced U.S. and foreign military spending including the uncertainty associated with government budget approvals; potential disruptions in our supply of raw materials and components; variability in our quarterly and annual results and the price of our common stock; our inability to comply with changes to the regulations for the shipment of our products; safety risks, including the risk of fire; possible impairments of our goodwill and other intangible assets; negative publicity of Lithium-ion batteries; our resources being overwhelmed by our growth prospects; our ability to retain top management and key personnel;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2017.</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2017 to reflect new information or risks, future events or other developments.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 ABLE™, ACCUTRONICS™, ACCUPRO™, ENTELLION™ brands. We have sales, operations and product development facilities in North America, Europe and Asia.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revenues of $22,864 for the three-month period ended July 1, 2018, increased by $2,925 or 14.7%, from $19,939 during the three-month period ended July 2, 2017, due to higher government/defense and medical shipments.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three-month period ended July 1, 2018 was $6,550 or 28.6% of revenues, compared to $6,221 or 31.2% of revenues, for the same quarter a year ago. The decline in gross margin resulted from product mix.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slightly increased to $4,918 during the three-month period ended July 1, 2018, compared to $4,899 during the three-month period ended July 2, 2017. Both periods reflect continued tight control over discretionary spending.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three-month period ended July 1, 2018 was $1,632 or 7.1% of revenues, compared to $1,322 or 6.6% for the year-earlier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resulted from revenue growth and operating expense leverage.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Ultralife was $1,627, or $0.10 per share – basic and diluted, for the three-month period ended July 1, 2018, compared to $1,094, or $0.07 per share – basic and diluted, for the three-month period ended July 2,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and stock-based compensation expense, plus/minus expenses/income that we do not consider reflective of our ongoing operations, amounted to $2,537 in the second quarter of 2018 compared to $2,296 for the second quarter of 2017. See the section “Adjusted EBITDA” beginning on page 26 for a reconciliation of Adjusted EBITDA to net income attributable to Ultralife.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strong first half, expanding revenue opportunities, and adherence to our business model parameters position us well to deliver another year of profitable growth in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July 1, 2018 and July 2, 2017</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July 1, 2018 amounted to $22,864, an increase of $2,925, or 14.7%, from the $19,939</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three-month period ended July 2, 2017.</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Battery &amp; Energy Products revenues increased $951, or 5.6%, from $16,880 for the three-month period ended July 2, 2017 to $17,831 for the three-month period ended July 1, 2018. Government and defense sales increased 25.0% due primarily to sales of our primary 5390 batteries to the U.S. Department of Defense and higher shipments to a large U.S. global defense prime contractor. Commercial revenues for the second quarter of 2018 comprised 57.5% of total revenues for the segment and declined 5.2% as increases in medical shipments of 7.8% and 9-Volt batteries of 4.0% were offset by lower industrial commercial sales.</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Communications Systems revenues increased $1,974, or 64.5%, from $3,059 during the three-month period ended July 2, 2017 to $5,033 for the three-month period ended July 1, 2018. This increase is attributable to shipments of our Vehicle Installed Power Enhanced Riflemen Appliqué (“VIPER”) and Vehicle Amplifier Adapters for the U.S. Army’s Security Force Assistance Brigades to a large global defense prime contractor.</w:t>
      </w:r>
    </w:p>
    <w:p>
      <w:pPr>
        <w:spacing w:after="0" w:line="37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Cost of Products Sold / Gross Profit. </w:t>
      </w:r>
      <w:r>
        <w:rPr>
          <w:rFonts w:ascii="Arial" w:cs="Arial" w:eastAsia="Arial" w:hAnsi="Arial"/>
          <w:sz w:val="16"/>
          <w:szCs w:val="16"/>
          <w:color w:val="auto"/>
        </w:rPr>
        <w:t>Cost of products sold totaled $16,314 for the quarter ended July 1, 2018, an increase of $2,596, or 18.9%,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$13,718 reported for the same three-month period a year ago. Consolidated cost of products sold as a percentage of total revenue increased from 68.8% for the three-month period ended July 2, 2017 to 71.4% for the three-month period ended July 1, 2018. Correspondingly, consolidated gross margin was 28.6% for the three-month period ended July 1, 2018, compared with 31.2% for the three-month period ended July 2, 2017, primarily reflecting sales mix.</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Battery &amp; Energy Products segment, gross profit for the second quarter of 2018 was $4,926 or 27.6% of revenues, an increase of $185 or 3.9% from gross profit of $4,741, or 28.1% of revenues, for the second quarter of 2017. Battery &amp; Energy Products’ gross margin decreased for the three-month period ended July 1, 2018 by 50 basis points, reflecting product mix.</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our Communications Systems segment, gross profit for the second quarter of 2018 was $1,624 or 32.3% of revenues, an increase of $144 or 9.7%, from gross profit of $1,480, or 48.4% of revenues, for the second quarter of 2017. The decrease in gross margin between the periods is due to product mix.</w:t>
      </w:r>
    </w:p>
    <w:p>
      <w:pPr>
        <w:spacing w:after="0" w:line="336"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Total operating expenses for the three-month period ended July 1, 2018 totaled $4,918, an increase of $19 or 0.4% from the $4,899</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during the three-month period ended July 2, 2017. Both periods reflected continued tight control over discretionary spending.</w:t>
      </w:r>
    </w:p>
    <w:p>
      <w:pPr>
        <w:spacing w:after="0" w:line="14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Overall, operating expenses as a percentage of revenues were 21.5% for the quarter ended July 1, 2018 compared to 24.6% for the quarter ended July 2, 2017. Amortization expense associated with intangible assets related to our acquisitions was $101 for the second quarter of 2018 ($64 in selling, general and administrative expenses and $37 in research and development costs), compared with $104 for the second quarter of 2017 ($63 in selling, general, and administrative expenses and $41 in research and development costs). Research and development costs were $1,218 for the three-month period ended July 1, 2018, an increase of $33 or 2.8%, from $1,185 for the three-months ended July 2, 2017. The increase primarily reflects the timing of development and testing costs associated with new products. Selling, general, and administrative expenses decreased $14 or 0.4%, to $3,700 for the second quarter of 2018 from $3,714 for the second quarter of 2017. The slight decrease is attributable to continued tight control over discretionary administrative spending.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95" w:lineRule="auto"/>
        <w:rPr>
          <w:sz w:val="20"/>
          <w:szCs w:val="20"/>
          <w:color w:val="auto"/>
        </w:rPr>
      </w:pPr>
      <w:r>
        <w:rPr>
          <w:rFonts w:ascii="Arial" w:cs="Arial" w:eastAsia="Arial" w:hAnsi="Arial"/>
          <w:sz w:val="16"/>
          <w:szCs w:val="16"/>
          <w:b w:val="1"/>
          <w:bCs w:val="1"/>
          <w:color w:val="auto"/>
        </w:rPr>
        <w:t xml:space="preserve">Other Expense (Income). </w:t>
      </w:r>
      <w:r>
        <w:rPr>
          <w:rFonts w:ascii="Arial" w:cs="Arial" w:eastAsia="Arial" w:hAnsi="Arial"/>
          <w:sz w:val="16"/>
          <w:szCs w:val="16"/>
          <w:color w:val="auto"/>
        </w:rPr>
        <w:t>Other income totaled $86 for the three-month period ended July 1, 2018 compared to other expense of $49 for the three-month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ended July 2, 2017. Interest and financing expense decreased $20, from $41 for the second quarter of 2017 to $21 for the comparable period in 2018. The decrease is due to the more favorable terms of our Revolving Credit Agreement which was executed on May 31, 2017, as well as higher interest income due to our increased cash balance. Miscellaneous income amounted to $107 for the second quarter of 2018 compared with miscellaneous expense of $8 for the second quarter of 2017, primarily due to transactions impacted by foreign currency fluctuations in the U.S. dollar relative to the Pound Sterling, and the strengthening of the U.S dollar to the Pound Sterling by 6% from the end of first quarter to the end of the second quarter in 2018.</w:t>
      </w:r>
    </w:p>
    <w:p>
      <w:pPr>
        <w:spacing w:after="0" w:line="156"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tax provision for the 2018 second quarter was $78 compared to $179 for the second quarter of 2017. See Note 9 in the Notes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for additional information regarding our income taxes.</w:t>
      </w:r>
    </w:p>
    <w:p>
      <w:pPr>
        <w:spacing w:after="0" w:line="16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Net Income Attributable to Ultralife. </w:t>
      </w:r>
      <w:r>
        <w:rPr>
          <w:rFonts w:ascii="Arial" w:cs="Arial" w:eastAsia="Arial" w:hAnsi="Arial"/>
          <w:sz w:val="16"/>
          <w:szCs w:val="16"/>
          <w:color w:val="auto"/>
        </w:rPr>
        <w:t>Net income attributable to Ultralife was $1,627, or $0.10 per share – basic and diluted, for the three-month period</w:t>
      </w:r>
      <w:r>
        <w:rPr>
          <w:rFonts w:ascii="Arial" w:cs="Arial" w:eastAsia="Arial" w:hAnsi="Arial"/>
          <w:sz w:val="16"/>
          <w:szCs w:val="16"/>
          <w:b w:val="1"/>
          <w:bCs w:val="1"/>
          <w:color w:val="auto"/>
        </w:rPr>
        <w:t xml:space="preserve"> </w:t>
      </w:r>
      <w:r>
        <w:rPr>
          <w:rFonts w:ascii="Arial" w:cs="Arial" w:eastAsia="Arial" w:hAnsi="Arial"/>
          <w:sz w:val="16"/>
          <w:szCs w:val="16"/>
          <w:color w:val="auto"/>
        </w:rPr>
        <w:t>ended July 1, 2018, compared to $1,094, or $0.07 per share – basic and diluted, for the three-month period ended July 2, 2017. Average weighted common shares outstanding used to compute diluted earnings per share increased from 15,849,578 in the second quarter of 2017 to 16,519,593 in the second quarter of 2018. The increase in 2018 is attributable to stock option exercises since the second quarter of 2017 and an increase in the weighted average stock price to compute dilute shares from $6.28 for the second quarter of 2017 to $9.64 for the second quarter of 2018.</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periods ended July 1, 2018 and July 2, 2017</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July 1, 2018 amounted to $45,933, an increase of $3,959 or 9.4%, from the $41,974</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six-month period ended July 2, 2017.</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Battery &amp; Energy Products revenues increased $696, or 2.0%, from $34,359 for the six-month period ended Ju1y 2, 2017 to $35,055 for the six-month period ended July 1, 2018. Government and defense sales of this business increased 6.9% from the 2017 six-month period and now comprise 43.3% of total segment sales versus 41.3% last year. The increase primarily reflects sales of our primary 5390 batteries to the U.S. Department of Defense and higher battery and charger shipments to a large U.S. global defense prime contractor. Commercial revenues of this business decreased 1.4% from the 2017 six-month period and now comprise 56.7% of total segment sales versus 58.7% last year. The year-over-year decrease resulted from 13.0% year-over-year growth in the shipment of medical batteries and chargers, which was offset by lower shipments of 9-Volt batteries and industrial commercial products.</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Communications Systems revenues increased $3,263, or 42.8%, from $7,615 during the six-month period ended July 2, 2017 to $10,878 for the six-month period ended July 1, 2018. This increase is attributable to the fulfillment of a Vehicle Amplifier Adapters award received in December 2017 for the U.S. Army’s Security Force Assistance Brigades award from a large global defense prime contractor, and shipments of our Vehicle Installed Power Enhanced Riflemen Appliqué (“VIPER”).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Cost of Products Sold / Gross Profit. </w:t>
      </w:r>
      <w:r>
        <w:rPr>
          <w:rFonts w:ascii="Arial" w:cs="Arial" w:eastAsia="Arial" w:hAnsi="Arial"/>
          <w:sz w:val="16"/>
          <w:szCs w:val="16"/>
          <w:color w:val="auto"/>
        </w:rPr>
        <w:t>Cost of products sold totaled $32,101 for the six-month period ended July 1, 2018, an increase of $3,238 or 11.2%,</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from the $28,863 reported for the same six-month period a year ago. Consolidated cost of products sold as a percentage of total revenue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68.8% for the six-month period ended July 2, 2017 to 69.9% for the six-month period ended July 1, 2018. Correspondingly, consolidated gross margin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30.1% for the six-month period ended July 1, 2018, compared with 31.2% for the six-month period ended July 2, 2017, due product mix.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For our Battery &amp; Energy Products segment, the cost of products sold increased $405 or 1.6%, from $24,688 during the six-month period ended July 2, 2017 to $25,093 during the six-month period ended July 1, 2018. Battery &amp; Energy Products’ gross profit for the 2018 six-month period was $9,962 or 28.4% of revenues, an increase of $291 or 3.0% from gross profit of $9,671, or 28.1% of revenues, for the 2017 six-month period. Battery &amp; Energy Products’ gross margin increased for the six-month period ended July 1, 2018 by 30 basis points, reflecting the mix of products sold.</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our Communications Systems segment, the cost of products sold increased by $2,833 or 67.9% from $4,175 during the six-month period ended July 2, 2017 to $7,008 during the six-month period ended July 1, 2018. Communications Systems’ gross profit for the first six months of 2018 was $3,870 or 35.6% of revenues, an increase of $430 or 12.5% from gross profit of $3,440 or 45.2% of revenues, for the second quarter of 2017. The decrease in gross margin during 2018 is due to product mix reflecting the higher sales for competitively big U.S. Department of Defense contracts in the current six-month period.</w:t>
      </w:r>
    </w:p>
    <w:p>
      <w:pPr>
        <w:spacing w:after="0" w:line="150" w:lineRule="exact"/>
        <w:rPr>
          <w:sz w:val="20"/>
          <w:szCs w:val="20"/>
          <w:color w:val="auto"/>
        </w:rPr>
      </w:pPr>
    </w:p>
    <w:p>
      <w:pPr>
        <w:ind w:right="460"/>
        <w:spacing w:after="0" w:line="313" w:lineRule="auto"/>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Total operating expenses for the six-month period ended July 1, 2018 totaled $9,844, a decrease of $104 or 1.0% from the $9,948</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during the six-month period ended June 2, 2017. Both periods reflected continued tight control over discretionary spending.</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operating expenses as a percentage of revenues were 21.4% for the six-month period ended July 1, 2018 compared to 23.7% for the comparable 2017 period. Amortization expense associated with intangible assets related to our acquisitions was $203 for the first six months of 2018 ($128 in selling, general and administrative expenses and $75 in research and development costs), compared with $209 for the first six months of 2017 ($128 in selling, general, and administrative expenses and $81 in research and development costs). Research and development costs were $2,318 for the six-month period ended July 1, 2018, essentially flat with the $2,323 for the six-months ended July 2, 2017. Selling, general, and administrative expenses decreased $99 or 1.3%, from $7,625 during the first six months of 2017 to $7,526 during the first six months of 2018 in line with our tight control over discretionary spending.</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totaled $48 for the six-month period ended July 1, 2018 compared to $142 for the six-month period ended July 2, 2017.</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financing expense decreased $55 to $54 for the 2018 period from $109 for the comparable period in 2017, as a result of the more favorable terms of our Revolving Credit Agreement which was executed on May 31, 2017, as well as higher interest income due to our increased cash balance. Miscellaneous income amounted to $6 for the first six months of 2018 compared with expense of $33 for the first six months of 2017, primarily due to fluctuations in the U.S. dollar relative to the Pound Sterling.</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recognized a tax provision of $133 for the first two quarters of 2018 compared with a tax provision of $266 for the first two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2017. The decrease of $133 or 50.0% was due to the geographic mix of earnings for the periods and the favorable impact resulting from the lower U.S. Federal tax rates and elimination of the alternative minimum taxes in conjunction with the Tax Cuts &amp; Jobs Act. The effective consolidated tax rates for the six-month periods ended July 1, 2018 and July 2, 2017 were 3.4% and 8.8%, respectively. See Note 9 in the Notes to Consolidated Financial Statements for additional information regarding our income taxes.</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and Net income attributable to Ultralife common shareholders per diluted share</w:t>
      </w:r>
      <w:r>
        <w:rPr>
          <w:rFonts w:ascii="Arial" w:cs="Arial" w:eastAsia="Arial" w:hAnsi="Arial"/>
          <w:sz w:val="17"/>
          <w:szCs w:val="17"/>
          <w:b w:val="1"/>
          <w:bCs w:val="1"/>
          <w:color w:val="auto"/>
        </w:rPr>
        <w:t xml:space="preserve"> </w:t>
      </w:r>
      <w:r>
        <w:rPr>
          <w:rFonts w:ascii="Arial" w:cs="Arial" w:eastAsia="Arial" w:hAnsi="Arial"/>
          <w:sz w:val="17"/>
          <w:szCs w:val="17"/>
          <w:color w:val="auto"/>
        </w:rPr>
        <w:t>was $3,777 and $0.23, respectively, for the six months ended July 1, 2018, compared to $2,749 and $0.17, respectively, for the six months ended July 2, 2017. Average common shares outstanding used to compute diluted earnings per share increased from 15,751,578 in the 2017 period to 16,353,705 in the 2018 period, mainly due to the exercise of stock options under our Long-Term Incentive Plans and the increased stock price.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Adjusted EBITDA is calculated as follows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Three-Month Periods Ended</w:t>
            </w:r>
          </w:p>
        </w:tc>
        <w:tc>
          <w:tcPr>
            <w:tcW w:w="180" w:type="dxa"/>
            <w:vAlign w:val="bottom"/>
          </w:tcPr>
          <w:p>
            <w:pPr>
              <w:spacing w:after="0"/>
              <w:rPr>
                <w:sz w:val="18"/>
                <w:szCs w:val="18"/>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rPr>
              <w:t>Six-Month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July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July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5,509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July 1, 2018, cash totaled $20,749, an increase of $2,419 from the beginning of the year. During the six-month period ended July 1, 2018, we generated $1,818 of cash from our operating activities. Cash generated from operations in 2018 consisted of net income of $3,807, non-cash expenses (depreciation, amortization and stock-based compensation) totaling $1,545, an increase of $872 in accounts receivable largely due to the timing of shipments, a decrease of $1,338 in inventory primarily due to the fulfillment of orders, and a decrease in accounts payable and other working capital items of $4,000 primarily due to the payment of procured inventory, deposits for capital projects, and the timing of compensation and benefit-related expenditures.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of $4,028 generated from operations for the six-month period ended July 2, 2017 consisted of net income of $2,755, non-cash expenses (depreciation, amortization and stock-based compensation) totaling $1,648, an increase of $274 in accounts receivable largely due to the timing of shipments, a $904 increase in inventory to service 2017 backlog and an increase in accounts payable and other working capital items of $803 primarily attributable to procured inventory.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six-month periods ended July 1, 2018 and July 2, 2017 amounted to $999 and $836, respectively, representing capital expenditures in the respective periods.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provided by financing activities for the six-month period ended July 1, 2018 totaled $1,690, consisting of cash proceeds of $1,293 from stock option exercises and $397 for a government grant awarded in the People’s Republic of China to fund specified future technological research and development expenditures. Cash provided by financing activities for the six-month period ended July 2, 2017 consisted of $989 in stock option exercise proceeds.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2017, the Company made a strategic decision to invest up to $4,300 in our Newark, New York facility to modernize our manufacturing capability for production of premium 3-volt primary batteries for various applications in the rapidly growing, wireless Internet of Things (“IoT”) market. This investment, in line with our strategy to diversify revenues outside of the core U.S. government/defense markets and focus on transformational commercial opportunities, will enable us to produce a premium product with performance differentiation and incorporate the manufacturing technology expertise required to deliver a clear competitive advantage in terms of product performance, volume, safety, value proposition and strategic supply chain access to the end market and OEM’s. In addition to the IoT market, the product will also expand customer options in the legacy smoke detector market by providing our customers the choice between our industry leading next generation 9-volt battery, or a new premium 3-volt product. Low volume equipment production to support product qualification builds in partnership with customers is expected to start during the second half of 2018, with higher volume US production expected beginning in early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financing through our Credit Facility with KeyBank, which provides a $30,000 secured, cash flow-based, revolving credit facility that includes a $1,500 letter of credit subfacility. There have been no borrowings under the Credit Facility. See Note 7 in the Notes to the Consolidated Financial Statements for additional information regarding our Credit Facility.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2017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of 2018, there were no significant changes in the manner in which our significant accounting policies were applied or in which related assumptions and estimates were developed. Refer to Note 2 for updated accounting policies to reflect the Company’s adoption of Topic 606 “Revenue from Contracts with Customers” as of January 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lawsuit has now been resolved (February 2018), the claimant has terminated the action against the Company, and the Court has acknowledged and consented to this termination. The matter was terminated without financial consequences to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18"/>
        </w:trPr>
        <w:tc>
          <w:tcPr>
            <w:tcW w:w="1540" w:type="dxa"/>
            <w:vAlign w:val="bottom"/>
          </w:tcPr>
          <w:p>
            <w:pPr>
              <w:ind w:left="340"/>
              <w:spacing w:after="0"/>
              <w:rPr>
                <w:sz w:val="20"/>
                <w:szCs w:val="20"/>
                <w:color w:val="auto"/>
              </w:rPr>
            </w:pPr>
            <w:r>
              <w:rPr>
                <w:rFonts w:ascii="Arial" w:cs="Arial" w:eastAsia="Arial" w:hAnsi="Arial"/>
                <w:sz w:val="18"/>
                <w:szCs w:val="18"/>
                <w:color w:val="auto"/>
              </w:rPr>
              <w:t>Exhibit</w:t>
            </w: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Index</w:t>
            </w:r>
          </w:p>
        </w:tc>
        <w:tc>
          <w:tcPr>
            <w:tcW w:w="3900" w:type="dxa"/>
            <w:vAlign w:val="bottom"/>
            <w:gridSpan w:val="4"/>
          </w:tcPr>
          <w:p>
            <w:pPr>
              <w:spacing w:after="0"/>
              <w:rPr>
                <w:sz w:val="20"/>
                <w:szCs w:val="20"/>
                <w:color w:val="auto"/>
              </w:rPr>
            </w:pPr>
            <w:r>
              <w:rPr>
                <w:rFonts w:ascii="Arial" w:cs="Arial" w:eastAsia="Arial" w:hAnsi="Arial"/>
                <w:sz w:val="18"/>
                <w:szCs w:val="18"/>
                <w:color w:val="auto"/>
              </w:rPr>
              <w:t>Description of Document</w:t>
            </w:r>
          </w:p>
        </w:tc>
        <w:tc>
          <w:tcPr>
            <w:tcW w:w="5980" w:type="dxa"/>
            <w:vAlign w:val="bottom"/>
          </w:tcPr>
          <w:p>
            <w:pPr>
              <w:ind w:left="2160"/>
              <w:spacing w:after="0"/>
              <w:rPr>
                <w:sz w:val="20"/>
                <w:szCs w:val="20"/>
                <w:color w:val="auto"/>
              </w:rPr>
            </w:pPr>
            <w:r>
              <w:rPr>
                <w:rFonts w:ascii="Arial" w:cs="Arial" w:eastAsia="Arial" w:hAnsi="Arial"/>
                <w:sz w:val="18"/>
                <w:szCs w:val="18"/>
                <w:color w:val="auto"/>
              </w:rPr>
              <w:t>Incorporated By Reference from:</w:t>
            </w:r>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color w:val="auto"/>
              </w:rPr>
              <w:t>31.1</w:t>
            </w:r>
          </w:p>
        </w:tc>
        <w:tc>
          <w:tcPr>
            <w:tcW w:w="3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Rule 13a-14(a) / 15d-14(a) CEO Certifications</w:t>
              </w:r>
            </w:hyperlink>
          </w:p>
        </w:tc>
        <w:tc>
          <w:tcPr>
            <w:tcW w:w="540" w:type="dxa"/>
            <w:vAlign w:val="bottom"/>
          </w:tcPr>
          <w:p>
            <w:pPr>
              <w:spacing w:after="0"/>
              <w:rPr>
                <w:sz w:val="24"/>
                <w:szCs w:val="24"/>
                <w:color w:val="auto"/>
              </w:rPr>
            </w:pPr>
          </w:p>
        </w:tc>
        <w:tc>
          <w:tcPr>
            <w:tcW w:w="5980" w:type="dxa"/>
            <w:vAlign w:val="bottom"/>
          </w:tcPr>
          <w:p>
            <w:pPr>
              <w:ind w:left="2160"/>
              <w:spacing w:after="0"/>
              <w:rPr>
                <w:sz w:val="20"/>
                <w:szCs w:val="20"/>
                <w:color w:val="auto"/>
              </w:rPr>
            </w:pPr>
            <w:r>
              <w:rPr>
                <w:rFonts w:ascii="Arial" w:cs="Arial" w:eastAsia="Arial" w:hAnsi="Arial"/>
                <w:sz w:val="18"/>
                <w:szCs w:val="18"/>
                <w:color w:val="auto"/>
              </w:rPr>
              <w:t>Filed herewith</w:t>
            </w:r>
          </w:p>
        </w:tc>
      </w:tr>
      <w:tr>
        <w:trPr>
          <w:trHeight w:val="196"/>
        </w:trPr>
        <w:tc>
          <w:tcPr>
            <w:tcW w:w="1540" w:type="dxa"/>
            <w:vAlign w:val="bottom"/>
          </w:tcPr>
          <w:p>
            <w:pPr>
              <w:ind w:left="340"/>
              <w:spacing w:after="0" w:line="196" w:lineRule="exact"/>
              <w:rPr>
                <w:sz w:val="20"/>
                <w:szCs w:val="20"/>
                <w:color w:val="auto"/>
              </w:rPr>
            </w:pPr>
            <w:r>
              <w:rPr>
                <w:rFonts w:ascii="Arial" w:cs="Arial" w:eastAsia="Arial" w:hAnsi="Arial"/>
                <w:sz w:val="18"/>
                <w:szCs w:val="18"/>
                <w:color w:val="auto"/>
              </w:rPr>
              <w:t>31.2</w:t>
            </w:r>
          </w:p>
        </w:tc>
        <w:tc>
          <w:tcPr>
            <w:tcW w:w="390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Rule 13a-14(a) / 15d-14(a) CFO Certifications</w:t>
              </w:r>
            </w:hyperlink>
          </w:p>
        </w:tc>
        <w:tc>
          <w:tcPr>
            <w:tcW w:w="5980" w:type="dxa"/>
            <w:vAlign w:val="bottom"/>
          </w:tcPr>
          <w:p>
            <w:pPr>
              <w:ind w:left="216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540" w:type="dxa"/>
            <w:vAlign w:val="bottom"/>
          </w:tcPr>
          <w:p>
            <w:pPr>
              <w:ind w:left="340"/>
              <w:spacing w:after="0" w:line="196" w:lineRule="exact"/>
              <w:rPr>
                <w:sz w:val="20"/>
                <w:szCs w:val="20"/>
                <w:color w:val="auto"/>
              </w:rPr>
            </w:pPr>
            <w:r>
              <w:rPr>
                <w:rFonts w:ascii="Arial" w:cs="Arial" w:eastAsia="Arial" w:hAnsi="Arial"/>
                <w:sz w:val="18"/>
                <w:szCs w:val="18"/>
                <w:color w:val="auto"/>
              </w:rPr>
              <w:t>32</w:t>
            </w:r>
          </w:p>
        </w:tc>
        <w:tc>
          <w:tcPr>
            <w:tcW w:w="33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Section 1350 Certifications</w:t>
              </w:r>
            </w:hyperlink>
          </w:p>
        </w:tc>
        <w:tc>
          <w:tcPr>
            <w:tcW w:w="560" w:type="dxa"/>
            <w:vAlign w:val="bottom"/>
            <w:gridSpan w:val="2"/>
          </w:tcPr>
          <w:p>
            <w:pPr>
              <w:spacing w:after="0"/>
              <w:rPr>
                <w:sz w:val="17"/>
                <w:szCs w:val="17"/>
                <w:color w:val="auto"/>
              </w:rPr>
            </w:pPr>
          </w:p>
        </w:tc>
        <w:tc>
          <w:tcPr>
            <w:tcW w:w="5980" w:type="dxa"/>
            <w:vAlign w:val="bottom"/>
          </w:tcPr>
          <w:p>
            <w:pPr>
              <w:ind w:left="2160"/>
              <w:spacing w:after="0" w:line="196" w:lineRule="exact"/>
              <w:rPr>
                <w:sz w:val="20"/>
                <w:szCs w:val="20"/>
                <w:color w:val="auto"/>
              </w:rPr>
            </w:pPr>
            <w:r>
              <w:rPr>
                <w:rFonts w:ascii="Arial" w:cs="Arial" w:eastAsia="Arial" w:hAnsi="Arial"/>
                <w:sz w:val="18"/>
                <w:szCs w:val="18"/>
                <w:color w:val="auto"/>
              </w:rPr>
              <w:t>Filed herewith</w:t>
            </w:r>
          </w:p>
        </w:tc>
      </w:tr>
      <w:tr>
        <w:trPr>
          <w:trHeight w:val="222"/>
        </w:trPr>
        <w:tc>
          <w:tcPr>
            <w:tcW w:w="1540" w:type="dxa"/>
            <w:vAlign w:val="bottom"/>
          </w:tcPr>
          <w:p>
            <w:pPr>
              <w:ind w:left="340"/>
              <w:spacing w:after="0"/>
              <w:rPr>
                <w:sz w:val="20"/>
                <w:szCs w:val="20"/>
                <w:color w:val="auto"/>
              </w:rPr>
            </w:pPr>
            <w:r>
              <w:rPr>
                <w:rFonts w:ascii="Arial" w:cs="Arial" w:eastAsia="Arial" w:hAnsi="Arial"/>
                <w:sz w:val="18"/>
                <w:szCs w:val="18"/>
                <w:color w:val="auto"/>
              </w:rPr>
              <w:t>101.INS</w:t>
            </w:r>
          </w:p>
        </w:tc>
        <w:tc>
          <w:tcPr>
            <w:tcW w:w="19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3"/>
              </w:rPr>
              <w:t>XBRL Instance Document</w:t>
            </w:r>
          </w:p>
        </w:tc>
        <w:tc>
          <w:tcPr>
            <w:tcW w:w="1940" w:type="dxa"/>
            <w:vAlign w:val="bottom"/>
            <w:gridSpan w:val="3"/>
          </w:tcPr>
          <w:p>
            <w:pPr>
              <w:spacing w:after="0"/>
              <w:rPr>
                <w:sz w:val="19"/>
                <w:szCs w:val="19"/>
                <w:color w:val="auto"/>
              </w:rPr>
            </w:pPr>
          </w:p>
        </w:tc>
        <w:tc>
          <w:tcPr>
            <w:tcW w:w="5980" w:type="dxa"/>
            <w:vAlign w:val="bottom"/>
          </w:tcPr>
          <w:p>
            <w:pPr>
              <w:spacing w:after="0"/>
              <w:rPr>
                <w:sz w:val="19"/>
                <w:szCs w:val="19"/>
                <w:color w:val="auto"/>
              </w:rPr>
            </w:pP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101.SCH</w:t>
            </w:r>
          </w:p>
        </w:tc>
        <w:tc>
          <w:tcPr>
            <w:tcW w:w="39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5980" w:type="dxa"/>
            <w:vAlign w:val="bottom"/>
          </w:tcPr>
          <w:p>
            <w:pPr>
              <w:spacing w:after="0"/>
              <w:rPr>
                <w:sz w:val="18"/>
                <w:szCs w:val="18"/>
                <w:color w:val="auto"/>
              </w:rPr>
            </w:pP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101.CAL</w:t>
            </w:r>
          </w:p>
        </w:tc>
        <w:tc>
          <w:tcPr>
            <w:tcW w:w="3900" w:type="dxa"/>
            <w:vAlign w:val="bottom"/>
            <w:gridSpan w:val="4"/>
          </w:tcPr>
          <w:p>
            <w:pPr>
              <w:spacing w:after="0"/>
              <w:rPr>
                <w:sz w:val="20"/>
                <w:szCs w:val="20"/>
                <w:color w:val="auto"/>
              </w:rPr>
            </w:pPr>
            <w:r>
              <w:rPr>
                <w:rFonts w:ascii="Arial" w:cs="Arial" w:eastAsia="Arial" w:hAnsi="Arial"/>
                <w:sz w:val="18"/>
                <w:szCs w:val="18"/>
                <w:color w:val="auto"/>
                <w:w w:val="98"/>
              </w:rPr>
              <w:t>XBRL Taxonomy Calculation Linkbase Document</w:t>
            </w:r>
          </w:p>
        </w:tc>
        <w:tc>
          <w:tcPr>
            <w:tcW w:w="5980" w:type="dxa"/>
            <w:vAlign w:val="bottom"/>
          </w:tcPr>
          <w:p>
            <w:pPr>
              <w:spacing w:after="0"/>
              <w:rPr>
                <w:sz w:val="18"/>
                <w:szCs w:val="18"/>
                <w:color w:val="auto"/>
              </w:rPr>
            </w:pP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101.LAB</w:t>
            </w:r>
          </w:p>
        </w:tc>
        <w:tc>
          <w:tcPr>
            <w:tcW w:w="390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5980" w:type="dxa"/>
            <w:vAlign w:val="bottom"/>
          </w:tcPr>
          <w:p>
            <w:pPr>
              <w:spacing w:after="0"/>
              <w:rPr>
                <w:sz w:val="18"/>
                <w:szCs w:val="18"/>
                <w:color w:val="auto"/>
              </w:rPr>
            </w:pP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101.PRE</w:t>
            </w:r>
          </w:p>
        </w:tc>
        <w:tc>
          <w:tcPr>
            <w:tcW w:w="3900" w:type="dxa"/>
            <w:vAlign w:val="bottom"/>
            <w:gridSpan w:val="4"/>
          </w:tcPr>
          <w:p>
            <w:pPr>
              <w:spacing w:after="0"/>
              <w:rPr>
                <w:sz w:val="20"/>
                <w:szCs w:val="20"/>
                <w:color w:val="auto"/>
              </w:rPr>
            </w:pPr>
            <w:r>
              <w:rPr>
                <w:rFonts w:ascii="Arial" w:cs="Arial" w:eastAsia="Arial" w:hAnsi="Arial"/>
                <w:sz w:val="18"/>
                <w:szCs w:val="18"/>
                <w:color w:val="auto"/>
                <w:w w:val="95"/>
              </w:rPr>
              <w:t>XBRL Taxonomy Presentation Linkbase Document</w:t>
            </w:r>
          </w:p>
        </w:tc>
        <w:tc>
          <w:tcPr>
            <w:tcW w:w="5980" w:type="dxa"/>
            <w:vAlign w:val="bottom"/>
          </w:tcPr>
          <w:p>
            <w:pPr>
              <w:spacing w:after="0"/>
              <w:rPr>
                <w:sz w:val="18"/>
                <w:szCs w:val="18"/>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101.DEF</w:t>
            </w:r>
          </w:p>
        </w:tc>
        <w:tc>
          <w:tcPr>
            <w:tcW w:w="3900" w:type="dxa"/>
            <w:vAlign w:val="bottom"/>
            <w:gridSpan w:val="4"/>
          </w:tcPr>
          <w:p>
            <w:pPr>
              <w:spacing w:after="0"/>
              <w:rPr>
                <w:sz w:val="20"/>
                <w:szCs w:val="20"/>
                <w:color w:val="auto"/>
              </w:rPr>
            </w:pPr>
            <w:r>
              <w:rPr>
                <w:rFonts w:ascii="Arial" w:cs="Arial" w:eastAsia="Arial" w:hAnsi="Arial"/>
                <w:sz w:val="18"/>
                <w:szCs w:val="18"/>
                <w:color w:val="auto"/>
              </w:rPr>
              <w:t>XBRL Taxonomy Definition Document</w:t>
            </w:r>
          </w:p>
        </w:tc>
        <w:tc>
          <w:tcPr>
            <w:tcW w:w="598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30</w:t>
            </w:r>
          </w:p>
        </w:tc>
      </w:tr>
      <w:tr>
        <w:trPr>
          <w:trHeight w:val="115"/>
        </w:trPr>
        <w:tc>
          <w:tcPr>
            <w:tcW w:w="15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560" w:type="dxa"/>
            <w:vAlign w:val="bottom"/>
            <w:gridSpan w:val="4"/>
          </w:tcPr>
          <w:p>
            <w:pPr>
              <w:jc w:val="center"/>
              <w:ind w:right="3120"/>
              <w:spacing w:after="0"/>
              <w:rPr>
                <w:sz w:val="20"/>
                <w:szCs w:val="20"/>
                <w:color w:val="auto"/>
              </w:rPr>
            </w:pPr>
            <w:r>
              <w:rPr>
                <w:rFonts w:ascii="Arial" w:cs="Arial" w:eastAsia="Arial" w:hAnsi="Arial"/>
                <w:sz w:val="18"/>
                <w:szCs w:val="18"/>
                <w:b w:val="1"/>
                <w:bCs w:val="1"/>
                <w:color w:val="auto"/>
              </w:rPr>
              <w:t>ULTRALIFE CORPORATION</w:t>
            </w:r>
          </w:p>
        </w:tc>
      </w:tr>
      <w:tr>
        <w:trPr>
          <w:trHeight w:val="237"/>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(Registrant)</w:t>
            </w:r>
          </w:p>
        </w:tc>
        <w:tc>
          <w:tcPr>
            <w:tcW w:w="3120" w:type="dxa"/>
            <w:vAlign w:val="bottom"/>
          </w:tcPr>
          <w:p>
            <w:pPr>
              <w:spacing w:after="0"/>
              <w:rPr>
                <w:sz w:val="20"/>
                <w:szCs w:val="20"/>
                <w:color w:val="auto"/>
              </w:rPr>
            </w:pPr>
          </w:p>
        </w:tc>
      </w:tr>
      <w:tr>
        <w:trPr>
          <w:trHeight w:val="392"/>
        </w:trPr>
        <w:tc>
          <w:tcPr>
            <w:tcW w:w="1780" w:type="dxa"/>
            <w:vAlign w:val="bottom"/>
            <w:gridSpan w:val="2"/>
          </w:tcPr>
          <w:p>
            <w:pPr>
              <w:ind w:left="240"/>
              <w:spacing w:after="0"/>
              <w:rPr>
                <w:sz w:val="20"/>
                <w:szCs w:val="20"/>
                <w:color w:val="auto"/>
              </w:rPr>
            </w:pPr>
            <w:r>
              <w:rPr>
                <w:rFonts w:ascii="Arial" w:cs="Arial" w:eastAsia="Arial" w:hAnsi="Arial"/>
                <w:sz w:val="18"/>
                <w:szCs w:val="18"/>
                <w:color w:val="auto"/>
                <w:w w:val="89"/>
              </w:rPr>
              <w:t>Date: August 2, 2018</w:t>
            </w:r>
          </w:p>
        </w:tc>
        <w:tc>
          <w:tcPr>
            <w:tcW w:w="3460" w:type="dxa"/>
            <w:vAlign w:val="bottom"/>
          </w:tcPr>
          <w:p>
            <w:pPr>
              <w:ind w:left="3020"/>
              <w:spacing w:after="0"/>
              <w:rPr>
                <w:sz w:val="20"/>
                <w:szCs w:val="20"/>
                <w:color w:val="auto"/>
              </w:rPr>
            </w:pPr>
            <w:r>
              <w:rPr>
                <w:rFonts w:ascii="Arial" w:cs="Arial" w:eastAsia="Arial" w:hAnsi="Arial"/>
                <w:sz w:val="18"/>
                <w:szCs w:val="18"/>
                <w:color w:val="auto"/>
              </w:rPr>
              <w:t>By:</w:t>
            </w:r>
          </w:p>
        </w:tc>
        <w:tc>
          <w:tcPr>
            <w:tcW w:w="6180" w:type="dxa"/>
            <w:vAlign w:val="bottom"/>
            <w:gridSpan w:val="5"/>
          </w:tcPr>
          <w:p>
            <w:pPr>
              <w:spacing w:after="0"/>
              <w:rPr>
                <w:sz w:val="20"/>
                <w:szCs w:val="20"/>
                <w:color w:val="auto"/>
              </w:rPr>
            </w:pPr>
            <w:r>
              <w:rPr>
                <w:rFonts w:ascii="Arial" w:cs="Arial" w:eastAsia="Arial" w:hAnsi="Arial"/>
                <w:sz w:val="18"/>
                <w:szCs w:val="18"/>
                <w:color w:val="auto"/>
              </w:rPr>
              <w:t>/s/ Michael D. Popielec</w:t>
            </w:r>
          </w:p>
        </w:tc>
      </w:tr>
      <w:tr>
        <w:trPr>
          <w:trHeight w:val="222"/>
        </w:trPr>
        <w:tc>
          <w:tcPr>
            <w:tcW w:w="6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460" w:type="dxa"/>
            <w:vAlign w:val="bottom"/>
          </w:tcPr>
          <w:p>
            <w:pPr>
              <w:spacing w:after="0"/>
              <w:rPr>
                <w:sz w:val="19"/>
                <w:szCs w:val="19"/>
                <w:color w:val="auto"/>
              </w:rPr>
            </w:pPr>
          </w:p>
        </w:tc>
        <w:tc>
          <w:tcPr>
            <w:tcW w:w="206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color w:val="auto"/>
              </w:rPr>
              <w:t>Michael D. Popielec</w:t>
            </w:r>
          </w:p>
        </w:tc>
        <w:tc>
          <w:tcPr>
            <w:tcW w:w="4120" w:type="dxa"/>
            <w:vAlign w:val="bottom"/>
            <w:gridSpan w:val="2"/>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180" w:type="dxa"/>
            <w:vAlign w:val="bottom"/>
            <w:gridSpan w:val="5"/>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180" w:type="dxa"/>
            <w:vAlign w:val="bottom"/>
            <w:gridSpan w:val="5"/>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608"/>
        </w:trPr>
        <w:tc>
          <w:tcPr>
            <w:tcW w:w="1780" w:type="dxa"/>
            <w:vAlign w:val="bottom"/>
            <w:gridSpan w:val="2"/>
          </w:tcPr>
          <w:p>
            <w:pPr>
              <w:ind w:left="240"/>
              <w:spacing w:after="0"/>
              <w:rPr>
                <w:sz w:val="20"/>
                <w:szCs w:val="20"/>
                <w:color w:val="auto"/>
              </w:rPr>
            </w:pPr>
            <w:r>
              <w:rPr>
                <w:rFonts w:ascii="Arial" w:cs="Arial" w:eastAsia="Arial" w:hAnsi="Arial"/>
                <w:sz w:val="18"/>
                <w:szCs w:val="18"/>
                <w:color w:val="auto"/>
                <w:w w:val="89"/>
              </w:rPr>
              <w:t>Date: August 2, 2018</w:t>
            </w:r>
          </w:p>
        </w:tc>
        <w:tc>
          <w:tcPr>
            <w:tcW w:w="3460" w:type="dxa"/>
            <w:vAlign w:val="bottom"/>
          </w:tcPr>
          <w:p>
            <w:pPr>
              <w:ind w:left="3020"/>
              <w:spacing w:after="0"/>
              <w:rPr>
                <w:sz w:val="20"/>
                <w:szCs w:val="20"/>
                <w:color w:val="auto"/>
              </w:rPr>
            </w:pPr>
            <w:r>
              <w:rPr>
                <w:rFonts w:ascii="Arial" w:cs="Arial" w:eastAsia="Arial" w:hAnsi="Arial"/>
                <w:sz w:val="18"/>
                <w:szCs w:val="18"/>
                <w:color w:val="auto"/>
              </w:rPr>
              <w:t>By:</w:t>
            </w:r>
          </w:p>
        </w:tc>
        <w:tc>
          <w:tcPr>
            <w:tcW w:w="6180" w:type="dxa"/>
            <w:vAlign w:val="bottom"/>
            <w:gridSpan w:val="5"/>
          </w:tcPr>
          <w:p>
            <w:pPr>
              <w:spacing w:after="0"/>
              <w:rPr>
                <w:sz w:val="20"/>
                <w:szCs w:val="20"/>
                <w:color w:val="auto"/>
              </w:rPr>
            </w:pPr>
            <w:r>
              <w:rPr>
                <w:rFonts w:ascii="Arial" w:cs="Arial" w:eastAsia="Arial" w:hAnsi="Arial"/>
                <w:sz w:val="18"/>
                <w:szCs w:val="18"/>
                <w:color w:val="auto"/>
              </w:rPr>
              <w:t>/s/ Philip A. Fain</w:t>
            </w:r>
          </w:p>
        </w:tc>
      </w:tr>
      <w:tr>
        <w:trPr>
          <w:trHeight w:val="222"/>
        </w:trPr>
        <w:tc>
          <w:tcPr>
            <w:tcW w:w="6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460" w:type="dxa"/>
            <w:vAlign w:val="bottom"/>
          </w:tcPr>
          <w:p>
            <w:pPr>
              <w:spacing w:after="0"/>
              <w:rPr>
                <w:sz w:val="19"/>
                <w:szCs w:val="19"/>
                <w:color w:val="auto"/>
              </w:rPr>
            </w:pPr>
          </w:p>
        </w:tc>
        <w:tc>
          <w:tcPr>
            <w:tcW w:w="20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Philip A. Fain</w:t>
            </w:r>
          </w:p>
        </w:tc>
        <w:tc>
          <w:tcPr>
            <w:tcW w:w="4140" w:type="dxa"/>
            <w:vAlign w:val="bottom"/>
            <w:gridSpan w:val="3"/>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180" w:type="dxa"/>
            <w:vAlign w:val="bottom"/>
            <w:gridSpan w:val="5"/>
          </w:tcPr>
          <w:p>
            <w:pPr>
              <w:ind w:left="2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180" w:type="dxa"/>
            <w:vAlign w:val="bottom"/>
            <w:gridSpan w:val="5"/>
          </w:tcPr>
          <w:p>
            <w:pPr>
              <w:ind w:left="2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180" w:type="dxa"/>
            <w:vAlign w:val="bottom"/>
            <w:gridSpan w:val="5"/>
          </w:tcPr>
          <w:p>
            <w:pPr>
              <w:ind w:left="40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31</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60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r>
        <w:trPr>
          <w:trHeight w:val="432"/>
        </w:trPr>
        <w:tc>
          <w:tcPr>
            <w:tcW w:w="820" w:type="dxa"/>
            <w:vAlign w:val="bottom"/>
          </w:tcPr>
          <w:p>
            <w:pPr>
              <w:spacing w:after="0"/>
              <w:rPr>
                <w:sz w:val="24"/>
                <w:szCs w:val="24"/>
                <w:color w:val="auto"/>
              </w:rPr>
            </w:pPr>
          </w:p>
        </w:tc>
        <w:tc>
          <w:tcPr>
            <w:tcW w:w="9600" w:type="dxa"/>
            <w:vAlign w:val="bottom"/>
          </w:tcPr>
          <w:p>
            <w:pPr>
              <w:ind w:left="414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0420"/>
          </w:cols>
          <w:pgMar w:left="900" w:top="580" w:right="579" w:bottom="1440" w:gutter="0" w:footer="0" w:header="0"/>
        </w:sectPr>
      </w:pPr>
    </w:p>
    <w:bookmarkStart w:id="32" w:name="page33"/>
    <w:bookmarkEnd w:id="32"/>
    <w:p>
      <w:pPr>
        <w:ind w:left="104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Arial" w:cs="Arial" w:eastAsia="Arial" w:hAnsi="Arial"/>
                <w:sz w:val="18"/>
                <w:szCs w:val="18"/>
                <w:color w:val="auto"/>
                <w:w w:val="89"/>
              </w:rPr>
              <w:t>Date: August 2, 2018</w:t>
            </w:r>
          </w:p>
        </w:tc>
        <w:tc>
          <w:tcPr>
            <w:tcW w:w="5980" w:type="dxa"/>
            <w:vAlign w:val="bottom"/>
            <w:gridSpan w:val="3"/>
          </w:tcPr>
          <w:p>
            <w:pPr>
              <w:ind w:left="258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980" w:type="dxa"/>
            <w:vAlign w:val="bottom"/>
          </w:tcPr>
          <w:p>
            <w:pPr>
              <w:spacing w:after="0"/>
              <w:rPr>
                <w:sz w:val="19"/>
                <w:szCs w:val="19"/>
                <w:color w:val="auto"/>
              </w:rPr>
            </w:pPr>
          </w:p>
        </w:tc>
        <w:tc>
          <w:tcPr>
            <w:tcW w:w="29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D. Popielec</w:t>
            </w:r>
          </w:p>
        </w:tc>
        <w:tc>
          <w:tcPr>
            <w:tcW w:w="1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w w:val="91"/>
              </w:rPr>
              <w:t>President and Chief Executive Officer</w:t>
            </w:r>
          </w:p>
        </w:tc>
      </w:tr>
    </w:tbl>
    <w:p>
      <w:pPr>
        <w:sectPr>
          <w:pgSz w:w="11900" w:h="16838" w:orient="portrait"/>
          <w:cols w:equalWidth="0" w:num="1">
            <w:col w:w="11420"/>
          </w:cols>
          <w:pgMar w:left="240" w:top="121" w:right="239" w:bottom="1440" w:gutter="0" w:footer="0" w:header="0"/>
        </w:sectPr>
      </w:pPr>
    </w:p>
    <w:bookmarkStart w:id="33" w:name="page34"/>
    <w:bookmarkEnd w:id="33"/>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Arial" w:cs="Arial" w:eastAsia="Arial" w:hAnsi="Arial"/>
                <w:sz w:val="18"/>
                <w:szCs w:val="18"/>
                <w:color w:val="auto"/>
                <w:w w:val="89"/>
              </w:rPr>
              <w:t>Date: August 2, 2018</w:t>
            </w:r>
          </w:p>
        </w:tc>
        <w:tc>
          <w:tcPr>
            <w:tcW w:w="5960" w:type="dxa"/>
            <w:vAlign w:val="bottom"/>
            <w:gridSpan w:val="3"/>
          </w:tcPr>
          <w:p>
            <w:pPr>
              <w:ind w:left="260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980" w:type="dxa"/>
            <w:vAlign w:val="bottom"/>
          </w:tcPr>
          <w:p>
            <w:pPr>
              <w:spacing w:after="0"/>
              <w:rPr>
                <w:sz w:val="19"/>
                <w:szCs w:val="19"/>
                <w:color w:val="auto"/>
              </w:rPr>
            </w:pPr>
          </w:p>
        </w:tc>
        <w:tc>
          <w:tcPr>
            <w:tcW w:w="28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Philip A. Fain</w:t>
            </w:r>
          </w:p>
        </w:tc>
        <w:tc>
          <w:tcPr>
            <w:tcW w:w="1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980" w:type="dxa"/>
            <w:vAlign w:val="bottom"/>
            <w:gridSpan w:val="2"/>
          </w:tcPr>
          <w:p>
            <w:pPr>
              <w:ind w:left="26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July 1, 2018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Arial" w:cs="Arial" w:eastAsia="Arial" w:hAnsi="Arial"/>
                <w:sz w:val="18"/>
                <w:szCs w:val="18"/>
                <w:color w:val="auto"/>
                <w:w w:val="89"/>
              </w:rPr>
              <w:t>Date: August 2, 2018</w:t>
            </w:r>
          </w:p>
        </w:tc>
        <w:tc>
          <w:tcPr>
            <w:tcW w:w="3200" w:type="dxa"/>
            <w:vAlign w:val="bottom"/>
          </w:tcPr>
          <w:p>
            <w:pPr>
              <w:ind w:left="2800"/>
              <w:spacing w:after="0"/>
              <w:rPr>
                <w:sz w:val="20"/>
                <w:szCs w:val="20"/>
                <w:color w:val="auto"/>
              </w:rPr>
            </w:pPr>
            <w:r>
              <w:rPr>
                <w:rFonts w:ascii="Arial" w:cs="Arial" w:eastAsia="Arial" w:hAnsi="Arial"/>
                <w:sz w:val="18"/>
                <w:szCs w:val="18"/>
                <w:color w:val="auto"/>
              </w:rPr>
              <w:t>By:</w:t>
            </w:r>
          </w:p>
        </w:tc>
        <w:tc>
          <w:tcPr>
            <w:tcW w:w="3000" w:type="dxa"/>
            <w:vAlign w:val="bottom"/>
            <w:gridSpan w:val="3"/>
          </w:tcPr>
          <w:p>
            <w:pPr>
              <w:spacing w:after="0"/>
              <w:rPr>
                <w:sz w:val="20"/>
                <w:szCs w:val="20"/>
                <w:color w:val="auto"/>
              </w:rPr>
            </w:pPr>
            <w:r>
              <w:rPr>
                <w:rFonts w:ascii="Arial" w:cs="Arial" w:eastAsia="Arial" w:hAnsi="Arial"/>
                <w:sz w:val="18"/>
                <w:szCs w:val="18"/>
                <w:color w:val="auto"/>
              </w:rPr>
              <w:t>/s/ Michael D. Popielec</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0" w:type="dxa"/>
            <w:vAlign w:val="bottom"/>
          </w:tcPr>
          <w:p>
            <w:pPr>
              <w:spacing w:after="0"/>
              <w:rPr>
                <w:sz w:val="19"/>
                <w:szCs w:val="19"/>
                <w:color w:val="auto"/>
              </w:rPr>
            </w:pPr>
          </w:p>
        </w:tc>
        <w:tc>
          <w:tcPr>
            <w:tcW w:w="292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rPr>
              <w:t>Michael D. Popielec</w:t>
            </w:r>
          </w:p>
        </w:tc>
        <w:tc>
          <w:tcPr>
            <w:tcW w:w="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00" w:type="dxa"/>
            <w:vAlign w:val="bottom"/>
            <w:gridSpan w:val="3"/>
          </w:tcPr>
          <w:p>
            <w:pPr>
              <w:ind w:left="260"/>
              <w:spacing w:after="0"/>
              <w:rPr>
                <w:sz w:val="20"/>
                <w:szCs w:val="20"/>
                <w:color w:val="auto"/>
              </w:rPr>
            </w:pPr>
            <w:r>
              <w:rPr>
                <w:rFonts w:ascii="Arial" w:cs="Arial" w:eastAsia="Arial" w:hAnsi="Arial"/>
                <w:sz w:val="18"/>
                <w:szCs w:val="18"/>
                <w:color w:val="auto"/>
                <w:w w:val="90"/>
              </w:rPr>
              <w:t>President and Chief Executive Officer</w:t>
            </w:r>
          </w:p>
        </w:tc>
      </w:tr>
      <w:tr>
        <w:trPr>
          <w:trHeight w:val="392"/>
        </w:trPr>
        <w:tc>
          <w:tcPr>
            <w:tcW w:w="1540" w:type="dxa"/>
            <w:vAlign w:val="bottom"/>
            <w:gridSpan w:val="2"/>
          </w:tcPr>
          <w:p>
            <w:pPr>
              <w:spacing w:after="0"/>
              <w:rPr>
                <w:sz w:val="20"/>
                <w:szCs w:val="20"/>
                <w:color w:val="auto"/>
              </w:rPr>
            </w:pPr>
            <w:r>
              <w:rPr>
                <w:rFonts w:ascii="Arial" w:cs="Arial" w:eastAsia="Arial" w:hAnsi="Arial"/>
                <w:sz w:val="18"/>
                <w:szCs w:val="18"/>
                <w:color w:val="auto"/>
                <w:w w:val="89"/>
              </w:rPr>
              <w:t>Date: August 2, 2018</w:t>
            </w:r>
          </w:p>
        </w:tc>
        <w:tc>
          <w:tcPr>
            <w:tcW w:w="3200" w:type="dxa"/>
            <w:vAlign w:val="bottom"/>
          </w:tcPr>
          <w:p>
            <w:pPr>
              <w:ind w:left="2800"/>
              <w:spacing w:after="0"/>
              <w:rPr>
                <w:sz w:val="20"/>
                <w:szCs w:val="20"/>
                <w:color w:val="auto"/>
              </w:rPr>
            </w:pPr>
            <w:r>
              <w:rPr>
                <w:rFonts w:ascii="Arial" w:cs="Arial" w:eastAsia="Arial" w:hAnsi="Arial"/>
                <w:sz w:val="18"/>
                <w:szCs w:val="18"/>
                <w:color w:val="auto"/>
              </w:rPr>
              <w:t>By:</w:t>
            </w:r>
          </w:p>
        </w:tc>
        <w:tc>
          <w:tcPr>
            <w:tcW w:w="3000" w:type="dxa"/>
            <w:vAlign w:val="bottom"/>
            <w:gridSpan w:val="3"/>
          </w:tcPr>
          <w:p>
            <w:pPr>
              <w:spacing w:after="0"/>
              <w:rPr>
                <w:sz w:val="20"/>
                <w:szCs w:val="20"/>
                <w:color w:val="auto"/>
              </w:rPr>
            </w:pPr>
            <w:r>
              <w:rPr>
                <w:rFonts w:ascii="Arial" w:cs="Arial" w:eastAsia="Arial" w:hAnsi="Arial"/>
                <w:sz w:val="18"/>
                <w:szCs w:val="18"/>
                <w:color w:val="auto"/>
              </w:rPr>
              <w:t>/s/ Philip A. Fain</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0" w:type="dxa"/>
            <w:vAlign w:val="bottom"/>
          </w:tcPr>
          <w:p>
            <w:pPr>
              <w:spacing w:after="0"/>
              <w:rPr>
                <w:sz w:val="19"/>
                <w:szCs w:val="19"/>
                <w:color w:val="auto"/>
              </w:rPr>
            </w:pPr>
          </w:p>
        </w:tc>
        <w:tc>
          <w:tcPr>
            <w:tcW w:w="29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Philip A. Fain</w:t>
            </w:r>
          </w:p>
        </w:tc>
        <w:tc>
          <w:tcPr>
            <w:tcW w:w="100" w:type="dxa"/>
            <w:vAlign w:val="bottom"/>
            <w:gridSpan w:val="2"/>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00" w:type="dxa"/>
            <w:vAlign w:val="bottom"/>
            <w:gridSpan w:val="3"/>
          </w:tcPr>
          <w:p>
            <w:pPr>
              <w:ind w:left="26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9"/>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2"/>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2019-12-28T20:48:21Z</dcterms:created>
  <dcterms:modified xsi:type="dcterms:W3CDTF">2019-12-28T20:48:21Z</dcterms:modified>
</cp:coreProperties>
</file>