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33" w:lineRule="exact"/>
        <w:rPr>
          <w:sz w:val="24"/>
          <w:szCs w:val="24"/>
          <w:color w:val="auto"/>
        </w:rPr>
      </w:pPr>
    </w:p>
    <w:p>
      <w:pPr>
        <w:ind w:left="5060"/>
        <w:spacing w:after="0"/>
        <w:rPr>
          <w:sz w:val="20"/>
          <w:szCs w:val="20"/>
          <w:color w:val="auto"/>
        </w:rPr>
      </w:pPr>
      <w:r>
        <w:rPr>
          <w:rFonts w:ascii="Arial" w:cs="Arial" w:eastAsia="Arial" w:hAnsi="Arial"/>
          <w:sz w:val="19"/>
          <w:szCs w:val="19"/>
          <w:b w:val="1"/>
          <w:bCs w:val="1"/>
          <w:color w:val="auto"/>
        </w:rPr>
        <w:t>______________</w:t>
      </w:r>
    </w:p>
    <w:p>
      <w:pPr>
        <w:spacing w:after="0" w:line="210"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62" w:lineRule="exact"/>
        <w:rPr>
          <w:sz w:val="24"/>
          <w:szCs w:val="24"/>
          <w:color w:val="auto"/>
        </w:rPr>
      </w:pPr>
    </w:p>
    <w:p>
      <w:pPr>
        <w:ind w:left="5060"/>
        <w:spacing w:after="0"/>
        <w:rPr>
          <w:sz w:val="20"/>
          <w:szCs w:val="20"/>
          <w:color w:val="auto"/>
        </w:rPr>
      </w:pPr>
      <w:r>
        <w:rPr>
          <w:rFonts w:ascii="Arial" w:cs="Arial" w:eastAsia="Arial" w:hAnsi="Arial"/>
          <w:sz w:val="19"/>
          <w:szCs w:val="19"/>
          <w:b w:val="1"/>
          <w:bCs w:val="1"/>
          <w:color w:val="auto"/>
        </w:rPr>
        <w:t>______________</w:t>
      </w:r>
    </w:p>
    <w:p>
      <w:pPr>
        <w:spacing w:after="0" w:line="6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740" w:hanging="280"/>
        <w:spacing w:after="0"/>
        <w:tabs>
          <w:tab w:leader="none" w:pos="1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1720" w:hanging="264"/>
        <w:spacing w:after="0"/>
        <w:tabs>
          <w:tab w:leader="none" w:pos="17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48" w:lineRule="exact"/>
        <w:rPr>
          <w:sz w:val="24"/>
          <w:szCs w:val="24"/>
          <w:color w:val="auto"/>
        </w:rPr>
      </w:pPr>
    </w:p>
    <w:p>
      <w:pPr>
        <w:jc w:val="center"/>
        <w:ind w:right="-159"/>
        <w:spacing w:after="0"/>
        <w:tabs>
          <w:tab w:leader="none" w:pos="2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4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0-27460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1548765</wp:posOffset>
            </wp:positionH>
            <wp:positionV relativeFrom="paragraph">
              <wp:posOffset>158115</wp:posOffset>
            </wp:positionV>
            <wp:extent cx="412496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2496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1600" w:type="dxa"/>
        <w:tblCellMar>
          <w:top w:w="0" w:type="dxa"/>
          <w:left w:w="0" w:type="dxa"/>
          <w:bottom w:w="0" w:type="dxa"/>
          <w:right w:w="0" w:type="dxa"/>
        </w:tblCellMar>
      </w:tblPr>
      <w:tr>
        <w:trPr>
          <w:trHeight w:val="182"/>
        </w:trPr>
        <w:tc>
          <w:tcPr>
            <w:tcW w:w="2580" w:type="dxa"/>
            <w:vAlign w:val="bottom"/>
          </w:tcPr>
          <w:p>
            <w:pPr>
              <w:spacing w:after="0"/>
              <w:rPr>
                <w:sz w:val="15"/>
                <w:szCs w:val="15"/>
                <w:color w:val="auto"/>
              </w:rPr>
            </w:pPr>
          </w:p>
        </w:tc>
        <w:tc>
          <w:tcPr>
            <w:tcW w:w="5440" w:type="dxa"/>
            <w:vAlign w:val="bottom"/>
          </w:tcPr>
          <w:p>
            <w:pPr>
              <w:jc w:val="center"/>
              <w:ind w:right="2299"/>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417"/>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40" w:type="dxa"/>
            <w:vAlign w:val="bottom"/>
          </w:tcPr>
          <w:p>
            <w:pPr>
              <w:jc w:val="right"/>
              <w:ind w:right="539"/>
              <w:spacing w:after="0"/>
              <w:rPr>
                <w:sz w:val="20"/>
                <w:szCs w:val="20"/>
                <w:color w:val="auto"/>
              </w:rPr>
            </w:pPr>
            <w:r>
              <w:rPr>
                <w:rFonts w:ascii="Arial" w:cs="Arial" w:eastAsia="Arial" w:hAnsi="Arial"/>
                <w:sz w:val="18"/>
                <w:szCs w:val="18"/>
                <w:b w:val="1"/>
                <w:bCs w:val="1"/>
                <w:color w:val="auto"/>
              </w:rPr>
              <w:t>16-1387013</w:t>
            </w:r>
          </w:p>
        </w:tc>
      </w:tr>
      <w:tr>
        <w:trPr>
          <w:trHeight w:val="191"/>
        </w:trPr>
        <w:tc>
          <w:tcPr>
            <w:tcW w:w="2580" w:type="dxa"/>
            <w:vAlign w:val="bottom"/>
          </w:tcPr>
          <w:p>
            <w:pPr>
              <w:jc w:val="center"/>
              <w:spacing w:after="0"/>
              <w:rPr>
                <w:sz w:val="20"/>
                <w:szCs w:val="20"/>
                <w:color w:val="auto"/>
              </w:rPr>
            </w:pPr>
            <w:r>
              <w:rPr>
                <w:rFonts w:ascii="Arial" w:cs="Arial" w:eastAsia="Arial" w:hAnsi="Arial"/>
                <w:sz w:val="14"/>
                <w:szCs w:val="14"/>
                <w:color w:val="auto"/>
                <w:w w:val="95"/>
              </w:rPr>
              <w:t>(State or other jurisdiction of incorporation)</w:t>
            </w:r>
          </w:p>
        </w:tc>
        <w:tc>
          <w:tcPr>
            <w:tcW w:w="5440" w:type="dxa"/>
            <w:vAlign w:val="bottom"/>
          </w:tcPr>
          <w:p>
            <w:pPr>
              <w:jc w:val="center"/>
              <w:ind w:left="3259"/>
              <w:spacing w:after="0"/>
              <w:rPr>
                <w:sz w:val="20"/>
                <w:szCs w:val="20"/>
                <w:color w:val="auto"/>
              </w:rPr>
            </w:pPr>
            <w:r>
              <w:rPr>
                <w:rFonts w:ascii="Arial" w:cs="Arial" w:eastAsia="Arial" w:hAnsi="Arial"/>
                <w:sz w:val="14"/>
                <w:szCs w:val="14"/>
                <w:color w:val="auto"/>
                <w:w w:val="97"/>
              </w:rPr>
              <w:t>(I.R.S. Employer Identification No.)</w:t>
            </w:r>
          </w:p>
        </w:tc>
      </w:tr>
      <w:tr>
        <w:trPr>
          <w:trHeight w:val="439"/>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2000 Technology Parkway</w:t>
            </w:r>
          </w:p>
        </w:tc>
        <w:tc>
          <w:tcPr>
            <w:tcW w:w="5440" w:type="dxa"/>
            <w:vAlign w:val="bottom"/>
          </w:tcPr>
          <w:p>
            <w:pPr>
              <w:jc w:val="right"/>
              <w:ind w:right="739"/>
              <w:spacing w:after="0"/>
              <w:rPr>
                <w:sz w:val="20"/>
                <w:szCs w:val="20"/>
                <w:color w:val="auto"/>
              </w:rPr>
            </w:pPr>
            <w:r>
              <w:rPr>
                <w:rFonts w:ascii="Arial" w:cs="Arial" w:eastAsia="Arial" w:hAnsi="Arial"/>
                <w:sz w:val="18"/>
                <w:szCs w:val="18"/>
                <w:b w:val="1"/>
                <w:bCs w:val="1"/>
                <w:color w:val="auto"/>
              </w:rPr>
              <w:t>14513</w:t>
            </w:r>
          </w:p>
        </w:tc>
      </w:tr>
      <w:tr>
        <w:trPr>
          <w:trHeight w:val="23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3"/>
              </w:rPr>
              <w:t>Newark, New York</w:t>
            </w:r>
          </w:p>
        </w:tc>
        <w:tc>
          <w:tcPr>
            <w:tcW w:w="5440" w:type="dxa"/>
            <w:vAlign w:val="bottom"/>
          </w:tcPr>
          <w:p>
            <w:pPr>
              <w:jc w:val="center"/>
              <w:ind w:left="3259"/>
              <w:spacing w:after="0"/>
              <w:rPr>
                <w:sz w:val="20"/>
                <w:szCs w:val="20"/>
                <w:color w:val="auto"/>
              </w:rPr>
            </w:pPr>
            <w:r>
              <w:rPr>
                <w:rFonts w:ascii="Arial" w:cs="Arial" w:eastAsia="Arial" w:hAnsi="Arial"/>
                <w:sz w:val="14"/>
                <w:szCs w:val="14"/>
                <w:color w:val="auto"/>
                <w:w w:val="93"/>
              </w:rPr>
              <w:t>(Zip Code)</w:t>
            </w:r>
          </w:p>
        </w:tc>
      </w:tr>
      <w:tr>
        <w:trPr>
          <w:trHeight w:val="191"/>
        </w:trPr>
        <w:tc>
          <w:tcPr>
            <w:tcW w:w="258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5440" w:type="dxa"/>
            <w:vAlign w:val="bottom"/>
          </w:tcPr>
          <w:p>
            <w:pPr>
              <w:spacing w:after="0"/>
              <w:rPr>
                <w:sz w:val="16"/>
                <w:szCs w:val="16"/>
                <w:color w:val="auto"/>
              </w:rPr>
            </w:pPr>
          </w:p>
        </w:tc>
      </w:tr>
      <w:tr>
        <w:trPr>
          <w:trHeight w:val="242"/>
        </w:trPr>
        <w:tc>
          <w:tcPr>
            <w:tcW w:w="2580" w:type="dxa"/>
            <w:vAlign w:val="bottom"/>
          </w:tcPr>
          <w:p>
            <w:pPr>
              <w:spacing w:after="0"/>
              <w:rPr>
                <w:sz w:val="21"/>
                <w:szCs w:val="21"/>
                <w:color w:val="auto"/>
              </w:rPr>
            </w:pPr>
          </w:p>
        </w:tc>
        <w:tc>
          <w:tcPr>
            <w:tcW w:w="5440" w:type="dxa"/>
            <w:vAlign w:val="bottom"/>
          </w:tcPr>
          <w:p>
            <w:pPr>
              <w:jc w:val="right"/>
              <w:ind w:right="2979"/>
              <w:spacing w:after="0"/>
              <w:rPr>
                <w:sz w:val="20"/>
                <w:szCs w:val="20"/>
                <w:color w:val="auto"/>
              </w:rPr>
            </w:pPr>
            <w:r>
              <w:rPr>
                <w:rFonts w:ascii="Arial" w:cs="Arial" w:eastAsia="Arial" w:hAnsi="Arial"/>
                <w:sz w:val="18"/>
                <w:szCs w:val="18"/>
                <w:color w:val="auto"/>
              </w:rPr>
              <w:t>___________________</w:t>
            </w:r>
          </w:p>
        </w:tc>
      </w:tr>
    </w:tbl>
    <w:p>
      <w:pPr>
        <w:spacing w:after="0" w:line="21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(315) 332-7100</w:t>
      </w:r>
    </w:p>
    <w:p>
      <w:pPr>
        <w:spacing w:after="0" w:line="26"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w:t>
      </w:r>
    </w:p>
    <w:p>
      <w:pPr>
        <w:spacing w:after="0" w:line="235" w:lineRule="exact"/>
        <w:rPr>
          <w:sz w:val="24"/>
          <w:szCs w:val="24"/>
          <w:color w:val="auto"/>
        </w:rPr>
      </w:pPr>
    </w:p>
    <w:p>
      <w:pPr>
        <w:ind w:right="40" w:firstLine="486"/>
        <w:spacing w:after="0" w:line="21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260" w:firstLine="486"/>
        <w:spacing w:after="0" w:line="21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1" w:lineRule="exact"/>
        <w:rPr>
          <w:sz w:val="24"/>
          <w:szCs w:val="24"/>
          <w:color w:val="auto"/>
        </w:rPr>
      </w:pPr>
    </w:p>
    <w:p>
      <w:pPr>
        <w:ind w:left="80" w:firstLine="405"/>
        <w:spacing w:after="0" w:line="235"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71"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9" w:lineRule="exact"/>
        <w:rPr>
          <w:sz w:val="24"/>
          <w:szCs w:val="24"/>
          <w:color w:val="auto"/>
        </w:rPr>
      </w:pPr>
    </w:p>
    <w:p>
      <w:pPr>
        <w:ind w:left="500"/>
        <w:spacing w:after="0"/>
        <w:rPr>
          <w:sz w:val="20"/>
          <w:szCs w:val="20"/>
          <w:color w:val="auto"/>
        </w:rPr>
      </w:pPr>
      <w:r>
        <w:rPr>
          <w:rFonts w:ascii="Arial" w:cs="Arial" w:eastAsia="Arial" w:hAnsi="Arial"/>
          <w:sz w:val="16"/>
          <w:szCs w:val="16"/>
          <w:color w:val="auto"/>
        </w:rPr>
        <w:t>The number of shares outstanding of the registrant's common stock was 17,397,010, net of 1,544,534 treasury shares, as of October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240" w:top="324"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gridSpan w:val="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660" w:type="dxa"/>
            <w:vAlign w:val="bottom"/>
            <w:gridSpan w:val="17"/>
            <w:vMerge w:val="restart"/>
          </w:tcPr>
          <w:p>
            <w:pPr>
              <w:ind w:left="60"/>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00" w:type="dxa"/>
            <w:vAlign w:val="bottom"/>
            <w:gridSpan w:val="4"/>
          </w:tcPr>
          <w:p>
            <w:pPr>
              <w:ind w:left="36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196"/>
        </w:trPr>
        <w:tc>
          <w:tcPr>
            <w:tcW w:w="660" w:type="dxa"/>
            <w:vAlign w:val="bottom"/>
            <w:gridSpan w:val="2"/>
            <w:vMerge w:val="continue"/>
          </w:tcPr>
          <w:p>
            <w:pPr>
              <w:spacing w:after="0"/>
              <w:rPr>
                <w:sz w:val="17"/>
                <w:szCs w:val="17"/>
                <w:color w:val="auto"/>
              </w:rPr>
            </w:pPr>
          </w:p>
        </w:tc>
        <w:tc>
          <w:tcPr>
            <w:tcW w:w="9660" w:type="dxa"/>
            <w:vAlign w:val="bottom"/>
            <w:gridSpan w:val="17"/>
            <w:vMerge w:val="continue"/>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28, 2014 and December 31, 2013 (unaudited)</w:t>
              </w:r>
            </w:hyperlink>
          </w:p>
        </w:tc>
        <w:tc>
          <w:tcPr>
            <w:tcW w:w="1980" w:type="dxa"/>
            <w:vAlign w:val="bottom"/>
            <w:gridSpan w:val="3"/>
          </w:tcPr>
          <w:p>
            <w:pPr>
              <w:spacing w:after="0"/>
              <w:rPr>
                <w:sz w:val="24"/>
                <w:szCs w:val="24"/>
                <w:color w:val="auto"/>
              </w:rPr>
            </w:pPr>
          </w:p>
        </w:tc>
        <w:tc>
          <w:tcPr>
            <w:tcW w:w="48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80" w:type="dxa"/>
            <w:vAlign w:val="bottom"/>
            <w:gridSpan w:val="16"/>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Operations and Comprehensive Income (Loss) for the Three and Nine Month Periods</w:t>
              </w:r>
            </w:hyperlink>
          </w:p>
        </w:tc>
        <w:tc>
          <w:tcPr>
            <w:tcW w:w="620" w:type="dxa"/>
            <w:vAlign w:val="bottom"/>
            <w:gridSpan w:val="3"/>
          </w:tcPr>
          <w:p>
            <w:pPr>
              <w:jc w:val="center"/>
              <w:ind w:left="3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1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September 28, 2014 and June 30, 2013 (unaudited)</w:t>
              </w:r>
            </w:hyperlink>
          </w:p>
        </w:tc>
        <w:tc>
          <w:tcPr>
            <w:tcW w:w="4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80" w:type="dxa"/>
            <w:vAlign w:val="bottom"/>
            <w:gridSpan w:val="16"/>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Cash Flows for the Nine Month Periods Ended September 28, 2014 and June 30, 2013</w:t>
              </w:r>
            </w:hyperlink>
          </w:p>
        </w:tc>
        <w:tc>
          <w:tcPr>
            <w:tcW w:w="620" w:type="dxa"/>
            <w:vAlign w:val="bottom"/>
            <w:gridSpan w:val="3"/>
          </w:tcPr>
          <w:p>
            <w:pPr>
              <w:jc w:val="center"/>
              <w:ind w:left="3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(unaudited)</w:t>
              </w:r>
            </w:hyperlink>
          </w:p>
        </w:tc>
        <w:tc>
          <w:tcPr>
            <w:tcW w:w="7400" w:type="dxa"/>
            <w:vAlign w:val="bottom"/>
            <w:tcBorders>
              <w:top w:val="single" w:sz="8" w:color="0000EE"/>
            </w:tcBorders>
            <w:gridSpan w:val="12"/>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Consolidated Financial Statements</w:t>
              </w:r>
            </w:hyperlink>
          </w:p>
        </w:tc>
        <w:tc>
          <w:tcPr>
            <w:tcW w:w="5440" w:type="dxa"/>
            <w:vAlign w:val="bottom"/>
            <w:gridSpan w:val="8"/>
          </w:tcPr>
          <w:p>
            <w:pPr>
              <w:spacing w:after="0"/>
              <w:rPr>
                <w:sz w:val="24"/>
                <w:szCs w:val="24"/>
                <w:color w:val="auto"/>
              </w:rPr>
            </w:pPr>
          </w:p>
        </w:tc>
        <w:tc>
          <w:tcPr>
            <w:tcW w:w="48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8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3"/>
          </w:tcPr>
          <w:p>
            <w:pPr>
              <w:jc w:val="center"/>
              <w:ind w:left="35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8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8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620" w:type="dxa"/>
            <w:vAlign w:val="bottom"/>
            <w:gridSpan w:val="3"/>
          </w:tcPr>
          <w:p>
            <w:pPr>
              <w:jc w:val="center"/>
              <w:ind w:left="3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0" w:type="dxa"/>
            <w:vAlign w:val="bottom"/>
            <w:tcBorders>
              <w:bottom w:val="single" w:sz="8" w:color="0000EE"/>
            </w:tcBorders>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PART II</w:t>
              </w:r>
            </w:hyperlink>
          </w:p>
        </w:tc>
        <w:tc>
          <w:tcPr>
            <w:tcW w:w="2020" w:type="dxa"/>
            <w:vAlign w:val="bottom"/>
            <w:tcBorders>
              <w:bottom w:val="single" w:sz="8" w:color="0000EE"/>
            </w:tcBorders>
            <w:gridSpan w:val="5"/>
          </w:tcPr>
          <w:p>
            <w:pPr>
              <w:ind w:left="120"/>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OTHER INFORMATION</w:t>
              </w:r>
            </w:hyperlink>
          </w:p>
        </w:tc>
        <w:tc>
          <w:tcPr>
            <w:tcW w:w="764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8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620" w:type="dxa"/>
            <w:vAlign w:val="bottom"/>
            <w:gridSpan w:val="3"/>
          </w:tcPr>
          <w:p>
            <w:pPr>
              <w:jc w:val="center"/>
              <w:ind w:left="3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48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8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620" w:type="dxa"/>
            <w:vAlign w:val="bottom"/>
            <w:gridSpan w:val="3"/>
          </w:tcPr>
          <w:p>
            <w:pPr>
              <w:jc w:val="center"/>
              <w:ind w:left="3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120" w:type="dxa"/>
            <w:vAlign w:val="bottom"/>
            <w:tcBorders>
              <w:left w:val="single" w:sz="8" w:color="0000EE"/>
            </w:tcBorders>
            <w:gridSpan w:val="6"/>
            <w:shd w:val="clear" w:color="auto" w:fill="0000EE"/>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48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8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620" w:type="dxa"/>
            <w:vAlign w:val="bottom"/>
            <w:gridSpan w:val="3"/>
          </w:tcPr>
          <w:p>
            <w:pPr>
              <w:jc w:val="center"/>
              <w:ind w:left="35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360" w:type="dxa"/>
            <w:vAlign w:val="bottom"/>
            <w:gridSpan w:val="11"/>
          </w:tcPr>
          <w:p>
            <w:pPr>
              <w:spacing w:after="0" w:line="20" w:lineRule="exact"/>
              <w:rPr>
                <w:sz w:val="1"/>
                <w:szCs w:val="1"/>
                <w:color w:val="auto"/>
              </w:rPr>
            </w:pPr>
          </w:p>
        </w:tc>
        <w:tc>
          <w:tcPr>
            <w:tcW w:w="48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8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620" w:type="dxa"/>
            <w:vAlign w:val="bottom"/>
            <w:gridSpan w:val="3"/>
          </w:tcPr>
          <w:p>
            <w:pPr>
              <w:jc w:val="center"/>
              <w:ind w:left="35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360" w:type="dxa"/>
            <w:vAlign w:val="bottom"/>
            <w:gridSpan w:val="11"/>
          </w:tcPr>
          <w:p>
            <w:pPr>
              <w:spacing w:after="0" w:line="20" w:lineRule="exact"/>
              <w:rPr>
                <w:sz w:val="1"/>
                <w:szCs w:val="1"/>
                <w:color w:val="auto"/>
              </w:rPr>
            </w:pPr>
          </w:p>
        </w:tc>
        <w:tc>
          <w:tcPr>
            <w:tcW w:w="48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8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Index to Exhibits</w:t>
              </w:r>
            </w:hyperlink>
          </w:p>
        </w:tc>
        <w:tc>
          <w:tcPr>
            <w:tcW w:w="620" w:type="dxa"/>
            <w:vAlign w:val="bottom"/>
            <w:gridSpan w:val="3"/>
          </w:tcPr>
          <w:p>
            <w:pPr>
              <w:jc w:val="center"/>
              <w:ind w:left="35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1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 FINANCIAL INFORMATION</w:t>
      </w:r>
    </w:p>
    <w:tbl>
      <w:tblPr>
        <w:tblLayout w:type="fixed"/>
        <w:tblInd w:w="0" w:type="dxa"/>
        <w:tblCellMar>
          <w:top w:w="0" w:type="dxa"/>
          <w:left w:w="0" w:type="dxa"/>
          <w:bottom w:w="0" w:type="dxa"/>
          <w:right w:w="0" w:type="dxa"/>
        </w:tblCellMar>
      </w:tblPr>
      <w:tr>
        <w:trPr>
          <w:trHeight w:val="206"/>
        </w:trPr>
        <w:tc>
          <w:tcPr>
            <w:tcW w:w="4480" w:type="dxa"/>
            <w:vAlign w:val="bottom"/>
          </w:tcPr>
          <w:p>
            <w:pPr>
              <w:spacing w:after="0"/>
              <w:rPr>
                <w:sz w:val="20"/>
                <w:szCs w:val="20"/>
                <w:color w:val="auto"/>
              </w:rPr>
            </w:pPr>
            <w:r>
              <w:rPr>
                <w:rFonts w:ascii="Arial" w:cs="Arial" w:eastAsia="Arial" w:hAnsi="Arial"/>
                <w:sz w:val="14"/>
                <w:szCs w:val="14"/>
                <w:b w:val="1"/>
                <w:bCs w:val="1"/>
                <w:color w:val="auto"/>
              </w:rPr>
              <w:t>ITEM 1. CONDENSED CONSOLIDATED FINANCIAL STATEMENTS</w:t>
            </w:r>
          </w:p>
        </w:tc>
        <w:tc>
          <w:tcPr>
            <w:tcW w:w="24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gridSpan w:val="4"/>
          </w:tcPr>
          <w:p>
            <w:pPr>
              <w:jc w:val="center"/>
              <w:ind w:left="3808"/>
              <w:spacing w:after="0"/>
              <w:rPr>
                <w:sz w:val="20"/>
                <w:szCs w:val="20"/>
                <w:color w:val="auto"/>
              </w:rPr>
            </w:pPr>
            <w:r>
              <w:rPr>
                <w:rFonts w:ascii="Arial" w:cs="Arial" w:eastAsia="Arial" w:hAnsi="Arial"/>
                <w:sz w:val="14"/>
                <w:szCs w:val="14"/>
                <w:b w:val="1"/>
                <w:bCs w:val="1"/>
                <w:color w:val="auto"/>
              </w:rPr>
              <w:t>ULTRALIFE CORPORATION AND SUBSIDIARIES</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320" w:type="dxa"/>
            <w:vAlign w:val="bottom"/>
            <w:gridSpan w:val="3"/>
          </w:tcPr>
          <w:p>
            <w:pPr>
              <w:jc w:val="center"/>
              <w:ind w:left="3988"/>
              <w:spacing w:after="0" w:line="149" w:lineRule="exact"/>
              <w:rPr>
                <w:sz w:val="20"/>
                <w:szCs w:val="20"/>
                <w:color w:val="auto"/>
              </w:rPr>
            </w:pPr>
            <w:r>
              <w:rPr>
                <w:rFonts w:ascii="Arial" w:cs="Arial" w:eastAsia="Arial" w:hAnsi="Arial"/>
                <w:sz w:val="14"/>
                <w:szCs w:val="14"/>
                <w:b w:val="1"/>
                <w:bCs w:val="1"/>
                <w:color w:val="auto"/>
              </w:rPr>
              <w:t>CONSOLIDATED BALANCE SHEETS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(Dollars in Thousands)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4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ASSETS</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rPr>
              <w:t>September 28,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3"/>
          </w:tcPr>
          <w:p>
            <w:pPr>
              <w:ind w:left="100"/>
              <w:spacing w:after="0" w:line="142" w:lineRule="exact"/>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15,571</w:t>
            </w:r>
          </w:p>
        </w:tc>
        <w:tc>
          <w:tcPr>
            <w:tcW w:w="22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16,489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Trade accounts receivable, net of allowance for doubtful accounts of $289 and $288, respectively</w:t>
            </w:r>
          </w:p>
        </w:tc>
        <w:tc>
          <w:tcPr>
            <w:tcW w:w="220" w:type="dxa"/>
            <w:vAlign w:val="bottom"/>
          </w:tcPr>
          <w:p>
            <w:pPr>
              <w:spacing w:after="0"/>
              <w:rPr>
                <w:sz w:val="12"/>
                <w:szCs w:val="12"/>
                <w:color w:val="auto"/>
              </w:rPr>
            </w:pPr>
          </w:p>
        </w:tc>
        <w:tc>
          <w:tcPr>
            <w:tcW w:w="230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10,470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14,238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Inventories, net</w:t>
            </w:r>
          </w:p>
        </w:tc>
        <w:tc>
          <w:tcPr>
            <w:tcW w:w="2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28,500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2"/>
                <w:szCs w:val="12"/>
                <w:color w:val="auto"/>
              </w:rPr>
            </w:pPr>
          </w:p>
        </w:tc>
        <w:tc>
          <w:tcPr>
            <w:tcW w:w="230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1,515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Due from insurance company</w:t>
            </w:r>
          </w:p>
        </w:tc>
        <w:tc>
          <w:tcPr>
            <w:tcW w:w="2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428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20" w:type="dxa"/>
            <w:vAlign w:val="bottom"/>
            <w:gridSpan w:val="3"/>
          </w:tcPr>
          <w:p>
            <w:pPr>
              <w:ind w:left="24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4"/>
                <w:szCs w:val="14"/>
                <w:color w:val="auto"/>
              </w:rPr>
            </w:pPr>
          </w:p>
        </w:tc>
        <w:tc>
          <w:tcPr>
            <w:tcW w:w="2300" w:type="dxa"/>
            <w:vAlign w:val="bottom"/>
            <w:gridSpan w:val="2"/>
          </w:tcPr>
          <w:p>
            <w:pPr>
              <w:jc w:val="right"/>
              <w:ind w:right="1020"/>
              <w:spacing w:after="0"/>
              <w:rPr>
                <w:sz w:val="20"/>
                <w:szCs w:val="20"/>
                <w:color w:val="auto"/>
              </w:rPr>
            </w:pPr>
            <w:r>
              <w:rPr>
                <w:rFonts w:ascii="Arial" w:cs="Arial" w:eastAsia="Arial" w:hAnsi="Arial"/>
                <w:sz w:val="14"/>
                <w:szCs w:val="14"/>
                <w:color w:val="auto"/>
              </w:rPr>
              <w:t>86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Borders>
              <w:top w:val="single" w:sz="8" w:color="CCEEFF"/>
            </w:tcBorders>
            <w:gridSpan w:val="3"/>
            <w:shd w:val="clear" w:color="auto" w:fill="CCEEFF"/>
          </w:tcPr>
          <w:p>
            <w:pPr>
              <w:ind w:left="460"/>
              <w:spacing w:after="0" w:line="142" w:lineRule="exact"/>
              <w:rPr>
                <w:sz w:val="20"/>
                <w:szCs w:val="20"/>
                <w:color w:val="auto"/>
              </w:rPr>
            </w:pPr>
            <w:r>
              <w:rPr>
                <w:rFonts w:ascii="Arial" w:cs="Arial" w:eastAsia="Arial" w:hAnsi="Arial"/>
                <w:sz w:val="14"/>
                <w:szCs w:val="14"/>
                <w:color w:val="auto"/>
              </w:rPr>
              <w:t>Total current assets</w:t>
            </w:r>
          </w:p>
        </w:tc>
        <w:tc>
          <w:tcPr>
            <w:tcW w:w="2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56,570</w:t>
            </w:r>
          </w:p>
        </w:tc>
        <w:tc>
          <w:tcPr>
            <w:tcW w:w="10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58,658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Property, equipment and improvements, net</w:t>
            </w:r>
          </w:p>
        </w:tc>
        <w:tc>
          <w:tcPr>
            <w:tcW w:w="220" w:type="dxa"/>
            <w:vAlign w:val="bottom"/>
          </w:tcPr>
          <w:p>
            <w:pPr>
              <w:spacing w:after="0"/>
              <w:rPr>
                <w:sz w:val="12"/>
                <w:szCs w:val="12"/>
                <w:color w:val="auto"/>
              </w:rPr>
            </w:pPr>
          </w:p>
        </w:tc>
        <w:tc>
          <w:tcPr>
            <w:tcW w:w="230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9,897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10,202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16,407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Other intangible assets, net</w:t>
            </w:r>
          </w:p>
        </w:tc>
        <w:tc>
          <w:tcPr>
            <w:tcW w:w="220" w:type="dxa"/>
            <w:vAlign w:val="bottom"/>
          </w:tcPr>
          <w:p>
            <w:pPr>
              <w:spacing w:after="0"/>
              <w:rPr>
                <w:sz w:val="12"/>
                <w:szCs w:val="12"/>
                <w:color w:val="auto"/>
              </w:rPr>
            </w:pPr>
          </w:p>
        </w:tc>
        <w:tc>
          <w:tcPr>
            <w:tcW w:w="230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4,413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Security deposits and other non-current assets</w:t>
            </w:r>
          </w:p>
        </w:tc>
        <w:tc>
          <w:tcPr>
            <w:tcW w:w="2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jc w:val="right"/>
              <w:ind w:right="1020"/>
              <w:spacing w:after="0"/>
              <w:rPr>
                <w:sz w:val="20"/>
                <w:szCs w:val="20"/>
                <w:color w:val="auto"/>
              </w:rPr>
            </w:pPr>
            <w:r>
              <w:rPr>
                <w:rFonts w:ascii="Arial" w:cs="Arial" w:eastAsia="Arial" w:hAnsi="Arial"/>
                <w:sz w:val="14"/>
                <w:szCs w:val="14"/>
                <w:color w:val="auto"/>
              </w:rPr>
              <w:t>253</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gridSpan w:val="3"/>
          </w:tcPr>
          <w:p>
            <w:pPr>
              <w:ind w:left="460"/>
              <w:spacing w:after="0" w:line="155" w:lineRule="exact"/>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87,540</w:t>
            </w:r>
          </w:p>
        </w:tc>
        <w:tc>
          <w:tcPr>
            <w:tcW w:w="10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90,194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20" w:type="dxa"/>
            <w:vAlign w:val="bottom"/>
            <w:gridSpan w:val="3"/>
          </w:tcPr>
          <w:p>
            <w:pPr>
              <w:jc w:val="center"/>
              <w:ind w:left="4128"/>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7,142</w:t>
            </w:r>
          </w:p>
        </w:tc>
        <w:tc>
          <w:tcPr>
            <w:tcW w:w="22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Accrued compensation and related benefits</w:t>
            </w:r>
          </w:p>
        </w:tc>
        <w:tc>
          <w:tcPr>
            <w:tcW w:w="2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1,565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20" w:type="dxa"/>
            <w:vAlign w:val="bottom"/>
          </w:tcPr>
          <w:p>
            <w:pPr>
              <w:spacing w:after="0"/>
              <w:rPr>
                <w:sz w:val="12"/>
                <w:szCs w:val="12"/>
                <w:color w:val="auto"/>
              </w:rPr>
            </w:pPr>
          </w:p>
        </w:tc>
        <w:tc>
          <w:tcPr>
            <w:tcW w:w="230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3,278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3,111</w:t>
            </w:r>
          </w:p>
        </w:tc>
        <w:tc>
          <w:tcPr>
            <w:tcW w:w="0" w:type="dxa"/>
            <w:vAlign w:val="bottom"/>
          </w:tcPr>
          <w:p>
            <w:pPr>
              <w:spacing w:after="0"/>
              <w:rPr>
                <w:sz w:val="1"/>
                <w:szCs w:val="1"/>
                <w:color w:val="auto"/>
              </w:rPr>
            </w:pPr>
          </w:p>
        </w:tc>
      </w:tr>
      <w:tr>
        <w:trPr>
          <w:trHeight w:val="149"/>
        </w:trPr>
        <w:tc>
          <w:tcPr>
            <w:tcW w:w="732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Income taxes payable</w:t>
            </w:r>
          </w:p>
        </w:tc>
        <w:tc>
          <w:tcPr>
            <w:tcW w:w="2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20" w:type="dxa"/>
            <w:vAlign w:val="bottom"/>
            <w:gridSpan w:val="3"/>
          </w:tcPr>
          <w:p>
            <w:pPr>
              <w:ind w:left="24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4"/>
                <w:szCs w:val="14"/>
                <w:color w:val="auto"/>
              </w:rPr>
            </w:pPr>
          </w:p>
        </w:tc>
        <w:tc>
          <w:tcPr>
            <w:tcW w:w="2300" w:type="dxa"/>
            <w:vAlign w:val="bottom"/>
            <w:gridSpan w:val="2"/>
          </w:tcPr>
          <w:p>
            <w:pPr>
              <w:jc w:val="right"/>
              <w:ind w:right="1020"/>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Borders>
              <w:top w:val="single" w:sz="8" w:color="CCEEFF"/>
            </w:tcBorders>
            <w:gridSpan w:val="3"/>
            <w:shd w:val="clear" w:color="auto" w:fill="CCEEFF"/>
          </w:tcPr>
          <w:p>
            <w:pPr>
              <w:ind w:left="500"/>
              <w:spacing w:after="0" w:line="142" w:lineRule="exact"/>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12,034</w:t>
            </w:r>
          </w:p>
        </w:tc>
        <w:tc>
          <w:tcPr>
            <w:tcW w:w="10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12,175</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2"/>
                <w:szCs w:val="12"/>
                <w:color w:val="auto"/>
              </w:rPr>
            </w:pPr>
          </w:p>
        </w:tc>
        <w:tc>
          <w:tcPr>
            <w:tcW w:w="230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4,407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Other non-current liabilities</w:t>
            </w:r>
          </w:p>
        </w:tc>
        <w:tc>
          <w:tcPr>
            <w:tcW w:w="2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jc w:val="right"/>
              <w:ind w:right="1020"/>
              <w:spacing w:after="0"/>
              <w:rPr>
                <w:sz w:val="20"/>
                <w:szCs w:val="20"/>
                <w:color w:val="auto"/>
              </w:rPr>
            </w:pPr>
            <w:r>
              <w:rPr>
                <w:rFonts w:ascii="Arial" w:cs="Arial" w:eastAsia="Arial" w:hAnsi="Arial"/>
                <w:sz w:val="14"/>
                <w:szCs w:val="14"/>
                <w:color w:val="auto"/>
              </w:rPr>
              <w:t>89</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Borders>
              <w:bottom w:val="single" w:sz="8" w:color="CCEEFF"/>
            </w:tcBorders>
            <w:gridSpan w:val="3"/>
          </w:tcPr>
          <w:p>
            <w:pPr>
              <w:ind w:left="500"/>
              <w:spacing w:after="0" w:line="142" w:lineRule="exact"/>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16,530</w:t>
            </w: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16,549</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Commitments and contingencies (Note 10)</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Shareholders' equity:</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Preferred stock – par value $.10 per share; authorized 1,000,000 shares; none issued</w:t>
            </w:r>
          </w:p>
        </w:tc>
        <w:tc>
          <w:tcPr>
            <w:tcW w:w="2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732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Common stock – par value $.10 per share; authorized 40,000,000 shares; issued – 18,941,544 shares at</w:t>
            </w: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320" w:type="dxa"/>
            <w:vAlign w:val="bottom"/>
            <w:gridSpan w:val="3"/>
          </w:tcPr>
          <w:p>
            <w:pPr>
              <w:ind w:left="320"/>
              <w:spacing w:after="0"/>
              <w:rPr>
                <w:sz w:val="20"/>
                <w:szCs w:val="20"/>
                <w:color w:val="auto"/>
              </w:rPr>
            </w:pPr>
            <w:r>
              <w:rPr>
                <w:rFonts w:ascii="Arial" w:cs="Arial" w:eastAsia="Arial" w:hAnsi="Arial"/>
                <w:sz w:val="14"/>
                <w:szCs w:val="14"/>
                <w:color w:val="auto"/>
              </w:rPr>
              <w:t>September 28, 2014 and 18,851,579</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shares at December 31, 2013</w:t>
            </w:r>
          </w:p>
        </w:tc>
        <w:tc>
          <w:tcPr>
            <w:tcW w:w="2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1,894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Capital in excess of par value</w:t>
            </w:r>
          </w:p>
        </w:tc>
        <w:tc>
          <w:tcPr>
            <w:tcW w:w="220" w:type="dxa"/>
            <w:vAlign w:val="bottom"/>
          </w:tcPr>
          <w:p>
            <w:pPr>
              <w:spacing w:after="0"/>
              <w:rPr>
                <w:sz w:val="12"/>
                <w:szCs w:val="12"/>
                <w:color w:val="auto"/>
              </w:rPr>
            </w:pPr>
          </w:p>
        </w:tc>
        <w:tc>
          <w:tcPr>
            <w:tcW w:w="230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175,698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174,932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(97,773)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(94,804)</w:t>
            </w:r>
          </w:p>
        </w:tc>
        <w:tc>
          <w:tcPr>
            <w:tcW w:w="0" w:type="dxa"/>
            <w:vAlign w:val="bottom"/>
          </w:tcPr>
          <w:p>
            <w:pPr>
              <w:spacing w:after="0"/>
              <w:rPr>
                <w:sz w:val="1"/>
                <w:szCs w:val="1"/>
                <w:color w:val="auto"/>
              </w:rPr>
            </w:pPr>
          </w:p>
        </w:tc>
      </w:tr>
      <w:tr>
        <w:trPr>
          <w:trHeight w:val="149"/>
        </w:trPr>
        <w:tc>
          <w:tcPr>
            <w:tcW w:w="73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2"/>
                <w:szCs w:val="12"/>
                <w:color w:val="auto"/>
              </w:rPr>
            </w:pPr>
          </w:p>
        </w:tc>
        <w:tc>
          <w:tcPr>
            <w:tcW w:w="230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(450)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30"/>
        </w:trPr>
        <w:tc>
          <w:tcPr>
            <w:tcW w:w="732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Treasury stock - at cost; 1,544,534 shares at September 28, 2014 and 1,372,757 shares at December 31,</w:t>
            </w:r>
          </w:p>
        </w:tc>
        <w:tc>
          <w:tcPr>
            <w:tcW w:w="220" w:type="dxa"/>
            <w:vAlign w:val="bottom"/>
            <w:shd w:val="clear" w:color="auto" w:fill="CCEEFF"/>
          </w:tcPr>
          <w:p>
            <w:pPr>
              <w:spacing w:after="0"/>
              <w:rPr>
                <w:sz w:val="11"/>
                <w:szCs w:val="11"/>
                <w:color w:val="auto"/>
              </w:rPr>
            </w:pPr>
          </w:p>
        </w:tc>
        <w:tc>
          <w:tcPr>
            <w:tcW w:w="2300" w:type="dxa"/>
            <w:vAlign w:val="bottom"/>
            <w:gridSpan w:val="2"/>
            <w:vMerge w:val="restart"/>
            <w:shd w:val="clear" w:color="auto" w:fill="CCEEFF"/>
          </w:tcPr>
          <w:p>
            <w:pPr>
              <w:jc w:val="right"/>
              <w:ind w:right="960"/>
              <w:spacing w:after="0"/>
              <w:rPr>
                <w:sz w:val="20"/>
                <w:szCs w:val="20"/>
                <w:color w:val="auto"/>
              </w:rPr>
            </w:pPr>
            <w:r>
              <w:rPr>
                <w:rFonts w:ascii="Arial" w:cs="Arial" w:eastAsia="Arial" w:hAnsi="Arial"/>
                <w:sz w:val="14"/>
                <w:szCs w:val="14"/>
                <w:color w:val="auto"/>
              </w:rPr>
              <w:t>(8,247)</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(7,658)</w:t>
            </w:r>
          </w:p>
        </w:tc>
        <w:tc>
          <w:tcPr>
            <w:tcW w:w="0" w:type="dxa"/>
            <w:vAlign w:val="bottom"/>
          </w:tcPr>
          <w:p>
            <w:pPr>
              <w:spacing w:after="0"/>
              <w:rPr>
                <w:sz w:val="1"/>
                <w:szCs w:val="1"/>
                <w:color w:val="auto"/>
              </w:rPr>
            </w:pPr>
          </w:p>
        </w:tc>
      </w:tr>
      <w:tr>
        <w:trPr>
          <w:trHeight w:val="167"/>
        </w:trPr>
        <w:tc>
          <w:tcPr>
            <w:tcW w:w="44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2013</w:t>
            </w:r>
          </w:p>
        </w:tc>
        <w:tc>
          <w:tcPr>
            <w:tcW w:w="2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3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3"/>
          </w:tcPr>
          <w:p>
            <w:pPr>
              <w:ind w:left="460"/>
              <w:spacing w:after="0" w:line="142" w:lineRule="exact"/>
              <w:rPr>
                <w:sz w:val="20"/>
                <w:szCs w:val="20"/>
                <w:color w:val="auto"/>
              </w:rPr>
            </w:pPr>
            <w:r>
              <w:rPr>
                <w:rFonts w:ascii="Arial" w:cs="Arial" w:eastAsia="Arial" w:hAnsi="Arial"/>
                <w:sz w:val="14"/>
                <w:szCs w:val="14"/>
                <w:color w:val="auto"/>
              </w:rPr>
              <w:t>Total Ultralife equity</w:t>
            </w: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71,122</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73,744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2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jc w:val="right"/>
              <w:ind w:right="960"/>
              <w:spacing w:after="0"/>
              <w:rPr>
                <w:sz w:val="20"/>
                <w:szCs w:val="20"/>
                <w:color w:val="auto"/>
              </w:rPr>
            </w:pPr>
            <w:r>
              <w:rPr>
                <w:rFonts w:ascii="Arial" w:cs="Arial" w:eastAsia="Arial" w:hAnsi="Arial"/>
                <w:sz w:val="14"/>
                <w:szCs w:val="14"/>
                <w:color w:val="auto"/>
              </w:rPr>
              <w:t>(112)</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2"/>
        </w:trPr>
        <w:tc>
          <w:tcPr>
            <w:tcW w:w="7320" w:type="dxa"/>
            <w:vAlign w:val="bottom"/>
            <w:tcBorders>
              <w:bottom w:val="single" w:sz="8" w:color="CCEEFF"/>
            </w:tcBorders>
            <w:gridSpan w:val="3"/>
          </w:tcPr>
          <w:p>
            <w:pPr>
              <w:ind w:left="460"/>
              <w:spacing w:after="0" w:line="142" w:lineRule="exact"/>
              <w:rPr>
                <w:sz w:val="20"/>
                <w:szCs w:val="20"/>
                <w:color w:val="auto"/>
              </w:rPr>
            </w:pPr>
            <w:r>
              <w:rPr>
                <w:rFonts w:ascii="Arial" w:cs="Arial" w:eastAsia="Arial" w:hAnsi="Arial"/>
                <w:sz w:val="14"/>
                <w:szCs w:val="14"/>
                <w:color w:val="auto"/>
              </w:rPr>
              <w:t>Total shareholders’ equity</w:t>
            </w:r>
          </w:p>
        </w:tc>
        <w:tc>
          <w:tcPr>
            <w:tcW w:w="2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71,010</w:t>
            </w: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73,645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320" w:type="dxa"/>
            <w:vAlign w:val="bottom"/>
            <w:gridSpan w:val="3"/>
          </w:tcPr>
          <w:p>
            <w:pPr>
              <w:ind w:left="460"/>
              <w:spacing w:after="0"/>
              <w:rPr>
                <w:sz w:val="20"/>
                <w:szCs w:val="20"/>
                <w:color w:val="auto"/>
              </w:rPr>
            </w:pPr>
            <w:r>
              <w:rPr>
                <w:rFonts w:ascii="Arial" w:cs="Arial" w:eastAsia="Arial" w:hAnsi="Arial"/>
                <w:sz w:val="14"/>
                <w:szCs w:val="14"/>
                <w:color w:val="auto"/>
              </w:rPr>
              <w:t>Total liabilities and shareholders' equity</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1020"/>
              <w:spacing w:after="0"/>
              <w:rPr>
                <w:sz w:val="20"/>
                <w:szCs w:val="20"/>
                <w:color w:val="auto"/>
              </w:rPr>
            </w:pPr>
            <w:r>
              <w:rPr>
                <w:rFonts w:ascii="Arial" w:cs="Arial" w:eastAsia="Arial" w:hAnsi="Arial"/>
                <w:sz w:val="14"/>
                <w:szCs w:val="14"/>
                <w:color w:val="auto"/>
              </w:rPr>
              <w:t>87,540</w:t>
            </w: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90,194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11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3</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5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ULTRALIFE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 AND COMPREHENSIVE INCOME (LOSS)</w:t>
      </w:r>
    </w:p>
    <w:p>
      <w:pPr>
        <w:jc w:val="center"/>
        <w:spacing w:after="0" w:line="222" w:lineRule="auto"/>
        <w:rPr>
          <w:sz w:val="20"/>
          <w:szCs w:val="20"/>
          <w:color w:val="auto"/>
        </w:rPr>
      </w:pPr>
      <w:r>
        <w:rPr>
          <w:rFonts w:ascii="Arial" w:cs="Arial" w:eastAsia="Arial" w:hAnsi="Arial"/>
          <w:sz w:val="14"/>
          <w:szCs w:val="14"/>
          <w:b w:val="1"/>
          <w:bCs w:val="1"/>
          <w:color w:val="auto"/>
        </w:rPr>
        <w:t>(In Thousands except per share amounts)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 periods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6"/>
          </w:tcPr>
          <w:p>
            <w:pPr>
              <w:jc w:val="right"/>
              <w:ind w:right="659"/>
              <w:spacing w:after="0"/>
              <w:rPr>
                <w:sz w:val="20"/>
                <w:szCs w:val="20"/>
                <w:color w:val="auto"/>
              </w:rPr>
            </w:pPr>
            <w:r>
              <w:rPr>
                <w:rFonts w:ascii="Arial" w:cs="Arial" w:eastAsia="Arial" w:hAnsi="Arial"/>
                <w:sz w:val="14"/>
                <w:szCs w:val="14"/>
                <w:b w:val="1"/>
                <w:bCs w:val="1"/>
                <w:color w:val="auto"/>
              </w:rPr>
              <w:t>Nine month periods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September 28,</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September 29,</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8"/>
              </w:rPr>
              <w:t>September 28,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w w:val="98"/>
              </w:rPr>
              <w:t>September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Revenues</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16,062</w:t>
            </w:r>
          </w:p>
        </w:tc>
        <w:tc>
          <w:tcPr>
            <w:tcW w:w="5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20,361</w:t>
            </w:r>
          </w:p>
        </w:tc>
        <w:tc>
          <w:tcPr>
            <w:tcW w:w="5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46,546</w:t>
            </w:r>
          </w:p>
        </w:tc>
        <w:tc>
          <w:tcPr>
            <w:tcW w:w="4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58,659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80"/>
              <w:spacing w:after="0"/>
              <w:rPr>
                <w:sz w:val="20"/>
                <w:szCs w:val="20"/>
                <w:color w:val="auto"/>
              </w:rPr>
            </w:pPr>
            <w:r>
              <w:rPr>
                <w:rFonts w:ascii="Arial" w:cs="Arial" w:eastAsia="Arial" w:hAnsi="Arial"/>
                <w:sz w:val="14"/>
                <w:szCs w:val="14"/>
                <w:b w:val="1"/>
                <w:bCs w:val="1"/>
                <w:color w:val="auto"/>
              </w:rPr>
              <w:t>Cost of products sold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11,576</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14,234</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33,513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4"/>
                <w:szCs w:val="14"/>
                <w:color w:val="auto"/>
              </w:rPr>
              <w:t>41,631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top w:val="single" w:sz="8" w:color="CCEEFF"/>
            </w:tcBorders>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rPr>
              <w:t>Gross profit</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4,486</w:t>
            </w: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6,127</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13,033</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17,028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Operating expenses: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160"/>
              <w:spacing w:after="0" w:line="149" w:lineRule="exact"/>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1,014</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1,418</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4,010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4,456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3,527</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4,057</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11,498</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13,419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ind w:left="260"/>
              <w:spacing w:after="0" w:line="142" w:lineRule="exact"/>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4,541</w:t>
            </w: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5,475</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15,508</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17,875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Operating (loss) income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652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(2,475)</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Other (expense) income: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income</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160"/>
              <w:spacing w:after="0" w:line="149" w:lineRule="exact"/>
              <w:rPr>
                <w:sz w:val="20"/>
                <w:szCs w:val="20"/>
                <w:color w:val="auto"/>
              </w:rPr>
            </w:pPr>
            <w:r>
              <w:rPr>
                <w:rFonts w:ascii="Arial" w:cs="Arial" w:eastAsia="Arial" w:hAnsi="Arial"/>
                <w:sz w:val="14"/>
                <w:szCs w:val="14"/>
                <w:color w:val="auto"/>
              </w:rPr>
              <w:t>Interest and financing expense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Miscellaneous</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(Loss) income from continuing operations</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before income taxes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(2,744)</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80"/>
              <w:spacing w:after="0"/>
              <w:rPr>
                <w:sz w:val="20"/>
                <w:szCs w:val="20"/>
                <w:color w:val="auto"/>
              </w:rPr>
            </w:pPr>
            <w:r>
              <w:rPr>
                <w:rFonts w:ascii="Arial" w:cs="Arial" w:eastAsia="Arial" w:hAnsi="Arial"/>
                <w:sz w:val="14"/>
                <w:szCs w:val="14"/>
                <w:color w:val="auto"/>
              </w:rPr>
              <w:t>Income tax provision (benefit)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60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177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Net (loss) income from continuing operations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607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Income (loss) from discontinued operations, net of tax</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Net (loss) income</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(2,982)</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loss attributable to noncontrolling interest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Net (loss) income attributable to Ultralife</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Other comprehensive (loss) income:</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29</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164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0"/>
              <w:spacing w:after="0"/>
              <w:rPr>
                <w:sz w:val="20"/>
                <w:szCs w:val="20"/>
                <w:color w:val="auto"/>
              </w:rPr>
            </w:pPr>
            <w:r>
              <w:rPr>
                <w:rFonts w:ascii="Arial" w:cs="Arial" w:eastAsia="Arial" w:hAnsi="Arial"/>
                <w:sz w:val="14"/>
                <w:szCs w:val="14"/>
                <w:b w:val="1"/>
                <w:bCs w:val="1"/>
                <w:color w:val="auto"/>
              </w:rPr>
              <w:t>Comprehensive (loss) income attributable to Ultralife</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76" w:lineRule="exact"/>
              <w:rPr>
                <w:sz w:val="20"/>
                <w:szCs w:val="20"/>
                <w:color w:val="auto"/>
              </w:rPr>
            </w:pPr>
            <w:r>
              <w:rPr>
                <w:rFonts w:ascii="Arial" w:cs="Arial" w:eastAsia="Arial" w:hAnsi="Arial"/>
                <w:sz w:val="12"/>
                <w:szCs w:val="12"/>
                <w:color w:val="auto"/>
              </w:rPr>
              <w:t>(294</w:t>
            </w:r>
            <w:r>
              <w:rPr>
                <w:rFonts w:ascii="Arial" w:cs="Arial" w:eastAsia="Arial" w:hAnsi="Arial"/>
                <w:sz w:val="20"/>
                <w:szCs w:val="20"/>
                <w:color w:val="auto"/>
                <w:vertAlign w:val="superscript"/>
              </w:rPr>
              <w:t>)</w:t>
            </w: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8"/>
                <w:szCs w:val="18"/>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76" w:lineRule="exact"/>
              <w:rPr>
                <w:sz w:val="20"/>
                <w:szCs w:val="20"/>
                <w:color w:val="auto"/>
              </w:rPr>
            </w:pPr>
            <w:r>
              <w:rPr>
                <w:rFonts w:ascii="Arial" w:cs="Arial" w:eastAsia="Arial" w:hAnsi="Arial"/>
                <w:sz w:val="12"/>
                <w:szCs w:val="12"/>
                <w:color w:val="auto"/>
              </w:rPr>
              <w:t>(2,805</w:t>
            </w:r>
            <w:r>
              <w:rPr>
                <w:rFonts w:ascii="Arial" w:cs="Arial" w:eastAsia="Arial" w:hAnsi="Arial"/>
                <w:sz w:val="20"/>
                <w:szCs w:val="20"/>
                <w:color w:val="auto"/>
                <w:vertAlign w:val="superscript"/>
              </w:rPr>
              <w:t>)</w:t>
            </w:r>
          </w:p>
        </w:tc>
        <w:tc>
          <w:tcPr>
            <w:tcW w:w="4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9"/>
              <w:spacing w:after="0" w:line="176" w:lineRule="exact"/>
              <w:rPr>
                <w:sz w:val="20"/>
                <w:szCs w:val="20"/>
                <w:color w:val="auto"/>
              </w:rPr>
            </w:pPr>
            <w:r>
              <w:rPr>
                <w:rFonts w:ascii="Arial" w:cs="Arial" w:eastAsia="Arial" w:hAnsi="Arial"/>
                <w:sz w:val="12"/>
                <w:szCs w:val="12"/>
                <w:color w:val="auto"/>
              </w:rPr>
              <w:t>(942</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7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720" w:type="dxa"/>
            <w:vAlign w:val="bottom"/>
          </w:tcPr>
          <w:p>
            <w:pPr>
              <w:spacing w:after="0" w:line="126" w:lineRule="exact"/>
              <w:rPr>
                <w:sz w:val="20"/>
                <w:szCs w:val="20"/>
                <w:color w:val="auto"/>
              </w:rPr>
            </w:pPr>
            <w:r>
              <w:rPr>
                <w:rFonts w:ascii="Arial" w:cs="Arial" w:eastAsia="Arial" w:hAnsi="Arial"/>
                <w:sz w:val="14"/>
                <w:szCs w:val="14"/>
                <w:b w:val="1"/>
                <w:bCs w:val="1"/>
                <w:color w:val="auto"/>
                <w:w w:val="95"/>
              </w:rPr>
              <w:t>Net (loss) income per share attributable to Ultralife common shareholders</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ind w:left="160"/>
              <w:spacing w:after="0"/>
              <w:rPr>
                <w:sz w:val="20"/>
                <w:szCs w:val="20"/>
                <w:color w:val="auto"/>
              </w:rPr>
            </w:pPr>
            <w:r>
              <w:rPr>
                <w:rFonts w:ascii="Arial" w:cs="Arial" w:eastAsia="Arial" w:hAnsi="Arial"/>
                <w:sz w:val="14"/>
                <w:szCs w:val="14"/>
                <w:b w:val="1"/>
                <w:bCs w:val="1"/>
                <w:color w:val="auto"/>
              </w:rPr>
              <w:t>– basic:</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Continuing operations</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5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w:t>
            </w:r>
          </w:p>
        </w:tc>
        <w:tc>
          <w:tcPr>
            <w:tcW w:w="5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4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340"/>
              <w:spacing w:after="0"/>
              <w:rPr>
                <w:sz w:val="20"/>
                <w:szCs w:val="20"/>
                <w:color w:val="auto"/>
              </w:rPr>
            </w:pPr>
            <w:r>
              <w:rPr>
                <w:rFonts w:ascii="Arial" w:cs="Arial" w:eastAsia="Arial" w:hAnsi="Arial"/>
                <w:sz w:val="14"/>
                <w:szCs w:val="14"/>
                <w:color w:val="auto"/>
              </w:rPr>
              <w:t>Discontinued operations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Borders>
              <w:top w:val="single" w:sz="8" w:color="CCEEFF"/>
              <w:bottom w:val="single" w:sz="8" w:color="CCEEFF"/>
            </w:tcBorders>
            <w:shd w:val="clear" w:color="auto" w:fill="CCEEFF"/>
          </w:tcPr>
          <w:p>
            <w:pPr>
              <w:ind w:left="440"/>
              <w:spacing w:after="0" w:line="155" w:lineRule="exact"/>
              <w:rPr>
                <w:sz w:val="20"/>
                <w:szCs w:val="20"/>
                <w:color w:val="auto"/>
              </w:rPr>
            </w:pPr>
            <w:r>
              <w:rPr>
                <w:rFonts w:ascii="Arial" w:cs="Arial" w:eastAsia="Arial" w:hAnsi="Arial"/>
                <w:sz w:val="14"/>
                <w:szCs w:val="14"/>
                <w:color w:val="auto"/>
              </w:rPr>
              <w:t>Total</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(.02</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4"/>
              </w:rPr>
              <w:t>)</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4"/>
              </w:rPr>
              <w:t>)</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(.06</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7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5"/>
              </w:rPr>
              <w:t>Net (loss) income per share attributable to Ultralife common shareholders</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 diluted:</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340"/>
              <w:spacing w:after="0" w:line="149" w:lineRule="exact"/>
              <w:rPr>
                <w:sz w:val="20"/>
                <w:szCs w:val="20"/>
                <w:color w:val="auto"/>
              </w:rPr>
            </w:pPr>
            <w:r>
              <w:rPr>
                <w:rFonts w:ascii="Arial" w:cs="Arial" w:eastAsia="Arial" w:hAnsi="Arial"/>
                <w:sz w:val="14"/>
                <w:szCs w:val="14"/>
                <w:color w:val="auto"/>
              </w:rPr>
              <w:t>Continuing operations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.04</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Discontinued operations</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bottom w:val="single" w:sz="8" w:color="CCEEFF"/>
            </w:tcBorders>
          </w:tcPr>
          <w:p>
            <w:pPr>
              <w:ind w:left="440"/>
              <w:spacing w:after="0" w:line="155" w:lineRule="exact"/>
              <w:rPr>
                <w:sz w:val="20"/>
                <w:szCs w:val="20"/>
                <w:color w:val="auto"/>
              </w:rPr>
            </w:pPr>
            <w:r>
              <w:rPr>
                <w:rFonts w:ascii="Arial" w:cs="Arial" w:eastAsia="Arial" w:hAnsi="Arial"/>
                <w:sz w:val="14"/>
                <w:szCs w:val="14"/>
                <w:color w:val="auto"/>
              </w:rPr>
              <w:t>Total</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0"/>
              <w:spacing w:after="0"/>
              <w:rPr>
                <w:sz w:val="20"/>
                <w:szCs w:val="20"/>
                <w:color w:val="auto"/>
              </w:rPr>
            </w:pPr>
            <w:r>
              <w:rPr>
                <w:rFonts w:ascii="Arial" w:cs="Arial" w:eastAsia="Arial" w:hAnsi="Arial"/>
                <w:sz w:val="14"/>
                <w:szCs w:val="14"/>
                <w:b w:val="1"/>
                <w:bCs w:val="1"/>
                <w:color w:val="auto"/>
              </w:rPr>
              <w:t>Weighted average shares outstanding – basic</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17,490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17,467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17,510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4"/>
                <w:szCs w:val="14"/>
                <w:color w:val="auto"/>
              </w:rPr>
              <w:t>17,461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Borders>
              <w:top w:val="single" w:sz="8" w:color="CCEEFF"/>
              <w:bottom w:val="single" w:sz="8" w:color="CCEEFF"/>
            </w:tcBorders>
            <w:shd w:val="clear" w:color="auto" w:fill="CCEEFF"/>
          </w:tcPr>
          <w:p>
            <w:pPr>
              <w:ind w:left="80"/>
              <w:spacing w:after="0" w:line="129" w:lineRule="exact"/>
              <w:rPr>
                <w:sz w:val="20"/>
                <w:szCs w:val="20"/>
                <w:color w:val="auto"/>
              </w:rPr>
            </w:pPr>
            <w:r>
              <w:rPr>
                <w:rFonts w:ascii="Arial" w:cs="Arial" w:eastAsia="Arial" w:hAnsi="Arial"/>
                <w:sz w:val="14"/>
                <w:szCs w:val="14"/>
                <w:b w:val="1"/>
                <w:bCs w:val="1"/>
                <w:color w:val="auto"/>
              </w:rPr>
              <w:t>Weighted average shares outstanding – diluted</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110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17,532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10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11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4</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7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7540" w:type="dxa"/>
            <w:vAlign w:val="bottom"/>
            <w:gridSpan w:val="3"/>
          </w:tcPr>
          <w:p>
            <w:pPr>
              <w:jc w:val="center"/>
              <w:ind w:left="3808"/>
              <w:spacing w:after="0"/>
              <w:rPr>
                <w:sz w:val="20"/>
                <w:szCs w:val="20"/>
                <w:color w:val="auto"/>
              </w:rPr>
            </w:pPr>
            <w:r>
              <w:rPr>
                <w:rFonts w:ascii="Arial" w:cs="Arial" w:eastAsia="Arial" w:hAnsi="Arial"/>
                <w:sz w:val="14"/>
                <w:szCs w:val="14"/>
                <w:b w:val="1"/>
                <w:bCs w:val="1"/>
                <w:color w:val="auto"/>
              </w:rPr>
              <w:t>ULTRALIFE CORPORATION AND SUBSIDIARIES</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540" w:type="dxa"/>
            <w:vAlign w:val="bottom"/>
            <w:gridSpan w:val="3"/>
          </w:tcPr>
          <w:p>
            <w:pPr>
              <w:jc w:val="center"/>
              <w:ind w:left="3768"/>
              <w:spacing w:after="0" w:line="149" w:lineRule="exact"/>
              <w:rPr>
                <w:sz w:val="20"/>
                <w:szCs w:val="20"/>
                <w:color w:val="auto"/>
              </w:rPr>
            </w:pPr>
            <w:r>
              <w:rPr>
                <w:rFonts w:ascii="Arial" w:cs="Arial" w:eastAsia="Arial" w:hAnsi="Arial"/>
                <w:sz w:val="14"/>
                <w:szCs w:val="14"/>
                <w:b w:val="1"/>
                <w:bCs w:val="1"/>
                <w:color w:val="auto"/>
              </w:rPr>
              <w:t>CONSOLIDATED STATEMENTS OF CASH FLOWS</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760" w:type="dxa"/>
            <w:vAlign w:val="bottom"/>
            <w:gridSpan w:val="2"/>
          </w:tcPr>
          <w:p>
            <w:pPr>
              <w:jc w:val="center"/>
              <w:ind w:right="828"/>
              <w:spacing w:after="0" w:line="149" w:lineRule="exact"/>
              <w:rPr>
                <w:sz w:val="20"/>
                <w:szCs w:val="20"/>
                <w:color w:val="auto"/>
              </w:rPr>
            </w:pPr>
            <w:r>
              <w:rPr>
                <w:rFonts w:ascii="Arial" w:cs="Arial" w:eastAsia="Arial" w:hAnsi="Arial"/>
                <w:sz w:val="14"/>
                <w:szCs w:val="14"/>
                <w:b w:val="1"/>
                <w:bCs w:val="1"/>
                <w:color w:val="auto"/>
                <w:w w:val="93"/>
              </w:rPr>
              <w:t>(In Thousands)</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2760" w:type="dxa"/>
            <w:vAlign w:val="bottom"/>
            <w:gridSpan w:val="2"/>
          </w:tcPr>
          <w:p>
            <w:pPr>
              <w:jc w:val="center"/>
              <w:ind w:right="808"/>
              <w:spacing w:after="0"/>
              <w:rPr>
                <w:sz w:val="20"/>
                <w:szCs w:val="20"/>
                <w:color w:val="auto"/>
              </w:rPr>
            </w:pPr>
            <w:r>
              <w:rPr>
                <w:rFonts w:ascii="Arial" w:cs="Arial" w:eastAsia="Arial" w:hAnsi="Arial"/>
                <w:sz w:val="14"/>
                <w:szCs w:val="14"/>
                <w:b w:val="1"/>
                <w:bCs w:val="1"/>
                <w:color w:val="auto"/>
                <w:w w:val="94"/>
              </w:rPr>
              <w:t>(unaudited)</w:t>
            </w:r>
          </w:p>
        </w:tc>
        <w:tc>
          <w:tcPr>
            <w:tcW w:w="2640" w:type="dxa"/>
            <w:vAlign w:val="bottom"/>
            <w:gridSpan w:val="4"/>
            <w:vMerge w:val="restart"/>
          </w:tcPr>
          <w:p>
            <w:pPr>
              <w:ind w:left="1020"/>
              <w:spacing w:after="0"/>
              <w:rPr>
                <w:sz w:val="20"/>
                <w:szCs w:val="20"/>
                <w:color w:val="auto"/>
              </w:rPr>
            </w:pPr>
            <w:r>
              <w:rPr>
                <w:rFonts w:ascii="Arial" w:cs="Arial" w:eastAsia="Arial" w:hAnsi="Arial"/>
                <w:sz w:val="14"/>
                <w:szCs w:val="14"/>
                <w:b w:val="1"/>
                <w:bCs w:val="1"/>
                <w:color w:val="auto"/>
                <w:w w:val="90"/>
              </w:rPr>
              <w:t>Nine month periods ended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47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124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w w:val="89"/>
              </w:rPr>
              <w:t>September 29,</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September 28,</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OPERATING ACTIVITIES:</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ind w:left="180"/>
              <w:spacing w:after="0" w:line="149" w:lineRule="exact"/>
              <w:rPr>
                <w:sz w:val="20"/>
                <w:szCs w:val="20"/>
                <w:color w:val="auto"/>
              </w:rPr>
            </w:pPr>
            <w:r>
              <w:rPr>
                <w:rFonts w:ascii="Arial" w:cs="Arial" w:eastAsia="Arial" w:hAnsi="Arial"/>
                <w:sz w:val="14"/>
                <w:szCs w:val="14"/>
                <w:color w:val="auto"/>
              </w:rPr>
              <w:t>Net loss</w:t>
            </w:r>
          </w:p>
        </w:tc>
        <w:tc>
          <w:tcPr>
            <w:tcW w:w="27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(2,982)</w:t>
            </w:r>
          </w:p>
        </w:tc>
        <w:tc>
          <w:tcPr>
            <w:tcW w:w="12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Loss (gain) from discontinued operations, net of tax</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61</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4780" w:type="dxa"/>
            <w:vAlign w:val="bottom"/>
          </w:tcPr>
          <w:p>
            <w:pPr>
              <w:ind w:left="160"/>
              <w:spacing w:after="0" w:line="149" w:lineRule="exact"/>
              <w:rPr>
                <w:sz w:val="20"/>
                <w:szCs w:val="20"/>
                <w:color w:val="auto"/>
              </w:rPr>
            </w:pPr>
            <w:r>
              <w:rPr>
                <w:rFonts w:ascii="Arial" w:cs="Arial" w:eastAsia="Arial" w:hAnsi="Arial"/>
                <w:sz w:val="14"/>
                <w:szCs w:val="14"/>
                <w:color w:val="auto"/>
              </w:rPr>
              <w:t>Adjustments to reconcile net loss from continuing operations to net cash</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provided by operating activities:</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 of financing fees</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2,227</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2,331</w:t>
            </w: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Amortization of intangible assets</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232</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49"/>
        </w:trPr>
        <w:tc>
          <w:tcPr>
            <w:tcW w:w="4780" w:type="dxa"/>
            <w:vAlign w:val="bottom"/>
          </w:tcPr>
          <w:p>
            <w:pPr>
              <w:ind w:left="400"/>
              <w:spacing w:after="0" w:line="149" w:lineRule="exact"/>
              <w:rPr>
                <w:sz w:val="20"/>
                <w:szCs w:val="20"/>
                <w:color w:val="auto"/>
              </w:rPr>
            </w:pPr>
            <w:r>
              <w:rPr>
                <w:rFonts w:ascii="Arial" w:cs="Arial" w:eastAsia="Arial" w:hAnsi="Arial"/>
                <w:sz w:val="14"/>
                <w:szCs w:val="14"/>
                <w:color w:val="auto"/>
              </w:rPr>
              <w:t>Loss on long-lived asset impairment</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08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Foreign exchange loss</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0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4780" w:type="dxa"/>
            <w:vAlign w:val="bottom"/>
          </w:tcPr>
          <w:p>
            <w:pPr>
              <w:ind w:left="400"/>
              <w:spacing w:after="0" w:line="149" w:lineRule="exact"/>
              <w:rPr>
                <w:sz w:val="20"/>
                <w:szCs w:val="20"/>
                <w:color w:val="auto"/>
              </w:rPr>
            </w:pPr>
            <w:r>
              <w:rPr>
                <w:rFonts w:ascii="Arial" w:cs="Arial" w:eastAsia="Arial" w:hAnsi="Arial"/>
                <w:sz w:val="14"/>
                <w:szCs w:val="14"/>
                <w:color w:val="auto"/>
              </w:rPr>
              <w:t>Stock-based compensation</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761</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Changes in deferred income taxes</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165</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4780" w:type="dxa"/>
            <w:vAlign w:val="bottom"/>
          </w:tcPr>
          <w:p>
            <w:pPr>
              <w:ind w:left="4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Accounts receivable</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3,755</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5,380</w:t>
            </w:r>
          </w:p>
        </w:tc>
        <w:tc>
          <w:tcPr>
            <w:tcW w:w="0" w:type="dxa"/>
            <w:vAlign w:val="bottom"/>
          </w:tcPr>
          <w:p>
            <w:pPr>
              <w:spacing w:after="0"/>
              <w:rPr>
                <w:sz w:val="1"/>
                <w:szCs w:val="1"/>
                <w:color w:val="auto"/>
              </w:rPr>
            </w:pPr>
          </w:p>
        </w:tc>
      </w:tr>
      <w:tr>
        <w:trPr>
          <w:trHeight w:val="149"/>
        </w:trPr>
        <w:tc>
          <w:tcPr>
            <w:tcW w:w="4780" w:type="dxa"/>
            <w:vAlign w:val="bottom"/>
          </w:tcPr>
          <w:p>
            <w:pPr>
              <w:ind w:left="500"/>
              <w:spacing w:after="0" w:line="149" w:lineRule="exact"/>
              <w:rPr>
                <w:sz w:val="20"/>
                <w:szCs w:val="20"/>
                <w:color w:val="auto"/>
              </w:rPr>
            </w:pPr>
            <w:r>
              <w:rPr>
                <w:rFonts w:ascii="Arial" w:cs="Arial" w:eastAsia="Arial" w:hAnsi="Arial"/>
                <w:sz w:val="14"/>
                <w:szCs w:val="14"/>
                <w:color w:val="auto"/>
              </w:rPr>
              <w:t>Inventories</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(2,460)</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2,622</w:t>
            </w: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Prepaid expenses and other assets</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62"/>
        </w:trPr>
        <w:tc>
          <w:tcPr>
            <w:tcW w:w="4780" w:type="dxa"/>
            <w:vAlign w:val="bottom"/>
          </w:tcPr>
          <w:p>
            <w:pPr>
              <w:ind w:left="500"/>
              <w:spacing w:after="0"/>
              <w:rPr>
                <w:sz w:val="20"/>
                <w:szCs w:val="20"/>
                <w:color w:val="auto"/>
              </w:rPr>
            </w:pPr>
            <w:r>
              <w:rPr>
                <w:rFonts w:ascii="Arial" w:cs="Arial" w:eastAsia="Arial" w:hAnsi="Arial"/>
                <w:sz w:val="14"/>
                <w:szCs w:val="14"/>
                <w:color w:val="auto"/>
              </w:rPr>
              <w:t>Accounts payable and other liabilities</w:t>
            </w: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(1,057)</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9"/>
              <w:spacing w:after="0"/>
              <w:rPr>
                <w:sz w:val="20"/>
                <w:szCs w:val="20"/>
                <w:color w:val="auto"/>
              </w:rPr>
            </w:pPr>
            <w:r>
              <w:rPr>
                <w:rFonts w:ascii="Arial" w:cs="Arial" w:eastAsia="Arial" w:hAnsi="Arial"/>
                <w:sz w:val="14"/>
                <w:szCs w:val="14"/>
                <w:color w:val="auto"/>
              </w:rPr>
              <w:t>(7,818)</w:t>
            </w:r>
          </w:p>
        </w:tc>
        <w:tc>
          <w:tcPr>
            <w:tcW w:w="0" w:type="dxa"/>
            <w:vAlign w:val="bottom"/>
          </w:tcPr>
          <w:p>
            <w:pPr>
              <w:spacing w:after="0"/>
              <w:rPr>
                <w:sz w:val="1"/>
                <w:szCs w:val="1"/>
                <w:color w:val="auto"/>
              </w:rPr>
            </w:pPr>
          </w:p>
        </w:tc>
      </w:tr>
      <w:tr>
        <w:trPr>
          <w:trHeight w:val="142"/>
        </w:trPr>
        <w:tc>
          <w:tcPr>
            <w:tcW w:w="478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provided by operating activities from continuing operations</w:t>
            </w:r>
          </w:p>
        </w:tc>
        <w:tc>
          <w:tcPr>
            <w:tcW w:w="25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ind w:left="1080"/>
              <w:spacing w:after="0" w:line="142" w:lineRule="exact"/>
              <w:rPr>
                <w:sz w:val="20"/>
                <w:szCs w:val="20"/>
                <w:color w:val="auto"/>
              </w:rPr>
            </w:pPr>
            <w:r>
              <w:rPr>
                <w:rFonts w:ascii="Arial" w:cs="Arial" w:eastAsia="Arial" w:hAnsi="Arial"/>
                <w:sz w:val="14"/>
                <w:szCs w:val="14"/>
                <w:color w:val="auto"/>
                <w:w w:val="76"/>
              </w:rPr>
              <w:t>505</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2,399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80"/>
              <w:spacing w:after="0"/>
              <w:rPr>
                <w:sz w:val="20"/>
                <w:szCs w:val="20"/>
                <w:color w:val="auto"/>
              </w:rPr>
            </w:pPr>
            <w:r>
              <w:rPr>
                <w:rFonts w:ascii="Arial" w:cs="Arial" w:eastAsia="Arial" w:hAnsi="Arial"/>
                <w:sz w:val="14"/>
                <w:szCs w:val="14"/>
                <w:color w:val="auto"/>
              </w:rPr>
              <w:t>Net cash used in operating activities of discontinued operations</w:t>
            </w: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9"/>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42"/>
        </w:trPr>
        <w:tc>
          <w:tcPr>
            <w:tcW w:w="478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5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ind w:left="1080"/>
              <w:spacing w:after="0" w:line="142" w:lineRule="exact"/>
              <w:rPr>
                <w:sz w:val="20"/>
                <w:szCs w:val="20"/>
                <w:color w:val="auto"/>
              </w:rPr>
            </w:pPr>
            <w:r>
              <w:rPr>
                <w:rFonts w:ascii="Arial" w:cs="Arial" w:eastAsia="Arial" w:hAnsi="Arial"/>
                <w:sz w:val="14"/>
                <w:szCs w:val="14"/>
                <w:color w:val="auto"/>
                <w:w w:val="76"/>
              </w:rPr>
              <w:t>505</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INVESTING ACTIVITIES:</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ind w:left="180"/>
              <w:spacing w:after="0" w:line="149" w:lineRule="exact"/>
              <w:rPr>
                <w:sz w:val="20"/>
                <w:szCs w:val="20"/>
                <w:color w:val="auto"/>
              </w:rPr>
            </w:pPr>
            <w:r>
              <w:rPr>
                <w:rFonts w:ascii="Arial" w:cs="Arial" w:eastAsia="Arial" w:hAnsi="Arial"/>
                <w:sz w:val="14"/>
                <w:szCs w:val="14"/>
                <w:color w:val="auto"/>
              </w:rPr>
              <w:t>Cash paid for property, equipment and improvements</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(968)</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restricted cash</w:t>
            </w:r>
          </w:p>
        </w:tc>
        <w:tc>
          <w:tcPr>
            <w:tcW w:w="2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4780" w:type="dxa"/>
            <w:vAlign w:val="bottom"/>
          </w:tcPr>
          <w:p>
            <w:pPr>
              <w:ind w:left="180"/>
              <w:spacing w:after="0" w:line="142" w:lineRule="exact"/>
              <w:rPr>
                <w:sz w:val="20"/>
                <w:szCs w:val="20"/>
                <w:color w:val="auto"/>
              </w:rPr>
            </w:pPr>
            <w:r>
              <w:rPr>
                <w:rFonts w:ascii="Arial" w:cs="Arial" w:eastAsia="Arial" w:hAnsi="Arial"/>
                <w:sz w:val="14"/>
                <w:szCs w:val="14"/>
                <w:color w:val="auto"/>
              </w:rPr>
              <w:t>Net cash used in investing activities from continuing operations</w:t>
            </w:r>
          </w:p>
        </w:tc>
        <w:tc>
          <w:tcPr>
            <w:tcW w:w="2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(968)</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investing activities from discontinued operations</w:t>
            </w:r>
          </w:p>
        </w:tc>
        <w:tc>
          <w:tcPr>
            <w:tcW w:w="2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Net cash used in investing activities</w:t>
            </w:r>
          </w:p>
        </w:tc>
        <w:tc>
          <w:tcPr>
            <w:tcW w:w="25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(968</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(556</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47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FINANCING ACTIVITIES:</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 paid to repurchase treasury stock</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(589)</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78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11</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478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25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(578</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9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Effect of exchange rate changes on cash and cash equivalents</w:t>
            </w:r>
          </w:p>
        </w:tc>
        <w:tc>
          <w:tcPr>
            <w:tcW w:w="2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(DECREASE) INCREASE IN CASH AND CASH EQUIVALENTS</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 beginning of period</w:t>
            </w:r>
          </w:p>
        </w:tc>
        <w:tc>
          <w:tcPr>
            <w:tcW w:w="2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16,489</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9,656</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100"/>
              <w:spacing w:after="0" w:line="155" w:lineRule="exact"/>
              <w:rPr>
                <w:sz w:val="20"/>
                <w:szCs w:val="20"/>
                <w:color w:val="auto"/>
              </w:rPr>
            </w:pPr>
            <w:r>
              <w:rPr>
                <w:rFonts w:ascii="Arial" w:cs="Arial" w:eastAsia="Arial" w:hAnsi="Arial"/>
                <w:sz w:val="14"/>
                <w:szCs w:val="14"/>
                <w:color w:val="auto"/>
              </w:rPr>
              <w:t>Cash and cash equivalents, end of period</w:t>
            </w:r>
          </w:p>
        </w:tc>
        <w:tc>
          <w:tcPr>
            <w:tcW w:w="25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15,571</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10,365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7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NON-CASH ITEMS:</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40"/>
              <w:spacing w:after="0"/>
              <w:rPr>
                <w:sz w:val="20"/>
                <w:szCs w:val="20"/>
                <w:color w:val="auto"/>
              </w:rPr>
            </w:pPr>
            <w:r>
              <w:rPr>
                <w:rFonts w:ascii="Arial" w:cs="Arial" w:eastAsia="Arial" w:hAnsi="Arial"/>
                <w:sz w:val="14"/>
                <w:szCs w:val="14"/>
                <w:color w:val="auto"/>
              </w:rPr>
              <w:t>Construction in process in accounts payable</w:t>
            </w:r>
          </w:p>
        </w:tc>
        <w:tc>
          <w:tcPr>
            <w:tcW w:w="2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903</w:t>
            </w: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4780" w:type="dxa"/>
            <w:vAlign w:val="bottom"/>
            <w:tcBorders>
              <w:top w:val="single" w:sz="8" w:color="CCEEFF"/>
            </w:tcBorders>
            <w:shd w:val="clear" w:color="auto" w:fill="CCEEFF"/>
          </w:tcPr>
          <w:p>
            <w:pPr>
              <w:spacing w:after="0"/>
              <w:rPr>
                <w:sz w:val="11"/>
                <w:szCs w:val="11"/>
                <w:color w:val="auto"/>
              </w:rPr>
            </w:pPr>
          </w:p>
        </w:tc>
        <w:tc>
          <w:tcPr>
            <w:tcW w:w="25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8" w:lineRule="exact"/>
        <w:rPr>
          <w:sz w:val="20"/>
          <w:szCs w:val="20"/>
          <w:color w:val="auto"/>
        </w:rPr>
      </w:pPr>
    </w:p>
    <w:p>
      <w:pPr>
        <w:ind w:left="568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5</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64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ULTRALIFE CORPORATION</w:t>
      </w:r>
    </w:p>
    <w:p>
      <w:pPr>
        <w:spacing w:after="0" w:line="8" w:lineRule="exact"/>
        <w:rPr>
          <w:sz w:val="20"/>
          <w:szCs w:val="20"/>
          <w:color w:val="auto"/>
        </w:rPr>
      </w:pPr>
    </w:p>
    <w:p>
      <w:pPr>
        <w:jc w:val="center"/>
        <w:spacing w:after="0" w:line="231" w:lineRule="auto"/>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color w:val="auto"/>
        </w:rPr>
        <w:t>(Dollar and Renminbi amounts in thousands – except share and per share amounts) (unaudited)</w:t>
      </w:r>
    </w:p>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1.</w:t>
      </w:r>
      <w:r>
        <w:rPr>
          <w:sz w:val="20"/>
          <w:szCs w:val="20"/>
          <w:color w:val="auto"/>
        </w:rPr>
        <w:tab/>
      </w:r>
      <w:r>
        <w:rPr>
          <w:rFonts w:ascii="Arial" w:cs="Arial" w:eastAsia="Arial" w:hAnsi="Arial"/>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The accompanying unaudited Condensed Consolidated Financial Statements of Ultralife Corporation (the “Company”) and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Condensed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2013.</w:t>
      </w:r>
    </w:p>
    <w:p>
      <w:pPr>
        <w:spacing w:after="0" w:line="18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December 31, 2013 condensed consolidated balance sheet data was derived from audited financial statements, but does not include all disclosures required by GAAP.</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5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20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2.</w:t>
      </w:r>
      <w:r>
        <w:rPr>
          <w:sz w:val="20"/>
          <w:szCs w:val="20"/>
          <w:color w:val="auto"/>
        </w:rPr>
        <w:tab/>
      </w:r>
      <w:r>
        <w:rPr>
          <w:rFonts w:ascii="Arial" w:cs="Arial" w:eastAsia="Arial" w:hAnsi="Arial"/>
          <w:sz w:val="18"/>
          <w:szCs w:val="18"/>
          <w:b w:val="1"/>
          <w:bCs w:val="1"/>
          <w:i w:val="1"/>
          <w:iCs w:val="1"/>
          <w:color w:val="auto"/>
        </w:rPr>
        <w:t>SHARE REPURCHASE PROGRAM</w:t>
      </w:r>
    </w:p>
    <w:p>
      <w:pPr>
        <w:spacing w:after="0" w:line="202"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On April 28, 2014, the Company’s Board of Directors approved a share repurchase program (the “Share Repurchase Program”) which became effective on May 1, 2014, under which the Company has the authorization to repurchase up to 1.8 million shares of its outstanding common stock over a period not to exceed twelve months. Share repurchases will be made in accordance with SEC Rule 10b-18 using a variety of methods, which may include open market purchases, privately negotiated transactions and block trades, or any combination of such methods, in accordance with applicable insider trading and other securities laws and regulations. The timing, manner, price and amount of any repurchase will be determined at the Company’s discretion and the Share Repurchase Program may be suspended, terminated or modified by the Company at any time and for any reason. The Share Repurchase Program does not obligate the Company to repurchase any specific number of shares.</w:t>
      </w:r>
    </w:p>
    <w:p>
      <w:pPr>
        <w:spacing w:after="0" w:line="21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During the three month period ended September 28, 2014, the Company repurchased 160,557 shares under this program, for an aggregate cost of $550.</w:t>
      </w:r>
    </w:p>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3.</w:t>
      </w:r>
      <w:r>
        <w:rPr>
          <w:sz w:val="20"/>
          <w:szCs w:val="20"/>
          <w:color w:val="auto"/>
        </w:rPr>
        <w:tab/>
      </w:r>
      <w:r>
        <w:rPr>
          <w:rFonts w:ascii="Arial" w:cs="Arial" w:eastAsia="Arial" w:hAnsi="Arial"/>
          <w:sz w:val="19"/>
          <w:szCs w:val="19"/>
          <w:b w:val="1"/>
          <w:bCs w:val="1"/>
          <w:i w:val="1"/>
          <w:iCs w:val="1"/>
          <w:color w:val="auto"/>
        </w:rPr>
        <w:t>INVENTORIES</w:t>
      </w:r>
    </w:p>
    <w:p>
      <w:pPr>
        <w:spacing w:after="0" w:line="20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Inventories are stated at the lower of cost or market with cost determined under the first-in, first-out (FIFO) method. The composition of inventories was: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6</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5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auto"/>
                <w:w w:val="89"/>
              </w:rPr>
              <w:t>September 28,</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20"/>
                <w:szCs w:val="20"/>
                <w:b w:val="1"/>
                <w:bCs w:val="1"/>
                <w:color w:val="auto"/>
              </w:rPr>
              <w:t>December 31,</w:t>
            </w:r>
          </w:p>
        </w:tc>
      </w:tr>
      <w:tr>
        <w:trPr>
          <w:trHeight w:val="252"/>
        </w:trPr>
        <w:tc>
          <w:tcPr>
            <w:tcW w:w="7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2014</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2013</w:t>
            </w:r>
          </w:p>
        </w:tc>
        <w:tc>
          <w:tcPr>
            <w:tcW w:w="100" w:type="dxa"/>
            <w:vAlign w:val="bottom"/>
            <w:tcBorders>
              <w:bottom w:val="single" w:sz="8" w:color="auto"/>
            </w:tcBorders>
          </w:tcPr>
          <w:p>
            <w:pPr>
              <w:spacing w:after="0"/>
              <w:rPr>
                <w:sz w:val="21"/>
                <w:szCs w:val="21"/>
                <w:color w:val="auto"/>
              </w:rPr>
            </w:pPr>
          </w:p>
        </w:tc>
      </w:tr>
      <w:tr>
        <w:trPr>
          <w:trHeight w:val="223"/>
        </w:trPr>
        <w:tc>
          <w:tcPr>
            <w:tcW w:w="732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Raw materials</w:t>
            </w: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460" w:type="dxa"/>
            <w:vAlign w:val="bottom"/>
            <w:gridSpan w:val="2"/>
            <w:shd w:val="clear" w:color="auto" w:fill="CCEEFF"/>
          </w:tcPr>
          <w:p>
            <w:pPr>
              <w:jc w:val="right"/>
              <w:ind w:right="120"/>
              <w:spacing w:after="0" w:line="223" w:lineRule="exact"/>
              <w:rPr>
                <w:sz w:val="20"/>
                <w:szCs w:val="20"/>
                <w:color w:val="auto"/>
              </w:rPr>
            </w:pPr>
            <w:r>
              <w:rPr>
                <w:rFonts w:ascii="Arial" w:cs="Arial" w:eastAsia="Arial" w:hAnsi="Arial"/>
                <w:sz w:val="20"/>
                <w:szCs w:val="20"/>
                <w:color w:val="auto"/>
              </w:rPr>
              <w:t>16,749</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420" w:type="dxa"/>
            <w:vAlign w:val="bottom"/>
            <w:gridSpan w:val="2"/>
            <w:shd w:val="clear" w:color="auto" w:fill="CCEEFF"/>
          </w:tcPr>
          <w:p>
            <w:pPr>
              <w:jc w:val="right"/>
              <w:ind w:right="100"/>
              <w:spacing w:after="0" w:line="223" w:lineRule="exact"/>
              <w:rPr>
                <w:sz w:val="20"/>
                <w:szCs w:val="20"/>
                <w:color w:val="auto"/>
              </w:rPr>
            </w:pPr>
            <w:r>
              <w:rPr>
                <w:rFonts w:ascii="Arial" w:cs="Arial" w:eastAsia="Arial" w:hAnsi="Arial"/>
                <w:sz w:val="20"/>
                <w:szCs w:val="20"/>
                <w:color w:val="auto"/>
              </w:rPr>
              <w:t>16,239</w:t>
            </w:r>
          </w:p>
        </w:tc>
      </w:tr>
      <w:tr>
        <w:trPr>
          <w:trHeight w:val="230"/>
        </w:trPr>
        <w:tc>
          <w:tcPr>
            <w:tcW w:w="7320" w:type="dxa"/>
            <w:vAlign w:val="bottom"/>
          </w:tcPr>
          <w:p>
            <w:pPr>
              <w:ind w:left="100"/>
              <w:spacing w:after="0"/>
              <w:rPr>
                <w:sz w:val="20"/>
                <w:szCs w:val="20"/>
                <w:color w:val="auto"/>
              </w:rPr>
            </w:pPr>
            <w:r>
              <w:rPr>
                <w:rFonts w:ascii="Arial" w:cs="Arial" w:eastAsia="Arial" w:hAnsi="Arial"/>
                <w:sz w:val="20"/>
                <w:szCs w:val="20"/>
                <w:color w:val="auto"/>
              </w:rPr>
              <w:t>Work in process</w:t>
            </w: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0"/>
                <w:szCs w:val="20"/>
                <w:color w:val="auto"/>
              </w:rPr>
              <w:t>1,814</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auto"/>
              </w:rPr>
              <w:t>1,701</w:t>
            </w:r>
          </w:p>
        </w:tc>
      </w:tr>
      <w:tr>
        <w:trPr>
          <w:trHeight w:val="243"/>
        </w:trPr>
        <w:tc>
          <w:tcPr>
            <w:tcW w:w="73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Finished goods</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9,937</w:t>
            </w: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8,113</w:t>
            </w:r>
          </w:p>
        </w:tc>
      </w:tr>
      <w:tr>
        <w:trPr>
          <w:trHeight w:val="244"/>
        </w:trPr>
        <w:tc>
          <w:tcPr>
            <w:tcW w:w="7320" w:type="dxa"/>
            <w:vAlign w:val="bottom"/>
          </w:tcPr>
          <w:p>
            <w:pPr>
              <w:ind w:left="340"/>
              <w:spacing w:after="0"/>
              <w:rPr>
                <w:sz w:val="20"/>
                <w:szCs w:val="20"/>
                <w:color w:val="auto"/>
              </w:rPr>
            </w:pPr>
            <w:r>
              <w:rPr>
                <w:rFonts w:ascii="Arial" w:cs="Arial" w:eastAsia="Arial" w:hAnsi="Arial"/>
                <w:sz w:val="20"/>
                <w:szCs w:val="20"/>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28,500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26,053</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-3810</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340" w:hanging="332"/>
        <w:spacing w:after="0"/>
        <w:tabs>
          <w:tab w:leader="none" w:pos="3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PROPERTY, EQUIPMENT AND IMPROVEMENTS</w:t>
      </w:r>
    </w:p>
    <w:p>
      <w:pPr>
        <w:spacing w:after="0" w:line="202"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color w:val="auto"/>
        </w:rPr>
        <w:t>Major classes of property, equipment and improvements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-417830</wp:posOffset>
            </wp:positionV>
            <wp:extent cx="2529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w w:val="90"/>
              </w:rPr>
              <w:t>September 28,</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w w:val="90"/>
              </w:rPr>
              <w:t>December 31,</w:t>
            </w:r>
          </w:p>
        </w:tc>
      </w:tr>
      <w:tr>
        <w:trPr>
          <w:trHeight w:val="252"/>
        </w:trPr>
        <w:tc>
          <w:tcPr>
            <w:tcW w:w="7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2014</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2013</w:t>
            </w:r>
          </w:p>
        </w:tc>
        <w:tc>
          <w:tcPr>
            <w:tcW w:w="100" w:type="dxa"/>
            <w:vAlign w:val="bottom"/>
            <w:tcBorders>
              <w:bottom w:val="single" w:sz="8" w:color="auto"/>
            </w:tcBorders>
          </w:tcPr>
          <w:p>
            <w:pPr>
              <w:spacing w:after="0"/>
              <w:rPr>
                <w:sz w:val="21"/>
                <w:szCs w:val="21"/>
                <w:color w:val="auto"/>
              </w:rPr>
            </w:pPr>
          </w:p>
        </w:tc>
      </w:tr>
      <w:tr>
        <w:trPr>
          <w:trHeight w:val="223"/>
        </w:trPr>
        <w:tc>
          <w:tcPr>
            <w:tcW w:w="732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Land</w:t>
            </w: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460" w:type="dxa"/>
            <w:vAlign w:val="bottom"/>
            <w:gridSpan w:val="2"/>
            <w:shd w:val="clear" w:color="auto" w:fill="CCEEFF"/>
          </w:tcPr>
          <w:p>
            <w:pPr>
              <w:jc w:val="right"/>
              <w:ind w:right="120"/>
              <w:spacing w:after="0" w:line="223" w:lineRule="exact"/>
              <w:rPr>
                <w:sz w:val="20"/>
                <w:szCs w:val="20"/>
                <w:color w:val="auto"/>
              </w:rPr>
            </w:pPr>
            <w:r>
              <w:rPr>
                <w:rFonts w:ascii="Arial" w:cs="Arial" w:eastAsia="Arial" w:hAnsi="Arial"/>
                <w:sz w:val="20"/>
                <w:szCs w:val="20"/>
                <w:color w:val="auto"/>
              </w:rPr>
              <w:t>123</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420" w:type="dxa"/>
            <w:vAlign w:val="bottom"/>
            <w:gridSpan w:val="2"/>
            <w:shd w:val="clear" w:color="auto" w:fill="CCEEFF"/>
          </w:tcPr>
          <w:p>
            <w:pPr>
              <w:jc w:val="right"/>
              <w:ind w:right="100"/>
              <w:spacing w:after="0" w:line="223" w:lineRule="exact"/>
              <w:rPr>
                <w:sz w:val="20"/>
                <w:szCs w:val="20"/>
                <w:color w:val="auto"/>
              </w:rPr>
            </w:pPr>
            <w:r>
              <w:rPr>
                <w:rFonts w:ascii="Arial" w:cs="Arial" w:eastAsia="Arial" w:hAnsi="Arial"/>
                <w:sz w:val="20"/>
                <w:szCs w:val="20"/>
                <w:color w:val="auto"/>
              </w:rPr>
              <w:t>123</w:t>
            </w:r>
          </w:p>
        </w:tc>
      </w:tr>
      <w:tr>
        <w:trPr>
          <w:trHeight w:val="230"/>
        </w:trPr>
        <w:tc>
          <w:tcPr>
            <w:tcW w:w="7320" w:type="dxa"/>
            <w:vAlign w:val="bottom"/>
          </w:tcPr>
          <w:p>
            <w:pPr>
              <w:ind w:left="100"/>
              <w:spacing w:after="0"/>
              <w:rPr>
                <w:sz w:val="20"/>
                <w:szCs w:val="20"/>
                <w:color w:val="auto"/>
              </w:rPr>
            </w:pPr>
            <w:r>
              <w:rPr>
                <w:rFonts w:ascii="Arial" w:cs="Arial" w:eastAsia="Arial" w:hAnsi="Arial"/>
                <w:sz w:val="20"/>
                <w:szCs w:val="20"/>
                <w:color w:val="auto"/>
              </w:rPr>
              <w:t>Buildings and leasehold improvements</w:t>
            </w: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0"/>
                <w:szCs w:val="20"/>
                <w:color w:val="auto"/>
              </w:rPr>
              <w:t>7,565</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auto"/>
              </w:rPr>
              <w:t>7,412</w:t>
            </w:r>
          </w:p>
        </w:tc>
      </w:tr>
      <w:tr>
        <w:trPr>
          <w:trHeight w:val="230"/>
        </w:trPr>
        <w:tc>
          <w:tcPr>
            <w:tcW w:w="73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Machinery and equipment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47,889</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47,405</w:t>
            </w:r>
          </w:p>
        </w:tc>
      </w:tr>
      <w:tr>
        <w:trPr>
          <w:trHeight w:val="230"/>
        </w:trPr>
        <w:tc>
          <w:tcPr>
            <w:tcW w:w="7320" w:type="dxa"/>
            <w:vAlign w:val="bottom"/>
          </w:tcPr>
          <w:p>
            <w:pPr>
              <w:ind w:left="100"/>
              <w:spacing w:after="0"/>
              <w:rPr>
                <w:sz w:val="20"/>
                <w:szCs w:val="20"/>
                <w:color w:val="auto"/>
              </w:rPr>
            </w:pPr>
            <w:r>
              <w:rPr>
                <w:rFonts w:ascii="Arial" w:cs="Arial" w:eastAsia="Arial" w:hAnsi="Arial"/>
                <w:sz w:val="20"/>
                <w:szCs w:val="20"/>
                <w:color w:val="auto"/>
              </w:rPr>
              <w:t>Furniture and fixtures</w:t>
            </w: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0"/>
                <w:szCs w:val="20"/>
                <w:color w:val="auto"/>
              </w:rPr>
              <w:t>1,954</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auto"/>
              </w:rPr>
              <w:t>1,866</w:t>
            </w:r>
          </w:p>
        </w:tc>
      </w:tr>
      <w:tr>
        <w:trPr>
          <w:trHeight w:val="230"/>
        </w:trPr>
        <w:tc>
          <w:tcPr>
            <w:tcW w:w="73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Computer hardware and software</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4,288</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4,247</w:t>
            </w:r>
          </w:p>
        </w:tc>
      </w:tr>
      <w:tr>
        <w:trPr>
          <w:trHeight w:val="243"/>
        </w:trPr>
        <w:tc>
          <w:tcPr>
            <w:tcW w:w="7320" w:type="dxa"/>
            <w:vAlign w:val="bottom"/>
          </w:tcPr>
          <w:p>
            <w:pPr>
              <w:ind w:left="100"/>
              <w:spacing w:after="0"/>
              <w:rPr>
                <w:sz w:val="20"/>
                <w:szCs w:val="20"/>
                <w:color w:val="auto"/>
              </w:rPr>
            </w:pPr>
            <w:r>
              <w:rPr>
                <w:rFonts w:ascii="Arial" w:cs="Arial" w:eastAsia="Arial" w:hAnsi="Arial"/>
                <w:sz w:val="20"/>
                <w:szCs w:val="20"/>
                <w:color w:val="auto"/>
              </w:rPr>
              <w:t>Construction in process</w:t>
            </w:r>
          </w:p>
        </w:tc>
        <w:tc>
          <w:tcPr>
            <w:tcW w:w="16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0"/>
                <w:szCs w:val="20"/>
                <w:color w:val="auto"/>
              </w:rPr>
              <w:t>2,160</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auto"/>
              </w:rPr>
              <w:t>1,073</w:t>
            </w:r>
          </w:p>
        </w:tc>
      </w:tr>
      <w:tr>
        <w:trPr>
          <w:trHeight w:val="223"/>
        </w:trPr>
        <w:tc>
          <w:tcPr>
            <w:tcW w:w="7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63,979</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62,126</w:t>
            </w: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7320" w:type="dxa"/>
            <w:vAlign w:val="bottom"/>
          </w:tcPr>
          <w:p>
            <w:pPr>
              <w:ind w:left="100"/>
              <w:spacing w:after="0"/>
              <w:rPr>
                <w:sz w:val="20"/>
                <w:szCs w:val="20"/>
                <w:color w:val="auto"/>
              </w:rPr>
            </w:pPr>
            <w:r>
              <w:rPr>
                <w:rFonts w:ascii="Arial" w:cs="Arial" w:eastAsia="Arial" w:hAnsi="Arial"/>
                <w:sz w:val="20"/>
                <w:szCs w:val="20"/>
                <w:color w:val="auto"/>
              </w:rPr>
              <w:t>Less-accumulated depreciation</w:t>
            </w:r>
          </w:p>
        </w:tc>
        <w:tc>
          <w:tcPr>
            <w:tcW w:w="16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20"/>
                <w:szCs w:val="20"/>
                <w:color w:val="auto"/>
              </w:rPr>
              <w:t>(54,082)</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20"/>
                <w:szCs w:val="20"/>
                <w:color w:val="auto"/>
              </w:rPr>
              <w:t>(51,924)</w:t>
            </w:r>
          </w:p>
        </w:tc>
      </w:tr>
      <w:tr>
        <w:trPr>
          <w:trHeight w:val="237"/>
        </w:trPr>
        <w:tc>
          <w:tcPr>
            <w:tcW w:w="7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20"/>
                <w:szCs w:val="20"/>
                <w:color w:val="auto"/>
              </w:rPr>
              <w:t>Net property, equipment and improvements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9,897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Depreciation expense for property, equipment and improvements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-143510</wp:posOffset>
            </wp:positionV>
            <wp:extent cx="252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4"/>
          </w:tcPr>
          <w:p>
            <w:pPr>
              <w:jc w:val="right"/>
              <w:ind w:right="387"/>
              <w:spacing w:after="0"/>
              <w:rPr>
                <w:sz w:val="20"/>
                <w:szCs w:val="20"/>
                <w:color w:val="auto"/>
              </w:rPr>
            </w:pPr>
            <w:r>
              <w:rPr>
                <w:rFonts w:ascii="Arial" w:cs="Arial" w:eastAsia="Arial" w:hAnsi="Arial"/>
                <w:sz w:val="18"/>
                <w:szCs w:val="18"/>
                <w:b w:val="1"/>
                <w:bCs w:val="1"/>
                <w:color w:val="auto"/>
              </w:rPr>
              <w:t>Three-month periods ended</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4"/>
          </w:tcPr>
          <w:p>
            <w:pPr>
              <w:ind w:left="380"/>
              <w:spacing w:after="0"/>
              <w:rPr>
                <w:sz w:val="20"/>
                <w:szCs w:val="20"/>
                <w:color w:val="auto"/>
              </w:rPr>
            </w:pPr>
            <w:r>
              <w:rPr>
                <w:rFonts w:ascii="Arial" w:cs="Arial" w:eastAsia="Arial" w:hAnsi="Arial"/>
                <w:sz w:val="18"/>
                <w:szCs w:val="18"/>
                <w:b w:val="1"/>
                <w:bCs w:val="1"/>
                <w:color w:val="auto"/>
              </w:rPr>
              <w:t>Nine-month periods ended</w:t>
            </w:r>
          </w:p>
        </w:tc>
      </w:tr>
      <w:tr>
        <w:trPr>
          <w:trHeight w:val="230"/>
        </w:trPr>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28"/>
              <w:spacing w:after="0"/>
              <w:rPr>
                <w:sz w:val="20"/>
                <w:szCs w:val="20"/>
                <w:color w:val="auto"/>
              </w:rPr>
            </w:pPr>
            <w:r>
              <w:rPr>
                <w:rFonts w:ascii="Arial" w:cs="Arial" w:eastAsia="Arial" w:hAnsi="Arial"/>
                <w:sz w:val="18"/>
                <w:szCs w:val="18"/>
                <w:b w:val="1"/>
                <w:bCs w:val="1"/>
                <w:color w:val="auto"/>
                <w:w w:val="89"/>
              </w:rPr>
              <w:t>September 28,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7"/>
              <w:spacing w:after="0"/>
              <w:rPr>
                <w:sz w:val="20"/>
                <w:szCs w:val="20"/>
                <w:color w:val="auto"/>
              </w:rPr>
            </w:pPr>
            <w:r>
              <w:rPr>
                <w:rFonts w:ascii="Arial" w:cs="Arial" w:eastAsia="Arial" w:hAnsi="Arial"/>
                <w:sz w:val="18"/>
                <w:szCs w:val="18"/>
                <w:b w:val="1"/>
                <w:bCs w:val="1"/>
                <w:color w:val="auto"/>
                <w:w w:val="89"/>
              </w:rPr>
              <w:t>September 29,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w w:val="99"/>
              </w:rPr>
              <w:t>September 28,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7"/>
              <w:spacing w:after="0"/>
              <w:rPr>
                <w:sz w:val="20"/>
                <w:szCs w:val="20"/>
                <w:color w:val="auto"/>
              </w:rPr>
            </w:pPr>
            <w:r>
              <w:rPr>
                <w:rFonts w:ascii="Arial" w:cs="Arial" w:eastAsia="Arial" w:hAnsi="Arial"/>
                <w:sz w:val="18"/>
                <w:szCs w:val="18"/>
                <w:b w:val="1"/>
                <w:bCs w:val="1"/>
                <w:color w:val="auto"/>
                <w:w w:val="89"/>
              </w:rPr>
              <w:t>September 29,</w:t>
            </w:r>
          </w:p>
        </w:tc>
      </w:tr>
      <w:tr>
        <w:trPr>
          <w:trHeight w:val="234"/>
        </w:trPr>
        <w:tc>
          <w:tcPr>
            <w:tcW w:w="49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07"/>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07"/>
              <w:spacing w:after="0"/>
              <w:rPr>
                <w:sz w:val="20"/>
                <w:szCs w:val="20"/>
                <w:color w:val="auto"/>
              </w:rPr>
            </w:pPr>
            <w:r>
              <w:rPr>
                <w:rFonts w:ascii="Arial" w:cs="Arial" w:eastAsia="Arial" w:hAnsi="Arial"/>
                <w:sz w:val="18"/>
                <w:szCs w:val="18"/>
                <w:b w:val="1"/>
                <w:bCs w:val="1"/>
                <w:color w:val="auto"/>
              </w:rPr>
              <w:t>2013</w:t>
            </w:r>
          </w:p>
        </w:tc>
      </w:tr>
      <w:tr>
        <w:trPr>
          <w:trHeight w:val="223"/>
        </w:trPr>
        <w:tc>
          <w:tcPr>
            <w:tcW w:w="494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Depreciation expense</w:t>
            </w: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60" w:type="dxa"/>
            <w:vAlign w:val="bottom"/>
            <w:shd w:val="clear" w:color="auto" w:fill="CCEEFF"/>
          </w:tcPr>
          <w:p>
            <w:pPr>
              <w:jc w:val="right"/>
              <w:ind w:right="28"/>
              <w:spacing w:after="0" w:line="223" w:lineRule="exact"/>
              <w:rPr>
                <w:sz w:val="20"/>
                <w:szCs w:val="20"/>
                <w:color w:val="auto"/>
              </w:rPr>
            </w:pPr>
            <w:r>
              <w:rPr>
                <w:rFonts w:ascii="Arial" w:cs="Arial" w:eastAsia="Arial" w:hAnsi="Arial"/>
                <w:sz w:val="20"/>
                <w:szCs w:val="20"/>
                <w:color w:val="auto"/>
              </w:rPr>
              <w:t>709</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shd w:val="clear" w:color="auto" w:fill="CCEEFF"/>
          </w:tcPr>
          <w:p>
            <w:pPr>
              <w:jc w:val="right"/>
              <w:ind w:right="7"/>
              <w:spacing w:after="0" w:line="223" w:lineRule="exact"/>
              <w:rPr>
                <w:sz w:val="20"/>
                <w:szCs w:val="20"/>
                <w:color w:val="auto"/>
              </w:rPr>
            </w:pPr>
            <w:r>
              <w:rPr>
                <w:rFonts w:ascii="Arial" w:cs="Arial" w:eastAsia="Arial" w:hAnsi="Arial"/>
                <w:sz w:val="20"/>
                <w:szCs w:val="20"/>
                <w:color w:val="auto"/>
              </w:rPr>
              <w:t>720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shd w:val="clear" w:color="auto" w:fill="CCEEFF"/>
          </w:tcPr>
          <w:p>
            <w:pPr>
              <w:jc w:val="right"/>
              <w:ind w:right="28"/>
              <w:spacing w:after="0" w:line="223" w:lineRule="exact"/>
              <w:rPr>
                <w:sz w:val="20"/>
                <w:szCs w:val="20"/>
                <w:color w:val="auto"/>
              </w:rPr>
            </w:pPr>
            <w:r>
              <w:rPr>
                <w:rFonts w:ascii="Arial" w:cs="Arial" w:eastAsia="Arial" w:hAnsi="Arial"/>
                <w:sz w:val="20"/>
                <w:szCs w:val="20"/>
                <w:color w:val="auto"/>
              </w:rPr>
              <w:t>2,174</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shd w:val="clear" w:color="auto" w:fill="CCEEFF"/>
          </w:tcPr>
          <w:p>
            <w:pPr>
              <w:jc w:val="right"/>
              <w:ind w:right="7"/>
              <w:spacing w:after="0" w:line="223" w:lineRule="exact"/>
              <w:rPr>
                <w:sz w:val="20"/>
                <w:szCs w:val="20"/>
                <w:color w:val="auto"/>
              </w:rPr>
            </w:pPr>
            <w:r>
              <w:rPr>
                <w:rFonts w:ascii="Arial" w:cs="Arial" w:eastAsia="Arial" w:hAnsi="Arial"/>
                <w:sz w:val="20"/>
                <w:szCs w:val="20"/>
                <w:color w:val="auto"/>
              </w:rPr>
              <w:t>2,279</w:t>
            </w:r>
          </w:p>
        </w:tc>
      </w:tr>
    </w:tbl>
    <w:p>
      <w:pPr>
        <w:spacing w:after="0" w:line="199" w:lineRule="exact"/>
        <w:rPr>
          <w:sz w:val="20"/>
          <w:szCs w:val="20"/>
          <w:color w:val="auto"/>
        </w:rPr>
      </w:pPr>
    </w:p>
    <w:p>
      <w:pPr>
        <w:ind w:left="340" w:right="5500" w:hanging="332"/>
        <w:spacing w:after="0" w:line="450" w:lineRule="auto"/>
        <w:tabs>
          <w:tab w:leader="none" w:pos="34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GOODWILL, INTANGIBLE ASSETS AND LONG TERM ASSETS </w:t>
      </w:r>
      <w:r>
        <w:rPr>
          <w:rFonts w:ascii="Arial" w:cs="Arial" w:eastAsia="Arial" w:hAnsi="Arial"/>
          <w:sz w:val="20"/>
          <w:szCs w:val="20"/>
          <w:color w:val="auto"/>
        </w:rPr>
        <w:t>a. Goodwill</w:t>
      </w:r>
    </w:p>
    <w:p>
      <w:pPr>
        <w:spacing w:after="0" w:line="2" w:lineRule="exact"/>
        <w:rPr>
          <w:sz w:val="20"/>
          <w:szCs w:val="20"/>
          <w:color w:val="auto"/>
        </w:rPr>
      </w:pPr>
    </w:p>
    <w:p>
      <w:pPr>
        <w:ind w:firstLine="243"/>
        <w:spacing w:after="0" w:line="260" w:lineRule="auto"/>
        <w:rPr>
          <w:sz w:val="20"/>
          <w:szCs w:val="20"/>
          <w:color w:val="auto"/>
        </w:rPr>
      </w:pPr>
      <w:r>
        <w:rPr>
          <w:rFonts w:ascii="Arial" w:cs="Arial" w:eastAsia="Arial" w:hAnsi="Arial"/>
          <w:sz w:val="20"/>
          <w:szCs w:val="20"/>
          <w:color w:val="auto"/>
        </w:rPr>
        <w:t>The following table summarizes the goodwill activity by segment for the nine-month periods ended September 28, 2014 and September 29, 2013: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3"/>
          </w:tcPr>
          <w:p>
            <w:pPr>
              <w:ind w:left="100"/>
              <w:spacing w:after="0"/>
              <w:rPr>
                <w:sz w:val="20"/>
                <w:szCs w:val="20"/>
                <w:color w:val="auto"/>
              </w:rPr>
            </w:pPr>
            <w:r>
              <w:rPr>
                <w:rFonts w:ascii="Arial" w:cs="Arial" w:eastAsia="Arial" w:hAnsi="Arial"/>
                <w:sz w:val="20"/>
                <w:szCs w:val="20"/>
                <w:b w:val="1"/>
                <w:bCs w:val="1"/>
                <w:color w:val="auto"/>
              </w:rPr>
              <w:t>Battery &amp;</w:t>
            </w:r>
          </w:p>
        </w:tc>
        <w:tc>
          <w:tcPr>
            <w:tcW w:w="180" w:type="dxa"/>
            <w:vAlign w:val="bottom"/>
          </w:tcPr>
          <w:p>
            <w:pPr>
              <w:spacing w:after="0"/>
              <w:rPr>
                <w:sz w:val="19"/>
                <w:szCs w:val="19"/>
                <w:color w:val="auto"/>
              </w:rPr>
            </w:pPr>
          </w:p>
        </w:tc>
        <w:tc>
          <w:tcPr>
            <w:tcW w:w="1860" w:type="dxa"/>
            <w:vAlign w:val="bottom"/>
            <w:gridSpan w:val="3"/>
          </w:tcPr>
          <w:p>
            <w:pPr>
              <w:jc w:val="center"/>
              <w:ind w:right="800"/>
              <w:spacing w:after="0"/>
              <w:rPr>
                <w:sz w:val="20"/>
                <w:szCs w:val="20"/>
                <w:color w:val="auto"/>
              </w:rPr>
            </w:pPr>
            <w:r>
              <w:rPr>
                <w:rFonts w:ascii="Arial" w:cs="Arial" w:eastAsia="Arial" w:hAnsi="Arial"/>
                <w:sz w:val="20"/>
                <w:szCs w:val="20"/>
                <w:b w:val="1"/>
                <w:bCs w:val="1"/>
                <w:color w:val="auto"/>
                <w:w w:val="90"/>
              </w:rPr>
              <w:t>Communi-</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3"/>
          </w:tcPr>
          <w:p>
            <w:pPr>
              <w:jc w:val="center"/>
              <w:ind w:right="780"/>
              <w:spacing w:after="0"/>
              <w:rPr>
                <w:sz w:val="20"/>
                <w:szCs w:val="20"/>
                <w:color w:val="auto"/>
              </w:rPr>
            </w:pPr>
            <w:r>
              <w:rPr>
                <w:rFonts w:ascii="Arial" w:cs="Arial" w:eastAsia="Arial" w:hAnsi="Arial"/>
                <w:sz w:val="20"/>
                <w:szCs w:val="20"/>
                <w:b w:val="1"/>
                <w:bCs w:val="1"/>
                <w:color w:val="auto"/>
                <w:w w:val="91"/>
              </w:rPr>
              <w:t>Energy</w:t>
            </w:r>
          </w:p>
        </w:tc>
        <w:tc>
          <w:tcPr>
            <w:tcW w:w="180" w:type="dxa"/>
            <w:vAlign w:val="bottom"/>
          </w:tcPr>
          <w:p>
            <w:pPr>
              <w:spacing w:after="0"/>
              <w:rPr>
                <w:sz w:val="21"/>
                <w:szCs w:val="21"/>
                <w:color w:val="auto"/>
              </w:rPr>
            </w:pPr>
          </w:p>
        </w:tc>
        <w:tc>
          <w:tcPr>
            <w:tcW w:w="1860" w:type="dxa"/>
            <w:vAlign w:val="bottom"/>
            <w:gridSpan w:val="3"/>
          </w:tcPr>
          <w:p>
            <w:pPr>
              <w:jc w:val="center"/>
              <w:ind w:right="740"/>
              <w:spacing w:after="0"/>
              <w:rPr>
                <w:sz w:val="20"/>
                <w:szCs w:val="20"/>
                <w:color w:val="auto"/>
              </w:rPr>
            </w:pPr>
            <w:r>
              <w:rPr>
                <w:rFonts w:ascii="Arial" w:cs="Arial" w:eastAsia="Arial" w:hAnsi="Arial"/>
                <w:sz w:val="20"/>
                <w:szCs w:val="20"/>
                <w:b w:val="1"/>
                <w:bCs w:val="1"/>
                <w:color w:val="auto"/>
                <w:w w:val="85"/>
              </w:rPr>
              <w:t>cations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3"/>
          </w:tcPr>
          <w:p>
            <w:pPr>
              <w:jc w:val="center"/>
              <w:ind w:right="780"/>
              <w:spacing w:after="0"/>
              <w:rPr>
                <w:sz w:val="20"/>
                <w:szCs w:val="20"/>
                <w:color w:val="auto"/>
              </w:rPr>
            </w:pPr>
            <w:r>
              <w:rPr>
                <w:rFonts w:ascii="Arial" w:cs="Arial" w:eastAsia="Arial" w:hAnsi="Arial"/>
                <w:sz w:val="20"/>
                <w:szCs w:val="20"/>
                <w:b w:val="1"/>
                <w:bCs w:val="1"/>
                <w:color w:val="auto"/>
                <w:w w:val="85"/>
              </w:rPr>
              <w:t>Products</w:t>
            </w:r>
          </w:p>
        </w:tc>
        <w:tc>
          <w:tcPr>
            <w:tcW w:w="180" w:type="dxa"/>
            <w:vAlign w:val="bottom"/>
          </w:tcPr>
          <w:p>
            <w:pPr>
              <w:spacing w:after="0"/>
              <w:rPr>
                <w:sz w:val="21"/>
                <w:szCs w:val="21"/>
                <w:color w:val="auto"/>
              </w:rPr>
            </w:pPr>
          </w:p>
        </w:tc>
        <w:tc>
          <w:tcPr>
            <w:tcW w:w="1860" w:type="dxa"/>
            <w:vAlign w:val="bottom"/>
            <w:gridSpan w:val="3"/>
          </w:tcPr>
          <w:p>
            <w:pPr>
              <w:ind w:left="220"/>
              <w:spacing w:after="0"/>
              <w:rPr>
                <w:sz w:val="20"/>
                <w:szCs w:val="20"/>
                <w:color w:val="auto"/>
              </w:rPr>
            </w:pPr>
            <w:r>
              <w:rPr>
                <w:rFonts w:ascii="Arial" w:cs="Arial" w:eastAsia="Arial" w:hAnsi="Arial"/>
                <w:sz w:val="20"/>
                <w:szCs w:val="20"/>
                <w:b w:val="1"/>
                <w:bCs w:val="1"/>
                <w:color w:val="auto"/>
              </w:rPr>
              <w:t>Systems</w:t>
            </w:r>
          </w:p>
        </w:tc>
        <w:tc>
          <w:tcPr>
            <w:tcW w:w="200" w:type="dxa"/>
            <w:vAlign w:val="bottom"/>
          </w:tcPr>
          <w:p>
            <w:pPr>
              <w:spacing w:after="0"/>
              <w:rPr>
                <w:sz w:val="21"/>
                <w:szCs w:val="21"/>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20"/>
                <w:szCs w:val="20"/>
                <w:color w:val="auto"/>
              </w:rPr>
              <w:t>Balance - December 31, 2012</w:t>
            </w:r>
          </w:p>
        </w:tc>
        <w:tc>
          <w:tcPr>
            <w:tcW w:w="166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4,851</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11,493</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16,344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40"/>
              <w:spacing w:after="0"/>
              <w:rPr>
                <w:sz w:val="20"/>
                <w:szCs w:val="20"/>
                <w:color w:val="auto"/>
              </w:rPr>
            </w:pPr>
            <w:r>
              <w:rPr>
                <w:rFonts w:ascii="Arial" w:cs="Arial" w:eastAsia="Arial" w:hAnsi="Arial"/>
                <w:sz w:val="20"/>
                <w:szCs w:val="20"/>
                <w:color w:val="auto"/>
              </w:rPr>
              <w:t>Effect of foreign currency translation</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ind w:left="8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Balance – September 29, 2013</w:t>
            </w:r>
          </w:p>
        </w:tc>
        <w:tc>
          <w:tcPr>
            <w:tcW w:w="14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4,912</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11,493</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16,405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40"/>
              <w:spacing w:after="0"/>
              <w:rPr>
                <w:sz w:val="20"/>
                <w:szCs w:val="20"/>
                <w:color w:val="auto"/>
              </w:rPr>
            </w:pPr>
            <w:r>
              <w:rPr>
                <w:rFonts w:ascii="Arial" w:cs="Arial" w:eastAsia="Arial" w:hAnsi="Arial"/>
                <w:sz w:val="20"/>
                <w:szCs w:val="20"/>
                <w:color w:val="auto"/>
              </w:rPr>
              <w:t>Effect of foreign currency translation</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ind w:left="8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Balance - December 31, 2013</w:t>
            </w:r>
          </w:p>
        </w:tc>
        <w:tc>
          <w:tcPr>
            <w:tcW w:w="14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4,926</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11,493</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16,419</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40"/>
              <w:spacing w:after="0"/>
              <w:rPr>
                <w:sz w:val="20"/>
                <w:szCs w:val="20"/>
                <w:color w:val="auto"/>
              </w:rPr>
            </w:pPr>
            <w:r>
              <w:rPr>
                <w:rFonts w:ascii="Arial" w:cs="Arial" w:eastAsia="Arial" w:hAnsi="Arial"/>
                <w:sz w:val="20"/>
                <w:szCs w:val="20"/>
                <w:color w:val="auto"/>
              </w:rPr>
              <w:t>Effect of foreign currency translation</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auto"/>
              </w:rPr>
              <w:t>(12)</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ind w:left="8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Balance – September 28, 2014</w:t>
            </w: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16,407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bottom w:val="single" w:sz="8" w:color="0000EE"/>
            </w:tcBorders>
            <w:gridSpan w:val="2"/>
          </w:tcPr>
          <w:p>
            <w:pPr>
              <w:jc w:val="right"/>
              <w:spacing w:after="0"/>
              <w:rPr>
                <w:rFonts w:ascii="Arial" w:cs="Arial" w:eastAsia="Arial" w:hAnsi="Arial"/>
                <w:sz w:val="18"/>
                <w:szCs w:val="18"/>
                <w:i w:val="1"/>
                <w:iCs w:val="1"/>
                <w:color w:val="0000EE"/>
                <w:w w:val="87"/>
              </w:rPr>
            </w:pPr>
            <w:hyperlink w:anchor="page2">
              <w:r>
                <w:rPr>
                  <w:rFonts w:ascii="Arial" w:cs="Arial" w:eastAsia="Arial" w:hAnsi="Arial"/>
                  <w:sz w:val="18"/>
                  <w:szCs w:val="18"/>
                  <w:i w:val="1"/>
                  <w:iCs w:val="1"/>
                  <w:color w:val="0000EE"/>
                  <w:w w:val="87"/>
                </w:rPr>
                <w:t>Table of Contents</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640" w:type="dxa"/>
            <w:vAlign w:val="bottom"/>
          </w:tcPr>
          <w:p>
            <w:pPr>
              <w:ind w:left="320"/>
              <w:spacing w:after="0"/>
              <w:rPr>
                <w:sz w:val="20"/>
                <w:szCs w:val="20"/>
                <w:color w:val="auto"/>
              </w:rPr>
            </w:pPr>
            <w:r>
              <w:rPr>
                <w:rFonts w:ascii="Arial" w:cs="Arial" w:eastAsia="Arial" w:hAnsi="Arial"/>
                <w:sz w:val="20"/>
                <w:szCs w:val="20"/>
                <w:color w:val="auto"/>
              </w:rPr>
              <w:t>b. Intangible Assets</w:t>
            </w: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40" w:type="dxa"/>
            <w:vAlign w:val="bottom"/>
          </w:tcPr>
          <w:p>
            <w:pPr>
              <w:ind w:left="240"/>
              <w:spacing w:after="0"/>
              <w:rPr>
                <w:sz w:val="20"/>
                <w:szCs w:val="20"/>
                <w:color w:val="auto"/>
              </w:rPr>
            </w:pPr>
            <w:r>
              <w:rPr>
                <w:rFonts w:ascii="Arial" w:cs="Arial" w:eastAsia="Arial" w:hAnsi="Arial"/>
                <w:sz w:val="20"/>
                <w:szCs w:val="20"/>
                <w:color w:val="auto"/>
              </w:rPr>
              <w:t>The composition of intangible assets was:</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360"/>
              <w:spacing w:after="0"/>
              <w:rPr>
                <w:sz w:val="20"/>
                <w:szCs w:val="20"/>
                <w:color w:val="auto"/>
              </w:rPr>
            </w:pPr>
            <w:r>
              <w:rPr>
                <w:rFonts w:ascii="Arial" w:cs="Arial" w:eastAsia="Arial" w:hAnsi="Arial"/>
                <w:sz w:val="20"/>
                <w:szCs w:val="20"/>
                <w:b w:val="1"/>
                <w:bCs w:val="1"/>
                <w:color w:val="auto"/>
              </w:rPr>
              <w:t>at September 28, 2014</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ind w:left="40"/>
              <w:spacing w:after="0" w:line="214" w:lineRule="exact"/>
              <w:rPr>
                <w:sz w:val="20"/>
                <w:szCs w:val="20"/>
                <w:color w:val="auto"/>
              </w:rPr>
            </w:pPr>
            <w:r>
              <w:rPr>
                <w:rFonts w:ascii="Arial" w:cs="Arial" w:eastAsia="Arial" w:hAnsi="Arial"/>
                <w:sz w:val="20"/>
                <w:szCs w:val="20"/>
                <w:b w:val="1"/>
                <w:bCs w:val="1"/>
                <w:color w:val="auto"/>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20"/>
                <w:szCs w:val="20"/>
                <w:b w:val="1"/>
                <w:bCs w:val="1"/>
                <w:color w:val="auto"/>
              </w:rPr>
              <w:t>Cost</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3"/>
          </w:tcPr>
          <w:p>
            <w:pPr>
              <w:ind w:left="60"/>
              <w:spacing w:after="0"/>
              <w:rPr>
                <w:sz w:val="20"/>
                <w:szCs w:val="20"/>
                <w:color w:val="auto"/>
              </w:rPr>
            </w:pPr>
            <w:r>
              <w:rPr>
                <w:rFonts w:ascii="Arial" w:cs="Arial" w:eastAsia="Arial" w:hAnsi="Arial"/>
                <w:sz w:val="20"/>
                <w:szCs w:val="20"/>
                <w:b w:val="1"/>
                <w:bCs w:val="1"/>
                <w:color w:val="auto"/>
              </w:rPr>
              <w:t>amortization</w:t>
            </w:r>
          </w:p>
        </w:tc>
        <w:tc>
          <w:tcPr>
            <w:tcW w:w="34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Arial" w:cs="Arial" w:eastAsia="Arial" w:hAnsi="Arial"/>
                <w:sz w:val="20"/>
                <w:szCs w:val="20"/>
                <w:b w:val="1"/>
                <w:bCs w:val="1"/>
                <w:color w:val="auto"/>
              </w:rPr>
              <w:t>Net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20"/>
                <w:szCs w:val="20"/>
                <w:color w:val="auto"/>
              </w:rPr>
              <w:t>Trademarks</w:t>
            </w:r>
          </w:p>
        </w:tc>
        <w:tc>
          <w:tcPr>
            <w:tcW w:w="152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3,567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00" w:type="dxa"/>
            <w:vAlign w:val="bottom"/>
            <w:gridSpan w:val="3"/>
            <w:shd w:val="clear" w:color="auto" w:fill="CCEEFF"/>
          </w:tcPr>
          <w:p>
            <w:pPr>
              <w:ind w:left="9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20"/>
                <w:szCs w:val="20"/>
                <w:color w:val="auto"/>
              </w:rPr>
              <w:t>Patents and technology</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20"/>
                <w:szCs w:val="20"/>
                <w:color w:val="auto"/>
              </w:rPr>
              <w:t>4,509</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(4,070)</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439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20"/>
                <w:szCs w:val="20"/>
                <w:color w:val="auto"/>
              </w:rPr>
              <w:t>Customer relationships</w:t>
            </w: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4,028</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(3,650)</w:t>
            </w: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20"/>
                <w:szCs w:val="20"/>
                <w:color w:val="auto"/>
              </w:rPr>
              <w:t>Distributor relationships</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391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(362)</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20"/>
                <w:szCs w:val="20"/>
                <w:color w:val="auto"/>
              </w:rPr>
              <w:t>Non-compete agreements</w:t>
            </w:r>
          </w:p>
        </w:tc>
        <w:tc>
          <w:tcPr>
            <w:tcW w:w="1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218</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(218)</w:t>
            </w:r>
          </w:p>
        </w:tc>
        <w:tc>
          <w:tcPr>
            <w:tcW w:w="5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Total intangible assets</w:t>
            </w:r>
          </w:p>
        </w:tc>
        <w:tc>
          <w:tcPr>
            <w:tcW w:w="11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12,713</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(8,300</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w w:val="89"/>
              </w:rPr>
              <w:t>)</w:t>
            </w:r>
          </w:p>
        </w:tc>
        <w:tc>
          <w:tcPr>
            <w:tcW w:w="56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4,413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ind w:left="440"/>
              <w:spacing w:after="0"/>
              <w:rPr>
                <w:sz w:val="20"/>
                <w:szCs w:val="20"/>
                <w:color w:val="auto"/>
              </w:rPr>
            </w:pPr>
            <w:r>
              <w:rPr>
                <w:rFonts w:ascii="Arial" w:cs="Arial" w:eastAsia="Arial" w:hAnsi="Arial"/>
                <w:sz w:val="20"/>
                <w:szCs w:val="20"/>
                <w:b w:val="1"/>
                <w:bCs w:val="1"/>
                <w:color w:val="auto"/>
              </w:rPr>
              <w:t>at December 31, 2013</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ind w:left="100"/>
              <w:spacing w:after="0" w:line="223" w:lineRule="exact"/>
              <w:rPr>
                <w:sz w:val="20"/>
                <w:szCs w:val="20"/>
                <w:color w:val="auto"/>
              </w:rPr>
            </w:pPr>
            <w:r>
              <w:rPr>
                <w:rFonts w:ascii="Arial" w:cs="Arial" w:eastAsia="Arial" w:hAnsi="Arial"/>
                <w:sz w:val="20"/>
                <w:szCs w:val="20"/>
                <w:b w:val="1"/>
                <w:bCs w:val="1"/>
                <w:color w:val="auto"/>
              </w:rPr>
              <w:t>Accumulated</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Cost</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w w:val="95"/>
              </w:rPr>
              <w:t>amortization</w:t>
            </w:r>
          </w:p>
        </w:tc>
        <w:tc>
          <w:tcPr>
            <w:tcW w:w="120" w:type="dxa"/>
            <w:vAlign w:val="bottom"/>
            <w:tcBorders>
              <w:bottom w:val="single" w:sz="8" w:color="CCEEFF"/>
            </w:tcBorders>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20"/>
                <w:szCs w:val="20"/>
                <w:b w:val="1"/>
                <w:bCs w:val="1"/>
                <w:color w:val="auto"/>
              </w:rPr>
              <w:t>Net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vMerge w:val="restart"/>
          </w:tcPr>
          <w:p>
            <w:pPr>
              <w:spacing w:after="0"/>
              <w:rPr>
                <w:sz w:val="19"/>
                <w:szCs w:val="19"/>
                <w:color w:val="auto"/>
              </w:rPr>
            </w:pPr>
          </w:p>
        </w:tc>
        <w:tc>
          <w:tcPr>
            <w:tcW w:w="340" w:type="dxa"/>
            <w:vAlign w:val="bottom"/>
            <w:vMerge w:val="restart"/>
          </w:tcPr>
          <w:p>
            <w:pPr>
              <w:jc w:val="right"/>
              <w:ind w:right="141"/>
              <w:spacing w:after="0"/>
              <w:rPr>
                <w:sz w:val="20"/>
                <w:szCs w:val="20"/>
                <w:color w:val="auto"/>
              </w:rPr>
            </w:pPr>
            <w:r>
              <w:rPr>
                <w:rFonts w:ascii="Arial" w:cs="Arial" w:eastAsia="Arial" w:hAnsi="Arial"/>
                <w:sz w:val="20"/>
                <w:szCs w:val="20"/>
                <w:color w:val="auto"/>
                <w:w w:val="71"/>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3,568</w:t>
            </w: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20"/>
                <w:szCs w:val="20"/>
                <w:color w:val="auto"/>
              </w:rPr>
              <w:t>Trademarks</w:t>
            </w:r>
          </w:p>
        </w:tc>
        <w:tc>
          <w:tcPr>
            <w:tcW w:w="152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20"/>
                <w:szCs w:val="20"/>
                <w:color w:val="auto"/>
              </w:rPr>
              <w:t>3,568</w:t>
            </w: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ind w:left="920"/>
              <w:spacing w:after="0"/>
              <w:rPr>
                <w:sz w:val="20"/>
                <w:szCs w:val="20"/>
                <w:color w:val="auto"/>
              </w:rPr>
            </w:pPr>
            <w:r>
              <w:rPr>
                <w:rFonts w:ascii="Arial" w:cs="Arial" w:eastAsia="Arial" w:hAnsi="Arial"/>
                <w:sz w:val="20"/>
                <w:szCs w:val="20"/>
                <w:color w:val="auto"/>
              </w:rPr>
              <w:t>—</w:t>
            </w:r>
          </w:p>
        </w:tc>
        <w:tc>
          <w:tcPr>
            <w:tcW w:w="56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20"/>
                <w:szCs w:val="20"/>
                <w:color w:val="auto"/>
              </w:rPr>
              <w:t>Patents and technology</w:t>
            </w: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4,511</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(3,941)</w:t>
            </w: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570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20"/>
                <w:szCs w:val="20"/>
                <w:color w:val="auto"/>
              </w:rPr>
              <w:t>Customer relationships</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20"/>
                <w:szCs w:val="20"/>
                <w:color w:val="auto"/>
              </w:rPr>
              <w:t>4,033</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(3,562)</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20"/>
                <w:szCs w:val="20"/>
                <w:color w:val="auto"/>
              </w:rPr>
              <w:t>Distributor relationships</w:t>
            </w: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(356)</w:t>
            </w: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tcPr>
          <w:p>
            <w:pPr>
              <w:spacing w:after="0"/>
              <w:rPr>
                <w:sz w:val="20"/>
                <w:szCs w:val="20"/>
                <w:color w:val="auto"/>
              </w:rPr>
            </w:pPr>
            <w:r>
              <w:rPr>
                <w:rFonts w:ascii="Arial" w:cs="Arial" w:eastAsia="Arial" w:hAnsi="Arial"/>
                <w:sz w:val="20"/>
                <w:szCs w:val="20"/>
                <w:color w:val="auto"/>
              </w:rPr>
              <w:t>Non-compete agreements</w:t>
            </w: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(218)</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 intangible assets</w:t>
            </w: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12,723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(8,077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Amortization expense for intangible assets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5"/>
          </w:tcPr>
          <w:p>
            <w:pPr>
              <w:jc w:val="right"/>
              <w:ind w:right="285"/>
              <w:spacing w:after="0"/>
              <w:rPr>
                <w:sz w:val="20"/>
                <w:szCs w:val="20"/>
                <w:color w:val="auto"/>
              </w:rPr>
            </w:pPr>
            <w:r>
              <w:rPr>
                <w:rFonts w:ascii="Arial" w:cs="Arial" w:eastAsia="Arial" w:hAnsi="Arial"/>
                <w:sz w:val="18"/>
                <w:szCs w:val="18"/>
                <w:b w:val="1"/>
                <w:bCs w:val="1"/>
                <w:color w:val="auto"/>
              </w:rPr>
              <w:t>Three-month periods ended</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6"/>
          </w:tcPr>
          <w:p>
            <w:pPr>
              <w:ind w:left="380"/>
              <w:spacing w:after="0"/>
              <w:rPr>
                <w:sz w:val="20"/>
                <w:szCs w:val="20"/>
                <w:color w:val="auto"/>
              </w:rPr>
            </w:pPr>
            <w:r>
              <w:rPr>
                <w:rFonts w:ascii="Arial" w:cs="Arial" w:eastAsia="Arial" w:hAnsi="Arial"/>
                <w:sz w:val="18"/>
                <w:szCs w:val="18"/>
                <w:b w:val="1"/>
                <w:bCs w:val="1"/>
                <w:color w:val="auto"/>
              </w:rPr>
              <w:t>Nine-month periods ended</w:t>
            </w:r>
          </w:p>
        </w:tc>
      </w:tr>
      <w:tr>
        <w:trPr>
          <w:trHeight w:val="230"/>
        </w:trPr>
        <w:tc>
          <w:tcPr>
            <w:tcW w:w="3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September 28,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89"/>
              </w:rPr>
              <w:t>September 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9"/>
              </w:rPr>
              <w:t>September 28,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September 29,</w:t>
            </w:r>
          </w:p>
        </w:tc>
      </w:tr>
      <w:tr>
        <w:trPr>
          <w:trHeight w:val="234"/>
        </w:trPr>
        <w:tc>
          <w:tcPr>
            <w:tcW w:w="39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85"/>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5"/>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5"/>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r>
      <w:tr>
        <w:trPr>
          <w:trHeight w:val="223"/>
        </w:trPr>
        <w:tc>
          <w:tcPr>
            <w:tcW w:w="398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Amortization included in:</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20"/>
                <w:szCs w:val="20"/>
                <w:color w:val="auto"/>
              </w:rPr>
              <w:t>Research and development</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tcPr>
          <w:p>
            <w:pPr>
              <w:ind w:left="940"/>
              <w:spacing w:after="0"/>
              <w:rPr>
                <w:sz w:val="20"/>
                <w:szCs w:val="20"/>
                <w:color w:val="auto"/>
              </w:rPr>
            </w:pPr>
            <w:r>
              <w:rPr>
                <w:rFonts w:ascii="Arial" w:cs="Arial" w:eastAsia="Arial" w:hAnsi="Arial"/>
                <w:sz w:val="20"/>
                <w:szCs w:val="20"/>
                <w:color w:val="auto"/>
              </w:rPr>
              <w:t>44</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56</w:t>
            </w:r>
          </w:p>
        </w:tc>
        <w:tc>
          <w:tcPr>
            <w:tcW w:w="5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131</w:t>
            </w: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167</w:t>
            </w:r>
          </w:p>
        </w:tc>
      </w:tr>
      <w:tr>
        <w:trPr>
          <w:trHeight w:val="243"/>
        </w:trPr>
        <w:tc>
          <w:tcPr>
            <w:tcW w:w="39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Selling, general and administrative</w:t>
            </w: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20"/>
                <w:szCs w:val="20"/>
                <w:color w:val="auto"/>
              </w:rPr>
              <w:t>34</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101</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134</w:t>
            </w:r>
          </w:p>
        </w:tc>
      </w:tr>
      <w:tr>
        <w:trPr>
          <w:trHeight w:val="277"/>
        </w:trPr>
        <w:tc>
          <w:tcPr>
            <w:tcW w:w="3980" w:type="dxa"/>
            <w:vAlign w:val="bottom"/>
            <w:tcBorders>
              <w:bottom w:val="single" w:sz="8" w:color="CCEEFF"/>
            </w:tcBorders>
          </w:tcPr>
          <w:p>
            <w:pPr>
              <w:ind w:left="340"/>
              <w:spacing w:after="0"/>
              <w:rPr>
                <w:sz w:val="20"/>
                <w:szCs w:val="20"/>
                <w:color w:val="auto"/>
              </w:rPr>
            </w:pPr>
            <w:r>
              <w:rPr>
                <w:rFonts w:ascii="Arial" w:cs="Arial" w:eastAsia="Arial" w:hAnsi="Arial"/>
                <w:sz w:val="20"/>
                <w:szCs w:val="20"/>
                <w:color w:val="auto"/>
              </w:rPr>
              <w:t>Total amortization expense</w:t>
            </w:r>
          </w:p>
        </w:tc>
        <w:tc>
          <w:tcPr>
            <w:tcW w:w="96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20"/>
                <w:szCs w:val="20"/>
                <w:color w:val="auto"/>
                <w:w w:val="80"/>
              </w:rPr>
              <w:t>78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301</w:t>
            </w:r>
          </w:p>
        </w:tc>
        <w:tc>
          <w:tcPr>
            <w:tcW w:w="100" w:type="dxa"/>
            <w:vAlign w:val="bottom"/>
            <w:tcBorders>
              <w:bottom w:val="single" w:sz="8" w:color="CCEEFF"/>
            </w:tcBorders>
          </w:tcPr>
          <w:p>
            <w:pPr>
              <w:spacing w:after="0"/>
              <w:rPr>
                <w:sz w:val="24"/>
                <w:szCs w:val="24"/>
                <w:color w:val="auto"/>
              </w:rPr>
            </w:pPr>
          </w:p>
        </w:tc>
      </w:tr>
      <w:tr>
        <w:trPr>
          <w:trHeight w:val="129"/>
        </w:trPr>
        <w:tc>
          <w:tcPr>
            <w:tcW w:w="3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pacing w:after="0" w:line="21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change in the cost value of total intangible assets from December 31, 2013 to September 28, 2014 is a result of the effect of foreign currency translations.</w:t>
      </w:r>
    </w:p>
    <w:p>
      <w:pPr>
        <w:spacing w:after="0" w:line="17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REVOLVING CREDIT AGREEMENT</w:t>
      </w:r>
    </w:p>
    <w:p>
      <w:pPr>
        <w:spacing w:after="0" w:line="20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We have financing through a Revolving Credit, Guaranty and Security Agreement, dated as of May 24, 2013, (the “Credit Agreement”) and related security agreements with PNC Bank, National Association (“PNC”), which provides a $20 million secured asset-based revolving credit facility that includes a $1 million letter of credit sub-facility (the “Credit Facility”). The Credit Agreement provides that the Credit Facility may be increased with PNC’s concurrence to an amount not to exceed $35 million, provided such increase must occur prior to the last six months of the term, which expires on May 24, 2017.</w:t>
      </w:r>
    </w:p>
    <w:p>
      <w:pPr>
        <w:spacing w:after="0" w:line="200" w:lineRule="exact"/>
        <w:rPr>
          <w:sz w:val="20"/>
          <w:szCs w:val="20"/>
          <w:color w:val="auto"/>
        </w:rPr>
      </w:pPr>
    </w:p>
    <w:p>
      <w:pPr>
        <w:spacing w:after="0" w:line="227" w:lineRule="exact"/>
        <w:rPr>
          <w:sz w:val="20"/>
          <w:szCs w:val="20"/>
          <w:color w:val="auto"/>
        </w:rPr>
      </w:pPr>
    </w:p>
    <w:p>
      <w:pPr>
        <w:ind w:left="568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8</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879" w:right="239" w:bottom="1440" w:gutter="0" w:footer="0" w:header="0"/>
        </w:sectPr>
      </w:pPr>
    </w:p>
    <w:bookmarkStart w:id="8" w:name="page9"/>
    <w:bookmarkEnd w:id="8"/>
    <w:p>
      <w:pPr>
        <w:jc w:val="both"/>
        <w:ind w:firstLine="324"/>
        <w:spacing w:after="0" w:line="246" w:lineRule="auto"/>
        <w:rPr>
          <w:sz w:val="20"/>
          <w:szCs w:val="20"/>
          <w:color w:val="auto"/>
        </w:rPr>
      </w:pPr>
      <w:r>
        <w:rPr>
          <w:rFonts w:ascii="Arial" w:cs="Arial" w:eastAsia="Arial" w:hAnsi="Arial"/>
          <w:sz w:val="20"/>
          <w:szCs w:val="20"/>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205"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As of September 28, 2014, we had approximately $11,900 of borrowing capacity in addition to our cash on hand of $15,571, and we had no outstanding borrowings or outstanding letters of credit under the Credit Facility at either September 28, 2014 or December 31, 2013.</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On April 30, 2014, the Company and PNC entered into an amendment (the “Amendment”) to the Credit Agreement. The Amendment permits the Company to commence the Share Repurchase Program described in Note 2 above, provided that (a) the Company is not in default under the Credit Agreement, (b) the Company’s undrawn availability under the Credit Agreement is at least $6 million both prior to and immediately following any repurchase, (c) the Company’s undrawn availability under the Credit Agreement plus domestic unrestricted cash is at least $8 million both prior to and immediately following any repurchase, and (d) the Company uses its unrestricted cash for such repurchases and does not request advances against the Credit Agreement for such purposes.</w:t>
      </w:r>
    </w:p>
    <w:p>
      <w:pPr>
        <w:spacing w:after="0" w:line="19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On October 28, 2014, the Company and PNC entered into a second amendment to the Credit Agreement which modifies the definition of EBITDA in the Credit Agreement to include non-cash stock- based compensation expense.</w:t>
      </w:r>
    </w:p>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7.</w:t>
      </w:r>
      <w:r>
        <w:rPr>
          <w:sz w:val="20"/>
          <w:szCs w:val="20"/>
          <w:color w:val="auto"/>
        </w:rPr>
        <w:tab/>
      </w:r>
      <w:r>
        <w:rPr>
          <w:rFonts w:ascii="Arial" w:cs="Arial" w:eastAsia="Arial" w:hAnsi="Arial"/>
          <w:sz w:val="19"/>
          <w:szCs w:val="19"/>
          <w:b w:val="1"/>
          <w:bCs w:val="1"/>
          <w:i w:val="1"/>
          <w:iCs w:val="1"/>
          <w:color w:val="auto"/>
        </w:rPr>
        <w:t>SHAREHOLDERS’ EQUITY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 Common Stock</w:t>
      </w:r>
    </w:p>
    <w:p>
      <w:pPr>
        <w:spacing w:after="0" w:line="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In the three-month and nine-month periods ended September 28, 2014, we issued 17,018 and 45,810 shares of common stock to our non-employee directors, respectively, valued at $57 and $170, respectively.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 Stock Options</w:t>
      </w:r>
    </w:p>
    <w:p>
      <w:pPr>
        <w:spacing w:after="0" w:line="202"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Compensation cost related to stock options was $142 and $131 for the three-month periods ended September 28, 2014 and September 29, 2013, respectively, and $430 and $521 for the nine-month periods ended September 28, 2014 and September 29, 2013, respectively. As of September 28, 2014, there was $554 of total unrecognized compensation cost related to outstanding stock options, which is expected to be recognized over a weighted average period of 1.2 years.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 Restricted Stock Awards</w:t>
      </w:r>
    </w:p>
    <w:p>
      <w:pPr>
        <w:spacing w:after="0" w:line="20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Our President and Chief Executive Officer holds 120,000 restricted stock units, 30,000 of which vested during the nine month period ended September 28, 2014. Included in stock compensation expense in the three and nine months ended September 28, 2014 was $34 and $117, respectively, relating to these restricted stock units. Included in stock compensation expense in the three and nine months ended September 29, 2013 was $122 and $162, respectively, relating to these restricted stock units. There is $33 of unrecognized compensation cost related to restricted stock units as of September 28, 2014.</w:t>
      </w:r>
    </w:p>
    <w:p>
      <w:pPr>
        <w:spacing w:after="0" w:line="197"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9</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92" w:right="239" w:bottom="1440" w:gutter="0" w:footer="0" w:header="0"/>
        </w:sectPr>
      </w:pPr>
    </w:p>
    <w:bookmarkStart w:id="9" w:name="page10"/>
    <w:bookmarkEnd w:id="9"/>
    <w:p>
      <w:pPr>
        <w:jc w:val="both"/>
        <w:ind w:right="20" w:firstLine="324"/>
        <w:spacing w:after="0" w:line="291" w:lineRule="auto"/>
        <w:rPr>
          <w:sz w:val="20"/>
          <w:szCs w:val="20"/>
          <w:color w:val="auto"/>
        </w:rPr>
      </w:pPr>
      <w:r>
        <w:rPr>
          <w:rFonts w:ascii="Arial" w:cs="Arial" w:eastAsia="Arial" w:hAnsi="Arial"/>
          <w:sz w:val="18"/>
          <w:szCs w:val="18"/>
          <w:color w:val="auto"/>
        </w:rPr>
        <w:t>In addition, 49,200 shares of restricted stock were awarded to certain of the Company’s employees during the three month period ended September 28, 2014. Included in stock compensation expense in the three and nine months ended September 28, 2014 was $4 related to these awards, and there is $155 of unrecognized compensation cost related to these restricted shares as of September 28, 2014.</w:t>
      </w:r>
    </w:p>
    <w:p>
      <w:pPr>
        <w:spacing w:after="0" w:line="16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INCOME TAXES</w:t>
      </w:r>
    </w:p>
    <w:p>
      <w:pPr>
        <w:spacing w:after="0" w:line="2"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asset and liability method is used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210"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For the three-month periods ended September 28, 2014 and September 29, 2013, we recorded $60 and $(16), respectively, in income tax expense (benefit). For the nine-month periods ended September 28, 2014 and September 29, 2013, we recorded $177 and $135, respectively, in income tax expense. The expense is primarily due to the recognition of deferred tax liabilities generated from goodwill and certain intangible assets that cannot be predicted to reverse for book purposes during our loss carryforward periods. The remaining expense in 2014 was due to state income taxes, and in 2013 was primarily due to the income reported for our China operations during the period.</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effective consolidated tax rates for the three and nine month periods ended September 28, 2014 and September 29, 2013 were: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Three-month periods ended</w:t>
            </w:r>
          </w:p>
        </w:tc>
        <w:tc>
          <w:tcPr>
            <w:tcW w:w="120" w:type="dxa"/>
            <w:vAlign w:val="bottom"/>
          </w:tcPr>
          <w:p>
            <w:pPr>
              <w:spacing w:after="0"/>
              <w:rPr>
                <w:sz w:val="19"/>
                <w:szCs w:val="19"/>
                <w:color w:val="auto"/>
              </w:rPr>
            </w:pPr>
          </w:p>
        </w:tc>
        <w:tc>
          <w:tcPr>
            <w:tcW w:w="3040" w:type="dxa"/>
            <w:vAlign w:val="bottom"/>
            <w:gridSpan w:val="4"/>
          </w:tcPr>
          <w:p>
            <w:pPr>
              <w:jc w:val="right"/>
              <w:ind w:right="465"/>
              <w:spacing w:after="0"/>
              <w:rPr>
                <w:sz w:val="20"/>
                <w:szCs w:val="20"/>
                <w:color w:val="auto"/>
              </w:rPr>
            </w:pPr>
            <w:r>
              <w:rPr>
                <w:rFonts w:ascii="Arial" w:cs="Arial" w:eastAsia="Arial" w:hAnsi="Arial"/>
                <w:sz w:val="18"/>
                <w:szCs w:val="18"/>
                <w:b w:val="1"/>
                <w:bCs w:val="1"/>
                <w:color w:val="auto"/>
              </w:rPr>
              <w:t>Nine-month periods ended</w:t>
            </w:r>
          </w:p>
        </w:tc>
      </w:tr>
      <w:tr>
        <w:trPr>
          <w:trHeight w:val="230"/>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28,</w:t>
            </w:r>
          </w:p>
        </w:tc>
        <w:tc>
          <w:tcPr>
            <w:tcW w:w="12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29,</w:t>
            </w:r>
          </w:p>
        </w:tc>
        <w:tc>
          <w:tcPr>
            <w:tcW w:w="12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28,</w:t>
            </w:r>
          </w:p>
        </w:tc>
        <w:tc>
          <w:tcPr>
            <w:tcW w:w="140" w:type="dxa"/>
            <w:vAlign w:val="bottom"/>
          </w:tcPr>
          <w:p>
            <w:pPr>
              <w:spacing w:after="0"/>
              <w:rPr>
                <w:sz w:val="19"/>
                <w:szCs w:val="19"/>
                <w:color w:val="auto"/>
              </w:rPr>
            </w:pPr>
          </w:p>
        </w:tc>
        <w:tc>
          <w:tcPr>
            <w:tcW w:w="1280" w:type="dxa"/>
            <w:vAlign w:val="bottom"/>
          </w:tcPr>
          <w:p>
            <w:pPr>
              <w:jc w:val="right"/>
              <w:ind w:right="65"/>
              <w:spacing w:after="0"/>
              <w:rPr>
                <w:sz w:val="20"/>
                <w:szCs w:val="20"/>
                <w:color w:val="auto"/>
              </w:rPr>
            </w:pPr>
            <w:r>
              <w:rPr>
                <w:rFonts w:ascii="Arial" w:cs="Arial" w:eastAsia="Arial" w:hAnsi="Arial"/>
                <w:sz w:val="18"/>
                <w:szCs w:val="18"/>
                <w:b w:val="1"/>
                <w:bCs w:val="1"/>
                <w:color w:val="auto"/>
                <w:w w:val="89"/>
              </w:rPr>
              <w:t>September 29,</w:t>
            </w:r>
          </w:p>
        </w:tc>
      </w:tr>
      <w:tr>
        <w:trPr>
          <w:trHeight w:val="234"/>
        </w:trPr>
        <w:tc>
          <w:tcPr>
            <w:tcW w:w="47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25"/>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25"/>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25"/>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25"/>
              <w:spacing w:after="0"/>
              <w:rPr>
                <w:sz w:val="20"/>
                <w:szCs w:val="20"/>
                <w:color w:val="auto"/>
              </w:rPr>
            </w:pPr>
            <w:r>
              <w:rPr>
                <w:rFonts w:ascii="Arial" w:cs="Arial" w:eastAsia="Arial" w:hAnsi="Arial"/>
                <w:sz w:val="18"/>
                <w:szCs w:val="18"/>
                <w:b w:val="1"/>
                <w:bCs w:val="1"/>
                <w:color w:val="auto"/>
              </w:rPr>
              <w:t>2013</w:t>
            </w:r>
          </w:p>
        </w:tc>
      </w:tr>
      <w:tr>
        <w:trPr>
          <w:trHeight w:val="223"/>
        </w:trPr>
        <w:tc>
          <w:tcPr>
            <w:tcW w:w="478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Income (loss) from</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20"/>
                <w:szCs w:val="20"/>
                <w:color w:val="auto"/>
              </w:rPr>
              <w:t>continuing operations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before income taxes (a)</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(266)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20"/>
                <w:szCs w:val="20"/>
                <w:color w:val="auto"/>
              </w:rPr>
              <w:t>591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(2,744)</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(1,050)</w:t>
            </w:r>
          </w:p>
        </w:tc>
      </w:tr>
      <w:tr>
        <w:trPr>
          <w:trHeight w:val="230"/>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80" w:type="dxa"/>
            <w:vAlign w:val="bottom"/>
            <w:shd w:val="clear" w:color="auto" w:fill="CCEEFF"/>
          </w:tcPr>
          <w:p>
            <w:pPr>
              <w:ind w:left="100"/>
              <w:spacing w:after="0"/>
              <w:rPr>
                <w:sz w:val="20"/>
                <w:szCs w:val="20"/>
                <w:color w:val="auto"/>
              </w:rPr>
            </w:pPr>
            <w:r>
              <w:rPr>
                <w:rFonts w:ascii="Arial" w:cs="Arial" w:eastAsia="Arial" w:hAnsi="Arial"/>
                <w:sz w:val="20"/>
                <w:szCs w:val="20"/>
                <w:color w:val="auto"/>
              </w:rPr>
              <w:t>Income tax provision (benefit) (b)</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20"/>
                <w:szCs w:val="20"/>
                <w:color w:val="auto"/>
              </w:rPr>
              <w:t>60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(16)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20"/>
                <w:szCs w:val="20"/>
                <w:color w:val="auto"/>
              </w:rPr>
              <w:t>177</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20"/>
                <w:szCs w:val="20"/>
                <w:color w:val="auto"/>
              </w:rPr>
              <w:t>135</w:t>
            </w:r>
          </w:p>
        </w:tc>
      </w:tr>
      <w:tr>
        <w:trPr>
          <w:trHeight w:val="230"/>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80" w:type="dxa"/>
            <w:vAlign w:val="bottom"/>
            <w:shd w:val="clear" w:color="auto" w:fill="CCEEFF"/>
          </w:tcPr>
          <w:p>
            <w:pPr>
              <w:ind w:left="100"/>
              <w:spacing w:after="0"/>
              <w:rPr>
                <w:sz w:val="20"/>
                <w:szCs w:val="20"/>
                <w:color w:val="auto"/>
              </w:rPr>
            </w:pPr>
            <w:r>
              <w:rPr>
                <w:rFonts w:ascii="Arial" w:cs="Arial" w:eastAsia="Arial" w:hAnsi="Arial"/>
                <w:sz w:val="20"/>
                <w:szCs w:val="20"/>
                <w:color w:val="auto"/>
              </w:rPr>
              <w:t>Effective income tax rate (b/a)</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-12.9%</w:t>
            </w:r>
          </w:p>
        </w:tc>
      </w:tr>
    </w:tbl>
    <w:p>
      <w:pPr>
        <w:spacing w:after="0" w:line="36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The overall effective tax rate is the result of the combination of income and losses in each of our tax jurisdictions, which is particularly influenced by the fact that we have recorded a full reserve against our deferred tax assets pertaining to cumulative historical losses for our U.S. operations and our U.K. subsidiary, as management does not believe, at this time, that it is more likely than not that we will realize the benefit of these losses. We have substantial net operating loss (“NOL”) carryforwards which offset taxable income in the United States. However, we remain subject to the alternative minimum tax in the United States. The alternative minimum tax limits the amount of NOL available to offset taxable income to 90% of the current year income. We incurred $0 and $12 in alternative minimum tax for the three and nine months ended September 29, 2013, respectively, and no alternative minimum tax in 2014. The payment of the alternative minimum tax normally results in the establishment of a deferred tax asset; however, we have established a valuation allowance for this related deferred tax asset.</w:t>
      </w:r>
    </w:p>
    <w:p>
      <w:pPr>
        <w:spacing w:after="0" w:line="18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As of September 28, 2014, we have foreign and domestic NOL’s totaling approximately $65,000 available to reduce future taxable income. Foreign loss carryforwards of approximately $12,500 can be carried forward indefinitely. The domestic NOL carryforward of approximately $52,500 expires from 2019 through 2034. The domestic NOL carryforward includes approximately $2,949 for which a benefit will be recorded in capital in excess of par value when realized.</w:t>
      </w:r>
    </w:p>
    <w:p>
      <w:pPr>
        <w:spacing w:after="0" w:line="194"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10</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92" w:right="239" w:bottom="1440" w:gutter="0" w:footer="0" w:header="0"/>
        </w:sectPr>
      </w:pPr>
    </w:p>
    <w:bookmarkStart w:id="10" w:name="page11"/>
    <w:bookmarkEnd w:id="10"/>
    <w:p>
      <w:pPr>
        <w:jc w:val="both"/>
        <w:ind w:firstLine="324"/>
        <w:spacing w:after="0" w:line="260" w:lineRule="auto"/>
        <w:rPr>
          <w:sz w:val="20"/>
          <w:szCs w:val="20"/>
          <w:color w:val="auto"/>
        </w:rPr>
      </w:pPr>
      <w:r>
        <w:rPr>
          <w:rFonts w:ascii="Arial" w:cs="Arial" w:eastAsia="Arial" w:hAnsi="Arial"/>
          <w:sz w:val="20"/>
          <w:szCs w:val="20"/>
          <w:color w:val="auto"/>
        </w:rPr>
        <w:t>Our unrecognized tax benefits related to uncertain tax positions at September 28, 2014 relate to Federal and various state jurisdictions. The following table summarizes the activity related to our unrecognized tax benefits: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gridSpan w:val="6"/>
          </w:tcPr>
          <w:p>
            <w:pPr>
              <w:ind w:left="780"/>
              <w:spacing w:after="0"/>
              <w:rPr>
                <w:sz w:val="20"/>
                <w:szCs w:val="20"/>
                <w:color w:val="auto"/>
              </w:rPr>
            </w:pPr>
            <w:r>
              <w:rPr>
                <w:rFonts w:ascii="Arial" w:cs="Arial" w:eastAsia="Arial" w:hAnsi="Arial"/>
                <w:sz w:val="20"/>
                <w:szCs w:val="20"/>
                <w:b w:val="1"/>
                <w:bCs w:val="1"/>
                <w:color w:val="auto"/>
              </w:rPr>
              <w:t>Nine month periods ended</w:t>
            </w:r>
          </w:p>
        </w:tc>
      </w:tr>
      <w:tr>
        <w:trPr>
          <w:trHeight w:val="243"/>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ind w:left="40"/>
              <w:spacing w:after="0"/>
              <w:rPr>
                <w:sz w:val="20"/>
                <w:szCs w:val="20"/>
                <w:color w:val="auto"/>
              </w:rPr>
            </w:pPr>
            <w:r>
              <w:rPr>
                <w:rFonts w:ascii="Arial" w:cs="Arial" w:eastAsia="Arial" w:hAnsi="Arial"/>
                <w:sz w:val="20"/>
                <w:szCs w:val="20"/>
                <w:b w:val="1"/>
                <w:bCs w:val="1"/>
                <w:color w:val="auto"/>
              </w:rPr>
              <w:t>September 28,</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20"/>
                <w:szCs w:val="20"/>
                <w:b w:val="1"/>
                <w:bCs w:val="1"/>
                <w:color w:val="auto"/>
                <w:w w:val="89"/>
              </w:rPr>
              <w:t>September 29,</w:t>
            </w:r>
          </w:p>
        </w:tc>
      </w:tr>
      <w:tr>
        <w:trPr>
          <w:trHeight w:val="252"/>
        </w:trPr>
        <w:tc>
          <w:tcPr>
            <w:tcW w:w="7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20"/>
                <w:szCs w:val="20"/>
                <w:b w:val="1"/>
                <w:bCs w:val="1"/>
                <w:color w:val="auto"/>
              </w:rPr>
              <w:t>2014</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2013</w:t>
            </w:r>
          </w:p>
        </w:tc>
        <w:tc>
          <w:tcPr>
            <w:tcW w:w="100" w:type="dxa"/>
            <w:vAlign w:val="bottom"/>
            <w:tcBorders>
              <w:bottom w:val="single" w:sz="8" w:color="auto"/>
            </w:tcBorders>
          </w:tcPr>
          <w:p>
            <w:pPr>
              <w:spacing w:after="0"/>
              <w:rPr>
                <w:sz w:val="21"/>
                <w:szCs w:val="21"/>
                <w:color w:val="auto"/>
              </w:rPr>
            </w:pPr>
          </w:p>
        </w:tc>
      </w:tr>
      <w:tr>
        <w:trPr>
          <w:trHeight w:val="223"/>
        </w:trPr>
        <w:tc>
          <w:tcPr>
            <w:tcW w:w="732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Balance – beginning of period</w:t>
            </w: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460" w:type="dxa"/>
            <w:vAlign w:val="bottom"/>
            <w:gridSpan w:val="2"/>
            <w:shd w:val="clear" w:color="auto" w:fill="CCEEFF"/>
          </w:tcPr>
          <w:p>
            <w:pPr>
              <w:ind w:left="900"/>
              <w:spacing w:after="0" w:line="223" w:lineRule="exact"/>
              <w:rPr>
                <w:sz w:val="20"/>
                <w:szCs w:val="20"/>
                <w:color w:val="auto"/>
              </w:rPr>
            </w:pPr>
            <w:r>
              <w:rPr>
                <w:rFonts w:ascii="Arial" w:cs="Arial" w:eastAsia="Arial" w:hAnsi="Arial"/>
                <w:sz w:val="20"/>
                <w:szCs w:val="20"/>
                <w:color w:val="auto"/>
              </w:rPr>
              <w:t>7,296</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440" w:type="dxa"/>
            <w:vAlign w:val="bottom"/>
            <w:gridSpan w:val="2"/>
            <w:shd w:val="clear" w:color="auto" w:fill="CCEEFF"/>
          </w:tcPr>
          <w:p>
            <w:pPr>
              <w:jc w:val="center"/>
              <w:ind w:left="681"/>
              <w:spacing w:after="0" w:line="223" w:lineRule="exact"/>
              <w:rPr>
                <w:sz w:val="20"/>
                <w:szCs w:val="20"/>
                <w:color w:val="auto"/>
              </w:rPr>
            </w:pPr>
            <w:r>
              <w:rPr>
                <w:rFonts w:ascii="Arial" w:cs="Arial" w:eastAsia="Arial" w:hAnsi="Arial"/>
                <w:sz w:val="20"/>
                <w:szCs w:val="20"/>
                <w:color w:val="auto"/>
                <w:w w:val="91"/>
              </w:rPr>
              <w:t>7,508</w:t>
            </w:r>
          </w:p>
        </w:tc>
      </w:tr>
      <w:tr>
        <w:trPr>
          <w:trHeight w:val="230"/>
        </w:trPr>
        <w:tc>
          <w:tcPr>
            <w:tcW w:w="7320" w:type="dxa"/>
            <w:vAlign w:val="bottom"/>
          </w:tcPr>
          <w:p>
            <w:pPr>
              <w:ind w:left="100"/>
              <w:spacing w:after="0"/>
              <w:rPr>
                <w:sz w:val="20"/>
                <w:szCs w:val="20"/>
                <w:color w:val="auto"/>
              </w:rPr>
            </w:pPr>
            <w:r>
              <w:rPr>
                <w:rFonts w:ascii="Arial" w:cs="Arial" w:eastAsia="Arial" w:hAnsi="Arial"/>
                <w:sz w:val="20"/>
                <w:szCs w:val="20"/>
                <w:color w:val="auto"/>
              </w:rPr>
              <w:t>Increases related to current year tax positions</w:t>
            </w:r>
          </w:p>
        </w:tc>
        <w:tc>
          <w:tcPr>
            <w:tcW w:w="16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Arial" w:cs="Arial" w:eastAsia="Arial" w:hAnsi="Arial"/>
                <w:sz w:val="20"/>
                <w:szCs w:val="20"/>
                <w:color w:val="auto"/>
              </w:rPr>
              <w:t>—</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left="741"/>
              <w:spacing w:after="0"/>
              <w:rPr>
                <w:sz w:val="20"/>
                <w:szCs w:val="20"/>
                <w:color w:val="auto"/>
              </w:rPr>
            </w:pPr>
            <w:r>
              <w:rPr>
                <w:rFonts w:ascii="Arial" w:cs="Arial" w:eastAsia="Arial" w:hAnsi="Arial"/>
                <w:sz w:val="20"/>
                <w:szCs w:val="20"/>
                <w:color w:val="auto"/>
                <w:w w:val="99"/>
              </w:rPr>
              <w:t>—</w:t>
            </w:r>
          </w:p>
        </w:tc>
      </w:tr>
      <w:tr>
        <w:trPr>
          <w:trHeight w:val="230"/>
        </w:trPr>
        <w:tc>
          <w:tcPr>
            <w:tcW w:w="73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Increases related to prior year tax positions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741"/>
              <w:spacing w:after="0"/>
              <w:rPr>
                <w:sz w:val="20"/>
                <w:szCs w:val="20"/>
                <w:color w:val="auto"/>
              </w:rPr>
            </w:pPr>
            <w:r>
              <w:rPr>
                <w:rFonts w:ascii="Arial" w:cs="Arial" w:eastAsia="Arial" w:hAnsi="Arial"/>
                <w:sz w:val="20"/>
                <w:szCs w:val="20"/>
                <w:color w:val="auto"/>
                <w:w w:val="99"/>
              </w:rPr>
              <w:t>—</w:t>
            </w:r>
          </w:p>
        </w:tc>
      </w:tr>
      <w:tr>
        <w:trPr>
          <w:trHeight w:val="230"/>
        </w:trPr>
        <w:tc>
          <w:tcPr>
            <w:tcW w:w="7320" w:type="dxa"/>
            <w:vAlign w:val="bottom"/>
          </w:tcPr>
          <w:p>
            <w:pPr>
              <w:ind w:left="100"/>
              <w:spacing w:after="0"/>
              <w:rPr>
                <w:sz w:val="20"/>
                <w:szCs w:val="20"/>
                <w:color w:val="auto"/>
              </w:rPr>
            </w:pPr>
            <w:r>
              <w:rPr>
                <w:rFonts w:ascii="Arial" w:cs="Arial" w:eastAsia="Arial" w:hAnsi="Arial"/>
                <w:sz w:val="20"/>
                <w:szCs w:val="20"/>
                <w:color w:val="auto"/>
              </w:rPr>
              <w:t>Decreases related to prior year tax positions</w:t>
            </w:r>
          </w:p>
        </w:tc>
        <w:tc>
          <w:tcPr>
            <w:tcW w:w="16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Arial" w:cs="Arial" w:eastAsia="Arial" w:hAnsi="Arial"/>
                <w:sz w:val="20"/>
                <w:szCs w:val="20"/>
                <w:color w:val="auto"/>
              </w:rPr>
              <w:t>—</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left="741"/>
              <w:spacing w:after="0"/>
              <w:rPr>
                <w:sz w:val="20"/>
                <w:szCs w:val="20"/>
                <w:color w:val="auto"/>
              </w:rPr>
            </w:pPr>
            <w:r>
              <w:rPr>
                <w:rFonts w:ascii="Arial" w:cs="Arial" w:eastAsia="Arial" w:hAnsi="Arial"/>
                <w:sz w:val="20"/>
                <w:szCs w:val="20"/>
                <w:color w:val="auto"/>
                <w:w w:val="99"/>
              </w:rPr>
              <w:t>—</w:t>
            </w:r>
          </w:p>
        </w:tc>
      </w:tr>
      <w:tr>
        <w:trPr>
          <w:trHeight w:val="230"/>
        </w:trPr>
        <w:tc>
          <w:tcPr>
            <w:tcW w:w="73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Expiration of statute of limitations for assessment of taxes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741"/>
              <w:spacing w:after="0"/>
              <w:rPr>
                <w:sz w:val="20"/>
                <w:szCs w:val="20"/>
                <w:color w:val="auto"/>
              </w:rPr>
            </w:pPr>
            <w:r>
              <w:rPr>
                <w:rFonts w:ascii="Arial" w:cs="Arial" w:eastAsia="Arial" w:hAnsi="Arial"/>
                <w:sz w:val="20"/>
                <w:szCs w:val="20"/>
                <w:color w:val="auto"/>
                <w:w w:val="99"/>
              </w:rPr>
              <w:t>—</w:t>
            </w:r>
          </w:p>
        </w:tc>
      </w:tr>
      <w:tr>
        <w:trPr>
          <w:trHeight w:val="243"/>
        </w:trPr>
        <w:tc>
          <w:tcPr>
            <w:tcW w:w="7320" w:type="dxa"/>
            <w:vAlign w:val="bottom"/>
          </w:tcPr>
          <w:p>
            <w:pPr>
              <w:ind w:left="100"/>
              <w:spacing w:after="0"/>
              <w:rPr>
                <w:sz w:val="20"/>
                <w:szCs w:val="20"/>
                <w:color w:val="auto"/>
              </w:rPr>
            </w:pPr>
            <w:r>
              <w:rPr>
                <w:rFonts w:ascii="Arial" w:cs="Arial" w:eastAsia="Arial" w:hAnsi="Arial"/>
                <w:sz w:val="20"/>
                <w:szCs w:val="20"/>
                <w:color w:val="auto"/>
              </w:rPr>
              <w:t>Settlements</w:t>
            </w:r>
          </w:p>
        </w:tc>
        <w:tc>
          <w:tcPr>
            <w:tcW w:w="16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20"/>
                <w:szCs w:val="20"/>
                <w:color w:val="auto"/>
              </w:rPr>
              <w:t>—</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left="741"/>
              <w:spacing w:after="0"/>
              <w:rPr>
                <w:sz w:val="20"/>
                <w:szCs w:val="20"/>
                <w:color w:val="auto"/>
              </w:rPr>
            </w:pPr>
            <w:r>
              <w:rPr>
                <w:rFonts w:ascii="Arial" w:cs="Arial" w:eastAsia="Arial" w:hAnsi="Arial"/>
                <w:sz w:val="20"/>
                <w:szCs w:val="20"/>
                <w:color w:val="auto"/>
                <w:w w:val="99"/>
              </w:rPr>
              <w:t>—</w:t>
            </w:r>
          </w:p>
        </w:tc>
      </w:tr>
      <w:tr>
        <w:trPr>
          <w:trHeight w:val="237"/>
        </w:trPr>
        <w:tc>
          <w:tcPr>
            <w:tcW w:w="7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20"/>
                <w:szCs w:val="20"/>
                <w:color w:val="auto"/>
              </w:rPr>
              <w:t>Balance –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20"/>
                <w:szCs w:val="20"/>
                <w:color w:val="auto"/>
                <w:w w:val="83"/>
              </w:rPr>
              <w:t>7,296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CEEFF"/>
          </w:tcPr>
          <w:p>
            <w:pPr>
              <w:jc w:val="center"/>
              <w:ind w:left="781"/>
              <w:spacing w:after="0"/>
              <w:rPr>
                <w:sz w:val="20"/>
                <w:szCs w:val="20"/>
                <w:color w:val="auto"/>
              </w:rPr>
            </w:pPr>
            <w:r>
              <w:rPr>
                <w:rFonts w:ascii="Arial" w:cs="Arial" w:eastAsia="Arial" w:hAnsi="Arial"/>
                <w:sz w:val="20"/>
                <w:szCs w:val="20"/>
                <w:color w:val="auto"/>
                <w:w w:val="91"/>
              </w:rPr>
              <w:t>7,508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6"/>
          <w:szCs w:val="16"/>
          <w:color w:val="auto"/>
        </w:rPr>
        <w:t>The unrecognized tax benefits balance has been recorded as a decrease in the deferred tax asset relating to our NOL carryforward. Because we have recorded a full valuation allowance against our deferred tax assets, the unrecognized tax benefits balance has no effect on our net (loss) income or financial position, as presented. Interest and penalties would begin to accrue in the period in which the NOL carryforwards related to the uncertain tax positions are utilized. We do not expect our unrecognized tax benefits to change significantly over the next twelve months.</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We file income tax returns in various jurisdictions including U.S. federal, U.S. state and foreign jurisdictions. We are routinely subject to examination by taxing authorities in these various jurisdictions. Our U.S. tax matters for the years 2000 through 2013 remain subject to examination by the Internal Revenue Service (“IRS”) and by various state and local tax jurisdictions due to our NOL carryforwards. Our tax matters for the years 2007 through 2013 remain subject to examination by the respective foreign tax jurisdiction authorities. The IRS has completed the examination of our 2009 U.S. federal income tax return, with no resulting material effect to our financial position or results of operations, and has initiated an examination of our 2011 and 2012 U.S. federal income tax returns.</w:t>
      </w:r>
    </w:p>
    <w:p>
      <w:pPr>
        <w:spacing w:after="0" w:line="192"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9.</w:t>
      </w:r>
      <w:r>
        <w:rPr>
          <w:sz w:val="20"/>
          <w:szCs w:val="20"/>
          <w:color w:val="auto"/>
        </w:rPr>
        <w:tab/>
      </w:r>
      <w:r>
        <w:rPr>
          <w:rFonts w:ascii="Arial" w:cs="Arial" w:eastAsia="Arial" w:hAnsi="Arial"/>
          <w:sz w:val="18"/>
          <w:szCs w:val="18"/>
          <w:b w:val="1"/>
          <w:bCs w:val="1"/>
          <w:i w:val="1"/>
          <w:iCs w:val="1"/>
          <w:color w:val="auto"/>
        </w:rPr>
        <w:t>EARNINGS PER SHARE</w:t>
      </w:r>
    </w:p>
    <w:p>
      <w:pPr>
        <w:spacing w:after="0" w:line="20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We have adopted the guidance of the Financial Accounting Standards Board (FASB) for determining whether instruments granted in share-based payment transactions are participating securities. The guidance requires that all outstanding unvested share-based payment awards that contain nonforfeitable rights to dividends or dividend equivalents (such as restricted stock awards granted by us) be considered participating securities. Because restricted stock awards are participating securities, we are required to apply the two-class method of computing basic and diluted earnings per share (the “Two-Class Method”).</w:t>
      </w:r>
    </w:p>
    <w:p>
      <w:pPr>
        <w:spacing w:after="0" w:line="20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Basic earnings per share (“EPS”) is determined using the Two-Class Method and is computed by dividing earnings attributable to the Company’s common shareholders by the weighted-average shares outstanding during the period. The Two-Class Method is an earnings allocation formula that determines EPS for each class of common stock and participating security according to dividends declared and participation rights in undistributed earnings. Diluted EPS includes the dilutive effect of securities, if any, and reflects the more dilutive EPS amount calculated using the treasury stock method or the Two-Class Method. Due to our net losses in the three and nine month periods ended September 28, 2014 and the nine month period ended September 29, 2013, no dilutive securities were considered in those periods.</w:t>
      </w:r>
    </w:p>
    <w:p>
      <w:pPr>
        <w:spacing w:after="0" w:line="168"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11</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892" w:right="239" w:bottom="1440" w:gutter="0" w:footer="0" w:header="0"/>
        </w:sectPr>
      </w:pPr>
    </w:p>
    <w:bookmarkStart w:id="11" w:name="page12"/>
    <w:bookmarkEnd w:id="11"/>
    <w:p>
      <w:pPr>
        <w:jc w:val="both"/>
        <w:ind w:firstLine="409"/>
        <w:spacing w:after="0" w:line="291" w:lineRule="auto"/>
        <w:rPr>
          <w:sz w:val="20"/>
          <w:szCs w:val="20"/>
          <w:color w:val="auto"/>
        </w:rPr>
      </w:pPr>
      <w:r>
        <w:rPr>
          <w:rFonts w:ascii="Arial" w:cs="Arial" w:eastAsia="Arial" w:hAnsi="Arial"/>
          <w:sz w:val="18"/>
          <w:szCs w:val="18"/>
          <w:color w:val="auto"/>
        </w:rPr>
        <w:t>There were 2,020,588 outstanding stock options at September 29, 2013 that were not included in the calculation of EPS for the three month period ended September 29, 2013 because the effect would be anti-dilutive. No outstanding stock options were included in the calculation of EPS for the three and nine month periods ended September 28, 2014, or for the nine month period ended September 29, 2013.</w:t>
      </w:r>
    </w:p>
    <w:p>
      <w:pPr>
        <w:spacing w:after="0" w:line="16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 Purchase Commitments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As of September 28, 2014, we have made commitments to purchase approximately $463 of production machinery and equipment.</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 Product Warranties</w:t>
      </w:r>
    </w:p>
    <w:p>
      <w:pPr>
        <w:spacing w:after="0" w:line="20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nine months of 2014 and 2013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gridSpan w:val="8"/>
          </w:tcPr>
          <w:p>
            <w:pPr>
              <w:jc w:val="right"/>
              <w:ind w:right="940"/>
              <w:spacing w:after="0"/>
              <w:rPr>
                <w:sz w:val="20"/>
                <w:szCs w:val="20"/>
                <w:color w:val="auto"/>
              </w:rPr>
            </w:pPr>
            <w:r>
              <w:rPr>
                <w:rFonts w:ascii="Arial" w:cs="Arial" w:eastAsia="Arial" w:hAnsi="Arial"/>
                <w:sz w:val="20"/>
                <w:szCs w:val="20"/>
                <w:b w:val="1"/>
                <w:bCs w:val="1"/>
                <w:color w:val="auto"/>
              </w:rPr>
              <w:t>Nine month periods ended</w:t>
            </w:r>
          </w:p>
        </w:tc>
      </w:tr>
      <w:tr>
        <w:trPr>
          <w:trHeight w:val="230"/>
        </w:trPr>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3"/>
          </w:tcPr>
          <w:p>
            <w:pPr>
              <w:jc w:val="center"/>
              <w:ind w:right="1060"/>
              <w:spacing w:after="0"/>
              <w:rPr>
                <w:sz w:val="20"/>
                <w:szCs w:val="20"/>
                <w:color w:val="auto"/>
              </w:rPr>
            </w:pPr>
            <w:r>
              <w:rPr>
                <w:rFonts w:ascii="Arial" w:cs="Arial" w:eastAsia="Arial" w:hAnsi="Arial"/>
                <w:sz w:val="20"/>
                <w:szCs w:val="20"/>
                <w:b w:val="1"/>
                <w:bCs w:val="1"/>
                <w:color w:val="auto"/>
                <w:w w:val="89"/>
              </w:rPr>
              <w:t>September 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20"/>
                <w:szCs w:val="20"/>
                <w:b w:val="1"/>
                <w:bCs w:val="1"/>
                <w:color w:val="auto"/>
                <w:w w:val="90"/>
              </w:rPr>
              <w:t>September 29,</w:t>
            </w:r>
          </w:p>
        </w:tc>
      </w:tr>
      <w:tr>
        <w:trPr>
          <w:trHeight w:val="252"/>
        </w:trPr>
        <w:tc>
          <w:tcPr>
            <w:tcW w:w="7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2014</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2013</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r>
      <w:tr>
        <w:trPr>
          <w:trHeight w:val="223"/>
        </w:trPr>
        <w:tc>
          <w:tcPr>
            <w:tcW w:w="732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Accrued warranty obligations – beginning</w:t>
            </w: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460" w:type="dxa"/>
            <w:vAlign w:val="bottom"/>
            <w:gridSpan w:val="2"/>
            <w:shd w:val="clear" w:color="auto" w:fill="CCEEFF"/>
          </w:tcPr>
          <w:p>
            <w:pPr>
              <w:jc w:val="right"/>
              <w:ind w:right="120"/>
              <w:spacing w:after="0" w:line="223" w:lineRule="exact"/>
              <w:rPr>
                <w:sz w:val="20"/>
                <w:szCs w:val="20"/>
                <w:color w:val="auto"/>
              </w:rPr>
            </w:pPr>
            <w:r>
              <w:rPr>
                <w:rFonts w:ascii="Arial" w:cs="Arial" w:eastAsia="Arial" w:hAnsi="Arial"/>
                <w:sz w:val="20"/>
                <w:szCs w:val="20"/>
                <w:color w:val="auto"/>
              </w:rPr>
              <w:t>513</w:t>
            </w: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
              <w:spacing w:after="0" w:line="223" w:lineRule="exact"/>
              <w:rPr>
                <w:sz w:val="20"/>
                <w:szCs w:val="20"/>
                <w:color w:val="auto"/>
              </w:rPr>
            </w:pPr>
            <w:r>
              <w:rPr>
                <w:rFonts w:ascii="Arial" w:cs="Arial" w:eastAsia="Arial" w:hAnsi="Arial"/>
                <w:sz w:val="20"/>
                <w:szCs w:val="20"/>
                <w:color w:val="auto"/>
              </w:rPr>
              <w:t>607</w:t>
            </w:r>
          </w:p>
        </w:tc>
        <w:tc>
          <w:tcPr>
            <w:tcW w:w="80" w:type="dxa"/>
            <w:vAlign w:val="bottom"/>
            <w:shd w:val="clear" w:color="auto" w:fill="CCEEFF"/>
          </w:tcPr>
          <w:p>
            <w:pPr>
              <w:spacing w:after="0"/>
              <w:rPr>
                <w:sz w:val="19"/>
                <w:szCs w:val="19"/>
                <w:color w:val="auto"/>
              </w:rPr>
            </w:pPr>
          </w:p>
        </w:tc>
      </w:tr>
      <w:tr>
        <w:trPr>
          <w:trHeight w:val="230"/>
        </w:trPr>
        <w:tc>
          <w:tcPr>
            <w:tcW w:w="7320" w:type="dxa"/>
            <w:vAlign w:val="bottom"/>
          </w:tcPr>
          <w:p>
            <w:pPr>
              <w:ind w:left="100"/>
              <w:spacing w:after="0"/>
              <w:rPr>
                <w:sz w:val="20"/>
                <w:szCs w:val="20"/>
                <w:color w:val="auto"/>
              </w:rPr>
            </w:pPr>
            <w:r>
              <w:rPr>
                <w:rFonts w:ascii="Arial" w:cs="Arial" w:eastAsia="Arial" w:hAnsi="Arial"/>
                <w:sz w:val="20"/>
                <w:szCs w:val="20"/>
                <w:color w:val="auto"/>
              </w:rPr>
              <w:t>Accruals for warranties issued</w:t>
            </w: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0"/>
                <w:szCs w:val="20"/>
                <w:color w:val="auto"/>
              </w:rPr>
              <w:t>77</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0"/>
                <w:szCs w:val="20"/>
                <w:color w:val="auto"/>
              </w:rPr>
              <w:t>174</w:t>
            </w:r>
          </w:p>
        </w:tc>
        <w:tc>
          <w:tcPr>
            <w:tcW w:w="80" w:type="dxa"/>
            <w:vAlign w:val="bottom"/>
          </w:tcPr>
          <w:p>
            <w:pPr>
              <w:spacing w:after="0"/>
              <w:rPr>
                <w:sz w:val="19"/>
                <w:szCs w:val="19"/>
                <w:color w:val="auto"/>
              </w:rPr>
            </w:pPr>
          </w:p>
        </w:tc>
      </w:tr>
      <w:tr>
        <w:trPr>
          <w:trHeight w:val="243"/>
        </w:trPr>
        <w:tc>
          <w:tcPr>
            <w:tcW w:w="73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Settlements made</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(90)</w:t>
            </w: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(68)</w:t>
            </w:r>
          </w:p>
        </w:tc>
      </w:tr>
      <w:tr>
        <w:trPr>
          <w:trHeight w:val="237"/>
        </w:trPr>
        <w:tc>
          <w:tcPr>
            <w:tcW w:w="7320" w:type="dxa"/>
            <w:vAlign w:val="bottom"/>
          </w:tcPr>
          <w:p>
            <w:pPr>
              <w:ind w:left="100"/>
              <w:spacing w:after="0"/>
              <w:rPr>
                <w:sz w:val="20"/>
                <w:szCs w:val="20"/>
                <w:color w:val="auto"/>
              </w:rPr>
            </w:pPr>
            <w:r>
              <w:rPr>
                <w:rFonts w:ascii="Arial" w:cs="Arial" w:eastAsia="Arial" w:hAnsi="Arial"/>
                <w:sz w:val="20"/>
                <w:szCs w:val="20"/>
                <w:color w:val="auto"/>
              </w:rPr>
              <w:t>Accrued warranty obligations – ending</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500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713</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 Contingencies and Legal Matters</w:t>
      </w:r>
    </w:p>
    <w:p>
      <w:pPr>
        <w:spacing w:after="0" w:line="20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are subject to legal proceedings and claims that arise from time to time in the normal course of business. We believe that the final disposition of such matters, other than the matters described below, will not have a material adverse effect on our financial position, results of operations or cash flows.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Arista Power Litigation</w:t>
      </w:r>
    </w:p>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On September 23, 2011, we initiated an action against Arista Power, Inc. (“Arista”) and our former senior sales and engineering employee, David Modeen (“Modeen”) in the State of New York Supreme Court, County of Wayne (the “Wayne County Action”). In our initial Complaint, we alleged that Arista recruited all but one of the members of its executive team from us, subsequently changed and redirected its business to compete directly with us by using our confidential information, and during the summer of 2011, recruited Modeen to become an Arista employee. We also allege that, as a result of actions by Arista and Modeen: (i) Modeen has breached the terms of his Employee Confidentiality, Non-Disclosure, Non-Compete, Non-Disparagement and Assignment Agreement with us as well as other obligations he owes us; (ii) Arista’s employment of Modeen will inevitably lead to the disclosure and use of our trade secrets by Arista, in violation of Modeen’s obligations to us; (iii) Arista unlawfully induced Modeen to breach his obligations to us; and (iv) Arista’s recruitment and employment of Modeen has breached a subcontract between Arista and us. In February 2012, we amended our Complaint to allege more broadly that Arista has misappropriated our trade secrets and confidential and strategic information related to products, technical requirements, markets, customers and sales and marketing, including (but not solely) through the recruitment and employment of Modeen. We seek damages as determined at trial and preliminary and permanent injunctive relief. The defendants answered the allegations set forth in the Complaint and Amended Complaint, without asserting any counterclaims.</w:t>
      </w:r>
    </w:p>
    <w:p>
      <w:pPr>
        <w:spacing w:after="0" w:line="185"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12</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63" w:right="239" w:bottom="1440" w:gutter="0" w:footer="0" w:header="0"/>
        </w:sectPr>
      </w:pPr>
    </w:p>
    <w:bookmarkStart w:id="12" w:name="page13"/>
    <w:bookmarkEnd w:id="12"/>
    <w:p>
      <w:pPr>
        <w:jc w:val="both"/>
        <w:ind w:firstLine="324"/>
        <w:spacing w:after="0" w:line="256" w:lineRule="auto"/>
        <w:rPr>
          <w:sz w:val="20"/>
          <w:szCs w:val="20"/>
          <w:color w:val="auto"/>
        </w:rPr>
      </w:pPr>
      <w:r>
        <w:rPr>
          <w:rFonts w:ascii="Arial" w:cs="Arial" w:eastAsia="Arial" w:hAnsi="Arial"/>
          <w:sz w:val="19"/>
          <w:szCs w:val="19"/>
          <w:color w:val="auto"/>
        </w:rPr>
        <w:t>On December 5, 2011, Arista served us with a Complaint it filed on November 29, 2011 in the State of New York Supreme Court, County of Monroe (the “Monroe County Action”) against us, our officers, several of our directors, and an employee. In its Complaint, Arista alleges that we and the named defendants have violated the terms of a Confidentiality Agreement with Arista and have unfairly competed against Arista by unlawfully appropriating Arista’s trade secrets and that as a result of such activity, Arista has incurred damages in excess of $60,000, and seeks damages, an accounting, and preliminary and permanent injunctive relief. After various motions, two amendments to its original Complaint and discovery between the parties, Arista withdrew all of its claims against all defendants other than the Company and one employee and the Stipulation and Order dismissing those claims was filed on September 20, 2013. On March 16, 2014, Arista delivered a Stipulation of Discontinuance With Prejudice agreeing to withdraw all remaining claims against us and our employee with prejudice which would preclude Arista from pursuing the claims that had been asserted in the Monroe County Action against us and our employee in a new suit or as counterclaims in the Wayne County Action.</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Company’s Wayne County Action continues and discovery is in process.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 Other Matters – China Manufacturing Facility Move</w:t>
      </w:r>
    </w:p>
    <w:p>
      <w:pPr>
        <w:spacing w:after="0" w:line="20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During the first quarter of 2014, we received an informal notice from the landlord of our China facility that we may not be able to extend our lease past its expiration in October 2014 due to possible zoning changes in the village where the facility is located. In response to this informal notification, we changed the period over which the China plant’s leasehold improvements are being depreciated to coincide with the expiration of the lease in October 2014.</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During the second quarter of 2014, the landlord confirmed to us that the lease for our China facility would not be extended, and we commenced a search for an alternate site to relocate our facility. We also developed plans to increase our manufacturing output in advance of the move so as to minimize the disruption of such a move to both our customers and the Company’s operations.</w:t>
      </w:r>
    </w:p>
    <w:p>
      <w:pPr>
        <w:spacing w:after="0" w:line="184" w:lineRule="exact"/>
        <w:rPr>
          <w:sz w:val="20"/>
          <w:szCs w:val="20"/>
          <w:color w:val="auto"/>
        </w:rPr>
      </w:pPr>
    </w:p>
    <w:p>
      <w:pPr>
        <w:jc w:val="both"/>
        <w:ind w:firstLine="382"/>
        <w:spacing w:after="0" w:line="269" w:lineRule="auto"/>
        <w:rPr>
          <w:sz w:val="20"/>
          <w:szCs w:val="20"/>
          <w:color w:val="auto"/>
        </w:rPr>
      </w:pPr>
      <w:r>
        <w:rPr>
          <w:rFonts w:ascii="Arial" w:cs="Arial" w:eastAsia="Arial" w:hAnsi="Arial"/>
          <w:sz w:val="19"/>
          <w:szCs w:val="19"/>
          <w:color w:val="auto"/>
        </w:rPr>
        <w:t>In July 2014, the Company’s subsidiary in China entered into a lease for a replacement facility, also located in Shenzhen. The lease has a five year term, includes two rent-free months, and requires rent payments of RMB117 (approximately $19 at the current exchange rate) per month for the first three years, increasing to RMB126 (approximately $20) per month for the final two years.</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In September 2014, the Company’s subsidiary in China entered into agreements with the local village government in Shenzhen, China and the subsidiary’s landlord for the facility the subsidiary is required to vacate. These agreements require the local government to compensate both the subsidiary and landlord for the building, leasehold improvements and additional expenses to be incurred in moving from this facility. The subsidiary’s share of this compensation was determined to be $740, and this amount was received during the third quarter.</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It is the Company’s policy to recognize this compensation as a pro-rata reduction of expenses as the expenses are recognized. The unrecognized balance is deferred and carried as a current liability.</w:t>
      </w:r>
    </w:p>
    <w:p>
      <w:pPr>
        <w:spacing w:after="0" w:line="19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Company estimates that the total expenses of moving, including forfeited leasehold improvements, moving costs, legal costs, labor retention incentives and business interruption costs will total approximately $900. During the three month period ended September 28, 2014, the Company recognized $356 of the government’s compensation as a reduction of expenses. Total expenses relating to the relocation were $351 and $475 in the three and nine month periods ended September 28, 2014.</w:t>
      </w:r>
    </w:p>
    <w:p>
      <w:pPr>
        <w:spacing w:after="0" w:line="200" w:lineRule="exact"/>
        <w:rPr>
          <w:sz w:val="20"/>
          <w:szCs w:val="20"/>
          <w:color w:val="auto"/>
        </w:rPr>
      </w:pPr>
    </w:p>
    <w:p>
      <w:pPr>
        <w:spacing w:after="0" w:line="224"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13</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892" w:right="239" w:bottom="1440" w:gutter="0" w:footer="0" w:header="0"/>
        </w:sectPr>
      </w:pPr>
    </w:p>
    <w:bookmarkStart w:id="13" w:name="page14"/>
    <w:bookmarkEnd w:id="13"/>
    <w:p>
      <w:pPr>
        <w:ind w:left="760" w:hanging="752"/>
        <w:spacing w:after="0"/>
        <w:tabs>
          <w:tab w:leader="none" w:pos="7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BUSINESS SEGMENT INFORMATION</w:t>
      </w:r>
    </w:p>
    <w:p>
      <w:pPr>
        <w:spacing w:after="0" w:line="20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components of segment performance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40" w:type="dxa"/>
            <w:vAlign w:val="bottom"/>
          </w:tcPr>
          <w:p>
            <w:pPr>
              <w:spacing w:after="0"/>
              <w:rPr>
                <w:sz w:val="20"/>
                <w:szCs w:val="20"/>
                <w:color w:val="auto"/>
              </w:rPr>
            </w:pPr>
            <w:r>
              <w:rPr>
                <w:rFonts w:ascii="Arial" w:cs="Arial" w:eastAsia="Arial" w:hAnsi="Arial"/>
                <w:sz w:val="20"/>
                <w:szCs w:val="20"/>
                <w:b w:val="1"/>
                <w:bCs w:val="1"/>
                <w:color w:val="auto"/>
                <w:w w:val="92"/>
              </w:rPr>
              <w:t>Three-Month Period Ended September 28, 2014:</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05"/>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61"/>
              <w:spacing w:after="0"/>
              <w:rPr>
                <w:sz w:val="20"/>
                <w:szCs w:val="20"/>
                <w:color w:val="auto"/>
              </w:rPr>
            </w:pPr>
            <w:r>
              <w:rPr>
                <w:rFonts w:ascii="Arial" w:cs="Arial" w:eastAsia="Arial" w:hAnsi="Arial"/>
                <w:sz w:val="20"/>
                <w:szCs w:val="20"/>
                <w:b w:val="1"/>
                <w:bCs w:val="1"/>
                <w:color w:val="auto"/>
                <w:w w:val="94"/>
              </w:rPr>
              <w:t>Battery &amp;</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0"/>
              </w:rPr>
              <w:t>Communi-</w:t>
            </w:r>
          </w:p>
        </w:tc>
        <w:tc>
          <w:tcPr>
            <w:tcW w:w="1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9"/>
              </w:rPr>
              <w:t>Dis-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81"/>
              <w:spacing w:after="0"/>
              <w:rPr>
                <w:sz w:val="20"/>
                <w:szCs w:val="20"/>
                <w:color w:val="auto"/>
              </w:rPr>
            </w:pPr>
            <w:r>
              <w:rPr>
                <w:rFonts w:ascii="Arial" w:cs="Arial" w:eastAsia="Arial" w:hAnsi="Arial"/>
                <w:sz w:val="20"/>
                <w:szCs w:val="20"/>
                <w:b w:val="1"/>
                <w:bCs w:val="1"/>
                <w:color w:val="auto"/>
                <w:w w:val="91"/>
              </w:rPr>
              <w:t>Energy</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cations</w:t>
            </w:r>
          </w:p>
        </w:tc>
        <w:tc>
          <w:tcPr>
            <w:tcW w:w="14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20"/>
                <w:szCs w:val="20"/>
                <w:b w:val="1"/>
                <w:bCs w:val="1"/>
                <w:color w:val="auto"/>
                <w:w w:val="92"/>
              </w:rPr>
              <w:t>continued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2"/>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center"/>
              <w:ind w:right="61"/>
              <w:spacing w:after="0"/>
              <w:rPr>
                <w:sz w:val="20"/>
                <w:szCs w:val="20"/>
                <w:color w:val="auto"/>
              </w:rPr>
            </w:pPr>
            <w:r>
              <w:rPr>
                <w:rFonts w:ascii="Arial" w:cs="Arial" w:eastAsia="Arial" w:hAnsi="Arial"/>
                <w:sz w:val="20"/>
                <w:szCs w:val="20"/>
                <w:b w:val="1"/>
                <w:bCs w:val="1"/>
                <w:color w:val="auto"/>
                <w:w w:val="87"/>
              </w:rPr>
              <w:t>Products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systems</w:t>
            </w:r>
          </w:p>
        </w:tc>
        <w:tc>
          <w:tcPr>
            <w:tcW w:w="14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6"/>
              </w:rPr>
              <w:t>operations</w:t>
            </w:r>
          </w:p>
        </w:tc>
        <w:tc>
          <w:tcPr>
            <w:tcW w:w="140" w:type="dxa"/>
            <w:vAlign w:val="bottom"/>
          </w:tcPr>
          <w:p>
            <w:pPr>
              <w:spacing w:after="0"/>
              <w:rPr>
                <w:sz w:val="21"/>
                <w:szCs w:val="21"/>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w w:val="94"/>
              </w:rPr>
              <w:t>Corporate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1"/>
              <w:spacing w:after="0"/>
              <w:rPr>
                <w:sz w:val="20"/>
                <w:szCs w:val="20"/>
                <w:color w:val="auto"/>
              </w:rPr>
            </w:pPr>
            <w:r>
              <w:rPr>
                <w:rFonts w:ascii="Arial" w:cs="Arial" w:eastAsia="Arial" w:hAnsi="Arial"/>
                <w:sz w:val="20"/>
                <w:szCs w:val="20"/>
                <w:b w:val="1"/>
                <w:bCs w:val="1"/>
                <w:color w:val="auto"/>
              </w:rPr>
              <w:t>Total</w:t>
            </w:r>
          </w:p>
        </w:tc>
      </w:tr>
      <w:tr>
        <w:trPr>
          <w:trHeight w:val="223"/>
        </w:trPr>
        <w:tc>
          <w:tcPr>
            <w:tcW w:w="4240" w:type="dxa"/>
            <w:vAlign w:val="bottom"/>
            <w:tcBorders>
              <w:top w:val="single" w:sz="8" w:color="CCEEFF"/>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Revenues</w:t>
            </w: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13,913</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2,149</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16,062</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Segment contribution</w:t>
            </w:r>
          </w:p>
        </w:tc>
        <w:tc>
          <w:tcPr>
            <w:tcW w:w="1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3,812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674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(4,541)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Interest, financing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20"/>
                <w:szCs w:val="20"/>
                <w:color w:val="auto"/>
              </w:rPr>
              <w:t>and miscellaneous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expense,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(211)</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Tax provision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Discontinued operations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Noncontrolling interest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Net loss attributable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20"/>
                <w:szCs w:val="20"/>
                <w:color w:val="auto"/>
              </w:rPr>
              <w:t>to Ultralife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gridSpan w:val="3"/>
          </w:tcPr>
          <w:p>
            <w:pPr>
              <w:ind w:left="2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(323)</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39,568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29,649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18,323</w:t>
            </w:r>
          </w:p>
        </w:tc>
        <w:tc>
          <w:tcPr>
            <w:tcW w:w="460" w:type="dxa"/>
            <w:vAlign w:val="bottom"/>
            <w:gridSpan w:val="3"/>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87,540</w:t>
            </w:r>
          </w:p>
        </w:tc>
      </w:tr>
      <w:tr>
        <w:trPr>
          <w:trHeight w:val="450"/>
        </w:trPr>
        <w:tc>
          <w:tcPr>
            <w:tcW w:w="4240" w:type="dxa"/>
            <w:vAlign w:val="bottom"/>
          </w:tcPr>
          <w:p>
            <w:pPr>
              <w:spacing w:after="0"/>
              <w:rPr>
                <w:sz w:val="20"/>
                <w:szCs w:val="20"/>
                <w:color w:val="auto"/>
              </w:rPr>
            </w:pPr>
            <w:r>
              <w:rPr>
                <w:rFonts w:ascii="Arial" w:cs="Arial" w:eastAsia="Arial" w:hAnsi="Arial"/>
                <w:sz w:val="20"/>
                <w:szCs w:val="20"/>
                <w:b w:val="1"/>
                <w:bCs w:val="1"/>
                <w:color w:val="auto"/>
                <w:w w:val="92"/>
              </w:rPr>
              <w:t>Three-Month Period Ended September 29, 2013:</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61"/>
              <w:spacing w:after="0"/>
              <w:rPr>
                <w:sz w:val="20"/>
                <w:szCs w:val="20"/>
                <w:color w:val="auto"/>
              </w:rPr>
            </w:pPr>
            <w:r>
              <w:rPr>
                <w:rFonts w:ascii="Arial" w:cs="Arial" w:eastAsia="Arial" w:hAnsi="Arial"/>
                <w:sz w:val="20"/>
                <w:szCs w:val="20"/>
                <w:b w:val="1"/>
                <w:bCs w:val="1"/>
                <w:color w:val="auto"/>
                <w:w w:val="94"/>
              </w:rPr>
              <w:t>Battery &amp;</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0"/>
              </w:rPr>
              <w:t>Communi-</w:t>
            </w:r>
          </w:p>
        </w:tc>
        <w:tc>
          <w:tcPr>
            <w:tcW w:w="1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9"/>
              </w:rPr>
              <w:t>Dis-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81"/>
              <w:spacing w:after="0"/>
              <w:rPr>
                <w:sz w:val="20"/>
                <w:szCs w:val="20"/>
                <w:color w:val="auto"/>
              </w:rPr>
            </w:pPr>
            <w:r>
              <w:rPr>
                <w:rFonts w:ascii="Arial" w:cs="Arial" w:eastAsia="Arial" w:hAnsi="Arial"/>
                <w:sz w:val="20"/>
                <w:szCs w:val="20"/>
                <w:b w:val="1"/>
                <w:bCs w:val="1"/>
                <w:color w:val="auto"/>
                <w:w w:val="91"/>
              </w:rPr>
              <w:t>Energy</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cations</w:t>
            </w:r>
          </w:p>
        </w:tc>
        <w:tc>
          <w:tcPr>
            <w:tcW w:w="14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20"/>
                <w:szCs w:val="20"/>
                <w:b w:val="1"/>
                <w:bCs w:val="1"/>
                <w:color w:val="auto"/>
                <w:w w:val="92"/>
              </w:rPr>
              <w:t>continued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2"/>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center"/>
              <w:ind w:right="61"/>
              <w:spacing w:after="0"/>
              <w:rPr>
                <w:sz w:val="20"/>
                <w:szCs w:val="20"/>
                <w:color w:val="auto"/>
              </w:rPr>
            </w:pPr>
            <w:r>
              <w:rPr>
                <w:rFonts w:ascii="Arial" w:cs="Arial" w:eastAsia="Arial" w:hAnsi="Arial"/>
                <w:sz w:val="20"/>
                <w:szCs w:val="20"/>
                <w:b w:val="1"/>
                <w:bCs w:val="1"/>
                <w:color w:val="auto"/>
                <w:w w:val="87"/>
              </w:rPr>
              <w:t>Products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systems</w:t>
            </w:r>
          </w:p>
        </w:tc>
        <w:tc>
          <w:tcPr>
            <w:tcW w:w="14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6"/>
              </w:rPr>
              <w:t>operations</w:t>
            </w:r>
          </w:p>
        </w:tc>
        <w:tc>
          <w:tcPr>
            <w:tcW w:w="140" w:type="dxa"/>
            <w:vAlign w:val="bottom"/>
          </w:tcPr>
          <w:p>
            <w:pPr>
              <w:spacing w:after="0"/>
              <w:rPr>
                <w:sz w:val="21"/>
                <w:szCs w:val="21"/>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w w:val="94"/>
              </w:rPr>
              <w:t>Corporate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1"/>
              <w:spacing w:after="0"/>
              <w:rPr>
                <w:sz w:val="20"/>
                <w:szCs w:val="20"/>
                <w:color w:val="auto"/>
              </w:rPr>
            </w:pPr>
            <w:r>
              <w:rPr>
                <w:rFonts w:ascii="Arial" w:cs="Arial" w:eastAsia="Arial" w:hAnsi="Arial"/>
                <w:sz w:val="20"/>
                <w:szCs w:val="20"/>
                <w:b w:val="1"/>
                <w:bCs w:val="1"/>
                <w:color w:val="auto"/>
              </w:rPr>
              <w:t>Total</w:t>
            </w:r>
          </w:p>
        </w:tc>
      </w:tr>
      <w:tr>
        <w:trPr>
          <w:trHeight w:val="223"/>
        </w:trPr>
        <w:tc>
          <w:tcPr>
            <w:tcW w:w="4240" w:type="dxa"/>
            <w:vAlign w:val="bottom"/>
            <w:tcBorders>
              <w:top w:val="single" w:sz="8" w:color="CCEEFF"/>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Revenues</w:t>
            </w: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13,507</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6,854</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20,361</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Segment contribution</w:t>
            </w:r>
          </w:p>
        </w:tc>
        <w:tc>
          <w:tcPr>
            <w:tcW w:w="1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3,601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2,526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(5,475)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652</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Interest, financing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20"/>
                <w:szCs w:val="20"/>
                <w:color w:val="auto"/>
              </w:rPr>
              <w:t>and miscellaneous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expense,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Tax benefit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16</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Discontinued operations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15</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Noncontrolling interest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22</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Net income attributable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20"/>
                <w:szCs w:val="20"/>
                <w:color w:val="auto"/>
              </w:rPr>
              <w:t>to Ultralife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gridSpan w:val="3"/>
          </w:tcPr>
          <w:p>
            <w:pPr>
              <w:ind w:left="22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644</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42,679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32,268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13,728</w:t>
            </w:r>
          </w:p>
        </w:tc>
        <w:tc>
          <w:tcPr>
            <w:tcW w:w="460" w:type="dxa"/>
            <w:vAlign w:val="bottom"/>
            <w:gridSpan w:val="3"/>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88,675</w:t>
            </w:r>
          </w:p>
        </w:tc>
      </w:tr>
      <w:tr>
        <w:trPr>
          <w:trHeight w:val="392"/>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bottom w:val="single" w:sz="8" w:color="0000EE"/>
            </w:tcBorders>
            <w:gridSpan w:val="3"/>
          </w:tcPr>
          <w:p>
            <w:pPr>
              <w:spacing w:after="0"/>
              <w:rPr>
                <w:rFonts w:ascii="Arial" w:cs="Arial" w:eastAsia="Arial" w:hAnsi="Arial"/>
                <w:sz w:val="18"/>
                <w:szCs w:val="18"/>
                <w:i w:val="1"/>
                <w:iCs w:val="1"/>
                <w:color w:val="0000EE"/>
                <w:w w:val="87"/>
              </w:rPr>
            </w:pPr>
            <w:hyperlink w:anchor="page2">
              <w:r>
                <w:rPr>
                  <w:rFonts w:ascii="Arial" w:cs="Arial" w:eastAsia="Arial" w:hAnsi="Arial"/>
                  <w:sz w:val="18"/>
                  <w:szCs w:val="18"/>
                  <w:i w:val="1"/>
                  <w:iCs w:val="1"/>
                  <w:color w:val="0000EE"/>
                  <w:w w:val="87"/>
                </w:rPr>
                <w:t>Table of Contents</w:t>
              </w:r>
            </w:hyperlink>
          </w:p>
        </w:tc>
      </w:tr>
    </w:tbl>
    <w:p>
      <w:pPr>
        <w:sectPr>
          <w:pgSz w:w="11900" w:h="16838" w:orient="portrait"/>
          <w:cols w:equalWidth="0" w:num="1">
            <w:col w:w="11420"/>
          </w:cols>
          <w:pgMar w:left="240" w:top="892"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40" w:type="dxa"/>
            <w:vAlign w:val="bottom"/>
          </w:tcPr>
          <w:p>
            <w:pPr>
              <w:ind w:left="60"/>
              <w:spacing w:after="0"/>
              <w:rPr>
                <w:sz w:val="20"/>
                <w:szCs w:val="20"/>
                <w:color w:val="auto"/>
              </w:rPr>
            </w:pPr>
            <w:r>
              <w:rPr>
                <w:rFonts w:ascii="Arial" w:cs="Arial" w:eastAsia="Arial" w:hAnsi="Arial"/>
                <w:sz w:val="20"/>
                <w:szCs w:val="20"/>
                <w:b w:val="1"/>
                <w:bCs w:val="1"/>
                <w:color w:val="auto"/>
                <w:w w:val="93"/>
              </w:rPr>
              <w:t>Nine-Month Period Ended September 28, 2014:</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05"/>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4"/>
              </w:rPr>
              <w:t>Battery &amp;</w:t>
            </w:r>
          </w:p>
        </w:tc>
        <w:tc>
          <w:tcPr>
            <w:tcW w:w="1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0"/>
              </w:rPr>
              <w:t>Communi-</w:t>
            </w:r>
          </w:p>
        </w:tc>
        <w:tc>
          <w:tcPr>
            <w:tcW w:w="1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9"/>
              </w:rPr>
              <w:t>Dis-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91"/>
              </w:rPr>
              <w:t>Energy</w:t>
            </w:r>
          </w:p>
        </w:tc>
        <w:tc>
          <w:tcPr>
            <w:tcW w:w="1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cations</w:t>
            </w:r>
          </w:p>
        </w:tc>
        <w:tc>
          <w:tcPr>
            <w:tcW w:w="14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7"/>
              </w:rPr>
              <w:t>continued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2"/>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7"/>
              </w:rPr>
              <w:t>Products</w:t>
            </w:r>
          </w:p>
        </w:tc>
        <w:tc>
          <w:tcPr>
            <w:tcW w:w="1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systems</w:t>
            </w:r>
          </w:p>
        </w:tc>
        <w:tc>
          <w:tcPr>
            <w:tcW w:w="14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6"/>
              </w:rPr>
              <w:t>operations</w:t>
            </w:r>
          </w:p>
        </w:tc>
        <w:tc>
          <w:tcPr>
            <w:tcW w:w="140" w:type="dxa"/>
            <w:vAlign w:val="bottom"/>
          </w:tcPr>
          <w:p>
            <w:pPr>
              <w:spacing w:after="0"/>
              <w:rPr>
                <w:sz w:val="21"/>
                <w:szCs w:val="21"/>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w w:val="94"/>
              </w:rPr>
              <w:t>Corporate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1"/>
              <w:spacing w:after="0"/>
              <w:rPr>
                <w:sz w:val="20"/>
                <w:szCs w:val="20"/>
                <w:color w:val="auto"/>
              </w:rPr>
            </w:pPr>
            <w:r>
              <w:rPr>
                <w:rFonts w:ascii="Arial" w:cs="Arial" w:eastAsia="Arial" w:hAnsi="Arial"/>
                <w:sz w:val="20"/>
                <w:szCs w:val="20"/>
                <w:b w:val="1"/>
                <w:bCs w:val="1"/>
                <w:color w:val="auto"/>
              </w:rPr>
              <w:t>Total</w:t>
            </w:r>
          </w:p>
        </w:tc>
      </w:tr>
      <w:tr>
        <w:trPr>
          <w:trHeight w:val="223"/>
        </w:trPr>
        <w:tc>
          <w:tcPr>
            <w:tcW w:w="4240" w:type="dxa"/>
            <w:vAlign w:val="bottom"/>
            <w:tcBorders>
              <w:top w:val="single" w:sz="8" w:color="CCEEFF"/>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Revenues</w:t>
            </w: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40,000</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6,546</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ind w:left="700"/>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46,546</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Segment contribution</w:t>
            </w:r>
          </w:p>
        </w:tc>
        <w:tc>
          <w:tcPr>
            <w:tcW w:w="1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10,489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2,544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(15,508)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(2,475)</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Interest, financing and</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20"/>
                <w:szCs w:val="20"/>
                <w:color w:val="auto"/>
              </w:rPr>
              <w:t>miscellaneous expense, net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(269)</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Tax provision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Discontinued operations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ind w:left="740"/>
              <w:spacing w:after="0"/>
              <w:rPr>
                <w:sz w:val="20"/>
                <w:szCs w:val="20"/>
                <w:color w:val="auto"/>
              </w:rPr>
            </w:pPr>
            <w:r>
              <w:rPr>
                <w:rFonts w:ascii="Arial" w:cs="Arial" w:eastAsia="Arial" w:hAnsi="Arial"/>
                <w:sz w:val="20"/>
                <w:szCs w:val="20"/>
                <w:color w:val="auto"/>
                <w:w w:val="95"/>
              </w:rPr>
              <w:t>(61)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Noncontrolling interest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Net loss attributable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to Ultralife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(2,969)</w:t>
            </w:r>
          </w:p>
        </w:tc>
      </w:tr>
      <w:tr>
        <w:trPr>
          <w:trHeight w:val="450"/>
        </w:trPr>
        <w:tc>
          <w:tcPr>
            <w:tcW w:w="4240" w:type="dxa"/>
            <w:vAlign w:val="bottom"/>
          </w:tcPr>
          <w:p>
            <w:pPr>
              <w:spacing w:after="0"/>
              <w:rPr>
                <w:sz w:val="20"/>
                <w:szCs w:val="20"/>
                <w:color w:val="auto"/>
              </w:rPr>
            </w:pPr>
            <w:r>
              <w:rPr>
                <w:rFonts w:ascii="Arial" w:cs="Arial" w:eastAsia="Arial" w:hAnsi="Arial"/>
                <w:sz w:val="20"/>
                <w:szCs w:val="20"/>
                <w:b w:val="1"/>
                <w:bCs w:val="1"/>
                <w:color w:val="auto"/>
                <w:w w:val="95"/>
              </w:rPr>
              <w:t>Nine-Month Period Ended September 29, 2013:</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4"/>
              </w:rPr>
              <w:t>Battery &amp;</w:t>
            </w:r>
          </w:p>
        </w:tc>
        <w:tc>
          <w:tcPr>
            <w:tcW w:w="1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0"/>
              </w:rPr>
              <w:t>Communi-</w:t>
            </w:r>
          </w:p>
        </w:tc>
        <w:tc>
          <w:tcPr>
            <w:tcW w:w="1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9"/>
              </w:rPr>
              <w:t>Dis-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91"/>
              </w:rPr>
              <w:t>Energy</w:t>
            </w:r>
          </w:p>
        </w:tc>
        <w:tc>
          <w:tcPr>
            <w:tcW w:w="1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cations</w:t>
            </w:r>
          </w:p>
        </w:tc>
        <w:tc>
          <w:tcPr>
            <w:tcW w:w="14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7"/>
              </w:rPr>
              <w:t>continued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2"/>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7"/>
              </w:rPr>
              <w:t>Products</w:t>
            </w:r>
          </w:p>
        </w:tc>
        <w:tc>
          <w:tcPr>
            <w:tcW w:w="1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systems</w:t>
            </w:r>
          </w:p>
        </w:tc>
        <w:tc>
          <w:tcPr>
            <w:tcW w:w="14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6"/>
              </w:rPr>
              <w:t>operations</w:t>
            </w:r>
          </w:p>
        </w:tc>
        <w:tc>
          <w:tcPr>
            <w:tcW w:w="140" w:type="dxa"/>
            <w:vAlign w:val="bottom"/>
          </w:tcPr>
          <w:p>
            <w:pPr>
              <w:spacing w:after="0"/>
              <w:rPr>
                <w:sz w:val="21"/>
                <w:szCs w:val="21"/>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w w:val="94"/>
              </w:rPr>
              <w:t>Corporate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1"/>
              <w:spacing w:after="0"/>
              <w:rPr>
                <w:sz w:val="20"/>
                <w:szCs w:val="20"/>
                <w:color w:val="auto"/>
              </w:rPr>
            </w:pPr>
            <w:r>
              <w:rPr>
                <w:rFonts w:ascii="Arial" w:cs="Arial" w:eastAsia="Arial" w:hAnsi="Arial"/>
                <w:sz w:val="20"/>
                <w:szCs w:val="20"/>
                <w:b w:val="1"/>
                <w:bCs w:val="1"/>
                <w:color w:val="auto"/>
              </w:rPr>
              <w:t>Total</w:t>
            </w:r>
          </w:p>
        </w:tc>
      </w:tr>
      <w:tr>
        <w:trPr>
          <w:trHeight w:val="223"/>
        </w:trPr>
        <w:tc>
          <w:tcPr>
            <w:tcW w:w="4240" w:type="dxa"/>
            <w:vAlign w:val="bottom"/>
            <w:tcBorders>
              <w:top w:val="single" w:sz="8" w:color="CCEEFF"/>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Revenues</w:t>
            </w: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41,216</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17,443</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ind w:left="700"/>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58,659</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Segment contribution</w:t>
            </w:r>
          </w:p>
        </w:tc>
        <w:tc>
          <w:tcPr>
            <w:tcW w:w="1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10,191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6,837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(17,875)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(847)</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Interest, financing and</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20"/>
                <w:szCs w:val="20"/>
                <w:color w:val="auto"/>
              </w:rPr>
              <w:t>miscellaneous expense, net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(203)</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Tax provision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Discontinued operations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ind w:left="700"/>
              <w:spacing w:after="0"/>
              <w:rPr>
                <w:sz w:val="20"/>
                <w:szCs w:val="20"/>
                <w:color w:val="auto"/>
              </w:rPr>
            </w:pPr>
            <w:r>
              <w:rPr>
                <w:rFonts w:ascii="Arial" w:cs="Arial" w:eastAsia="Arial" w:hAnsi="Arial"/>
                <w:sz w:val="20"/>
                <w:szCs w:val="20"/>
                <w:color w:val="auto"/>
              </w:rPr>
              <w:t>159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159</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Noncontrolling interest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31</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Net loss attributable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to Ultralife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(995)</w:t>
            </w:r>
          </w:p>
        </w:tc>
      </w:tr>
    </w:tbl>
    <w:p>
      <w:pPr>
        <w:spacing w:after="0" w:line="19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FAIR VALUE OF FINANCIAL INSTRUMENTS</w:t>
      </w:r>
    </w:p>
    <w:p>
      <w:pPr>
        <w:spacing w:after="0" w:line="20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FASB’s guidance for the disclosure regarding fair value of financial instruments requires disclosure of an estimate of the fair value of certain financial instruments. The fair value of financial instruments pursuant to FASB’s guidance for the disclosure regarding fair value of financial instruments approximated their carrying values at September 28, 2014 and December 31, 2013. The fair value of cash, trade accounts receivable, trade accounts payable and accrued liabilities approximates carrying value due to the short-term nature of these instruments.</w:t>
      </w:r>
    </w:p>
    <w:p>
      <w:pPr>
        <w:spacing w:after="0" w:line="16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RECENT ACCOUNTING PRONOUNCEMENTS AND DEVELOPMENTS</w:t>
      </w:r>
    </w:p>
    <w:p>
      <w:pPr>
        <w:spacing w:after="0" w:line="202"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 xml:space="preserve">In April 2014, the </w:t>
      </w:r>
      <w:r>
        <w:rPr>
          <w:rFonts w:ascii="Arial" w:cs="Arial" w:eastAsia="Arial" w:hAnsi="Arial"/>
          <w:sz w:val="20"/>
          <w:szCs w:val="20"/>
          <w:i w:val="1"/>
          <w:iCs w:val="1"/>
          <w:color w:val="auto"/>
        </w:rPr>
        <w:t>Financial Accounting Standards Board</w:t>
      </w:r>
      <w:r>
        <w:rPr>
          <w:rFonts w:ascii="Arial" w:cs="Arial" w:eastAsia="Arial" w:hAnsi="Arial"/>
          <w:sz w:val="20"/>
          <w:szCs w:val="20"/>
          <w:color w:val="auto"/>
        </w:rPr>
        <w:t xml:space="preserve"> (FASB) issued authoritative guidance amending existing requirements for reporting discontinued operations. Under the new guidance, discontinued operations reporting will be limited to disposal transactions that represent strategic shifts having a major effect on operations and financial results. The amended guidance also enhances disclosures and requires assets and liabilities of a discontinued operation to be classified as such for all periods presented in the financial statements. Public entities will apply the amended guidance prospectively to all disposals occurring within annual periods beginning on or after December 15, 2014 and interim periods within those years. The Company will adopt this standard on January 1, 2015. Due to the change in requirements for reporting discontinued operations described above, presentation and disclosures of future disposal transactions after adoption may be different than under current standards.</w:t>
      </w:r>
    </w:p>
    <w:p>
      <w:pPr>
        <w:spacing w:after="0" w:line="200" w:lineRule="exact"/>
        <w:rPr>
          <w:sz w:val="20"/>
          <w:szCs w:val="20"/>
          <w:color w:val="auto"/>
        </w:rPr>
      </w:pPr>
    </w:p>
    <w:p>
      <w:pPr>
        <w:spacing w:after="0" w:line="230"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15</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57" w:right="239" w:bottom="1440" w:gutter="0" w:footer="0" w:header="0"/>
        </w:sectPr>
      </w:pPr>
    </w:p>
    <w:bookmarkStart w:id="15" w:name="page16"/>
    <w:bookmarkEnd w:id="15"/>
    <w:p>
      <w:pPr>
        <w:jc w:val="both"/>
        <w:ind w:firstLine="324"/>
        <w:spacing w:after="0" w:line="256" w:lineRule="auto"/>
        <w:rPr>
          <w:sz w:val="20"/>
          <w:szCs w:val="20"/>
          <w:color w:val="auto"/>
        </w:rPr>
      </w:pPr>
      <w:r>
        <w:rPr>
          <w:rFonts w:ascii="Arial" w:cs="Arial" w:eastAsia="Arial" w:hAnsi="Arial"/>
          <w:sz w:val="19"/>
          <w:szCs w:val="19"/>
          <w:color w:val="auto"/>
        </w:rPr>
        <w:t xml:space="preserve">In May 2014, the FASB issued Accounting Standards Update (ASU) No. 2014-09,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xml:space="preserve"> that outlines a single comprehensive model for entities to use in accounting for revenue arising from contracts with customers and supersedes most current revenue recognition guidance, including industry-specific guidance. The ASU is based on the principle that an entity should recognize revenue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fulfill a contract. Entities have the option of using either a full retrospective or a modified retrospective approach for the adoption of the new standard. The ASU becomes effective for annual reporting periods beginning after December 15, 2016, including interim periods within that reporting period; early adoption is not permitted. The Company is currently assessing the impact that this standard will have on its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a certain key customer; possible reduced or further delayed U.S. and foreign defense spending, including the uncertainty of government budget approvals; possible delays or lack of success in our efforts to develop new commercial applications for our products; possible declines in demand for products using our batteries or communications systems; general domestic and global economic conditions; variability in our quarterly and annual results and price of our common stock; the unique risks associated with our Chinese operations; the possibility of impairment of our intangible assets; potential breaches in security and other disruptions; the possibility that our resources could be overwhelmed by our growth prospects; residual effects of negative news related to our industries; potential significant costs from our warranties; loss of top management; possible disruptions in our supply of raw materials and components; failure of customers to meet the volume expectations in our supply agreements; our inability to adequately protect our proprietary and intellectual property; the possibility that our ability to use our NOL carryforwards in the future may be limited; possible adverse effects from violations of the U.S. Foreign Corrupt Practices Act and other anti-corruption laws; variability of foreign currencies; the process of U.S. defense procurement; possible effects of audits of our contracts by the U.S. and foreign governments; our compliance with the regulations for the shipment of our products; business disruptions and other safety risks including those caused by fires; government and environmental regulations;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2013.</w:t>
      </w:r>
    </w:p>
    <w:p>
      <w:pPr>
        <w:spacing w:after="0" w:line="19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2013 to reflect new information or risks, future events or other developments.</w:t>
      </w:r>
    </w:p>
    <w:p>
      <w:pPr>
        <w:spacing w:after="0" w:line="194"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16</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663" w:right="239" w:bottom="1440" w:gutter="0" w:footer="0" w:header="0"/>
        </w:sectPr>
      </w:pPr>
    </w:p>
    <w:bookmarkStart w:id="16" w:name="page17"/>
    <w:bookmarkEnd w:id="16"/>
    <w:p>
      <w:pPr>
        <w:jc w:val="both"/>
        <w:ind w:firstLine="324"/>
        <w:spacing w:after="0" w:line="250" w:lineRule="auto"/>
        <w:rPr>
          <w:sz w:val="20"/>
          <w:szCs w:val="20"/>
          <w:color w:val="auto"/>
        </w:rPr>
      </w:pPr>
      <w:r>
        <w:rPr>
          <w:rFonts w:ascii="Arial" w:cs="Arial" w:eastAsia="Arial" w:hAnsi="Arial"/>
          <w:sz w:val="20"/>
          <w:szCs w:val="20"/>
          <w:color w:val="auto"/>
        </w:rPr>
        <w:t>The following discussion and analysis should be read in conjunction with the accompanying Condensed Consolidated Financial Statements and Notes thereto appearing elsewhere in this Form 10-Q and our Consolidated Financial Statements and Notes thereto contained in our Form 10-K for the year ended December 31, 2013.</w:t>
      </w:r>
    </w:p>
    <w:p>
      <w:pPr>
        <w:spacing w:after="0" w:line="20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General</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We offer products and services ranging from portable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continually evaluate ways to grow and broaden the scope of our products and services, including the design, development and sale of new products, expansion of our sales force to penetrate new markets and geographies, as well as seeking opportunities to expand through acquisitions. We sell our products worldwide through a variety of trade channels, including original equipment manufacturers (“OEMs”), industrial and defense supply distributors and directly to U.S. and international defense departments.</w:t>
      </w:r>
    </w:p>
    <w:p>
      <w:pPr>
        <w:spacing w:after="0" w:line="19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Overview</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Consolidated revenues of $16,062 for the three-month period ended September 28, 2014, decreased by $4,299 or 21.1%, from $20,361 during the three-month period ended September 29, 2013, primarily due to the continued worldwide retrenchment of government and defense spending, which offset a 36% increase in commercial revenue for the Battery &amp; Energy Products business.</w:t>
      </w:r>
    </w:p>
    <w:p>
      <w:pPr>
        <w:spacing w:after="0" w:line="18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Gross profit for the three-month period ended September 28, 2014 was $4,486, or 27.9% of revenues, compared to $6,127, or 30.1% of revenues, for the same quarter a year ago. The 220 basis points decrease is due primarily to the reduction in overall revenue contribution of the higher margin Communications Systems sales, which declined from 34% of revenues in the third quarter of 2013 to 14% in the 2014 period. The impact of the sales mix was partially offset by the improvement of gross margin for the Battery &amp; Energy Products business which grew 70 basis points to 27.4% for the 2014 period reflecting a higher mix of commercial products.</w:t>
      </w:r>
    </w:p>
    <w:p>
      <w:pPr>
        <w:spacing w:after="0" w:line="194" w:lineRule="exact"/>
        <w:rPr>
          <w:sz w:val="20"/>
          <w:szCs w:val="20"/>
          <w:color w:val="auto"/>
        </w:rPr>
      </w:pPr>
    </w:p>
    <w:p>
      <w:pPr>
        <w:ind w:right="280" w:firstLine="324"/>
        <w:spacing w:after="0" w:line="250" w:lineRule="auto"/>
        <w:rPr>
          <w:sz w:val="20"/>
          <w:szCs w:val="20"/>
          <w:color w:val="auto"/>
        </w:rPr>
      </w:pPr>
      <w:r>
        <w:rPr>
          <w:rFonts w:ascii="Arial" w:cs="Arial" w:eastAsia="Arial" w:hAnsi="Arial"/>
          <w:sz w:val="20"/>
          <w:szCs w:val="20"/>
          <w:color w:val="auto"/>
        </w:rPr>
        <w:t>Operating expenses decreased to $4,541 during the three-month period ended September 28, 2014, compared to $5,475 during the three-month period ended September 29, 2013, resulting primarily from continued reductions in discretionary spending, the timing of certain expenses related to new product development and lower sales commissions.</w:t>
      </w:r>
    </w:p>
    <w:p>
      <w:pPr>
        <w:spacing w:after="0" w:line="189"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17</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92" w:right="239" w:bottom="1440" w:gutter="0" w:footer="0" w:header="0"/>
        </w:sectPr>
      </w:pPr>
    </w:p>
    <w:bookmarkStart w:id="17" w:name="page18"/>
    <w:bookmarkEnd w:id="17"/>
    <w:p>
      <w:pPr>
        <w:jc w:val="both"/>
        <w:ind w:firstLine="324"/>
        <w:spacing w:after="0" w:line="250" w:lineRule="auto"/>
        <w:rPr>
          <w:sz w:val="20"/>
          <w:szCs w:val="20"/>
          <w:color w:val="auto"/>
        </w:rPr>
      </w:pPr>
      <w:r>
        <w:rPr>
          <w:rFonts w:ascii="Arial" w:cs="Arial" w:eastAsia="Arial" w:hAnsi="Arial"/>
          <w:sz w:val="20"/>
          <w:szCs w:val="20"/>
          <w:color w:val="auto"/>
        </w:rPr>
        <w:t>The lower revenue and resulting impact on gross profit was almost offset by lower operating expenses, resulting in an operating loss of $55 for the three-month period ended September 28, 2014, compared to an operating profit of $652 for the three-month period ended September 29, 2013.</w:t>
      </w:r>
    </w:p>
    <w:p>
      <w:pPr>
        <w:spacing w:after="0" w:line="20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Net loss from continuing operations was $(326), or $(0.02) per share, for the three-month period ended September 28, 2014, compared to a net income of $607 or $0.04 per share, for the three-month period ended September 29, 2013. Net income from discontinued operations was $0, or $0.00 per share, for the three-month period ended September 28, 2014 versus $15, or $0.00 per share, for the three-month period ended September 29, 2013.</w:t>
      </w:r>
    </w:p>
    <w:p>
      <w:pPr>
        <w:spacing w:after="0" w:line="20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Adjusted EBITDA from continuing operations, defined as net income (loss) attributable to Ultralife before net interest expense, provision (benefit) for income taxes, depreciation and amortization, plus/minus expenses/income that we do not consider reflective of our ongoing continuing operations, amounted to $815 in the third quarter of 2014 compared to $1,798 for the third quarter of 2013. See the section “Adjusted EBITDA from continuing operations” beginning on page 23 for a reconciliation of Adjusted EBITDA from continuing operations to net (loss) income attributable to Ultralife.</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As a result of careful working capital management and cash generated from operations, our liquidity remains solid with no debt, and cash and cash equivalents of $15,571, a $4,786 (or 44%) increase over the cash position of $10,785 as of the third quarter of 2013. The increase in cash and cash equivalents from the third quarter of 2013 is primarily attributable to more timely accounts receivable collections. Cash and cash equivalents as of September 28, 2014 decreased by $918 from $16,489 as of December 31, 2013. The decrease in cash and cash equivalents from December 31, 2013 is primarily attributable to increased inventories to service anticipated market opportunities and the repurchase of Ultralife shares in conjunction with our share repurchase program.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Outlook</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9"/>
          <w:szCs w:val="19"/>
          <w:color w:val="auto"/>
        </w:rPr>
        <w:t>Despite the Company’s commercial sales momentum, management now expects revenue for the year to be up to 20% below last year given the reduction in global government and defense spending exacerbated by the continued timing uncertainties of several Communications Systems projects. As a result, management expects an operating loss of approximately 3% - 4% of sales for the year.</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Management cautions that the timing of orders and shipments may cause variability in quarterly results.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Three-month periods ended September 28, 2014 and September 29, 2013</w:t>
      </w:r>
    </w:p>
    <w:p>
      <w:pPr>
        <w:spacing w:after="0" w:line="22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20"/>
          <w:szCs w:val="20"/>
          <w:b w:val="1"/>
          <w:bCs w:val="1"/>
          <w:color w:val="auto"/>
        </w:rPr>
        <w:t xml:space="preserve">Revenues. </w:t>
      </w:r>
      <w:r>
        <w:rPr>
          <w:rFonts w:ascii="Arial" w:cs="Arial" w:eastAsia="Arial" w:hAnsi="Arial"/>
          <w:sz w:val="20"/>
          <w:szCs w:val="20"/>
          <w:color w:val="auto"/>
        </w:rPr>
        <w:t>Consolidated revenues for the three-month period ended September 28, 2014 amounted to $16,062, a decrease of $4,299, or</w:t>
      </w:r>
      <w:r>
        <w:rPr>
          <w:rFonts w:ascii="Arial" w:cs="Arial" w:eastAsia="Arial" w:hAnsi="Arial"/>
          <w:sz w:val="20"/>
          <w:szCs w:val="20"/>
          <w:b w:val="1"/>
          <w:bCs w:val="1"/>
          <w:color w:val="auto"/>
        </w:rPr>
        <w:t xml:space="preserve"> </w:t>
      </w:r>
      <w:r>
        <w:rPr>
          <w:rFonts w:ascii="Arial" w:cs="Arial" w:eastAsia="Arial" w:hAnsi="Arial"/>
          <w:sz w:val="20"/>
          <w:szCs w:val="20"/>
          <w:color w:val="auto"/>
        </w:rPr>
        <w:t>21.1%, from the $20,361 reported for the three-month period ended September 29, 2013.</w:t>
      </w:r>
    </w:p>
    <w:p>
      <w:pPr>
        <w:spacing w:after="0" w:line="17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Battery &amp; Energy Products revenues increased $406, or 3.0%, from $13,507 for the three-month period ended September 29, 2013 to $13,913 for the three-month period ended September 28, 2014. Commercial sales of this business increased $2,235 or 36.0% over the 2013 three month period and now comprise 60.6% of total segment sales versus 45.9% last year. This increase was partially offset by lower shipments to government and defense customers which declined by $1,830 or 25.0% from 2013 primarily due to the continued slowdown in U.S. government and defense order rate for rechargeable and non-rechargeable batteries.</w:t>
      </w:r>
    </w:p>
    <w:p>
      <w:pPr>
        <w:spacing w:after="0" w:line="183"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18</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92" w:right="239" w:bottom="1440" w:gutter="0" w:footer="0" w:header="0"/>
        </w:sectPr>
      </w:pPr>
    </w:p>
    <w:bookmarkStart w:id="18" w:name="page19"/>
    <w:bookmarkEnd w:id="18"/>
    <w:p>
      <w:pPr>
        <w:jc w:val="both"/>
        <w:ind w:firstLine="324"/>
        <w:spacing w:after="0" w:line="250" w:lineRule="auto"/>
        <w:rPr>
          <w:sz w:val="20"/>
          <w:szCs w:val="20"/>
          <w:color w:val="auto"/>
        </w:rPr>
      </w:pPr>
      <w:r>
        <w:rPr>
          <w:rFonts w:ascii="Arial" w:cs="Arial" w:eastAsia="Arial" w:hAnsi="Arial"/>
          <w:sz w:val="20"/>
          <w:szCs w:val="20"/>
          <w:color w:val="auto"/>
        </w:rPr>
        <w:t>Communications Systems revenues decreased $4,705, or 68.6%, from $6,854 during the three-month period ended September 29, 2013 to $2,149 for the three-month period ended September 28, 2014, reflecting ongoing soft order flow from the government and defense customers and continued delays in approving U.S. Government orders.</w:t>
      </w:r>
    </w:p>
    <w:p>
      <w:pPr>
        <w:spacing w:after="0" w:line="194"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8"/>
          <w:szCs w:val="18"/>
          <w:b w:val="1"/>
          <w:bCs w:val="1"/>
          <w:color w:val="auto"/>
        </w:rPr>
        <w:t xml:space="preserve">Cost of Products Sold. </w:t>
      </w:r>
      <w:r>
        <w:rPr>
          <w:rFonts w:ascii="Arial" w:cs="Arial" w:eastAsia="Arial" w:hAnsi="Arial"/>
          <w:sz w:val="18"/>
          <w:szCs w:val="18"/>
          <w:color w:val="auto"/>
        </w:rPr>
        <w:t>Cost of products sold totaled $11,576 for the quarter ended September 28, 2014, a decrease of $2,658, or 18.7%,</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$14,234 reported for the same three-month period a year ago. Consolidated cost of products sold as a percentage of total revenue increased from 69.9% for the three-month period ended September 29, 2013 to 72.1% for the three-month period ended September 28, 2014. Correspondingly, consolidated gross margin was 27.9% for the three-month period ended September 28, 2014, compared with 30.1% for the three-month period ended September 29, 2013, reflecting a lower mix of the higher margin Communications Systems revenues.</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In our Battery &amp; Energy Products segment, the cost of products sold increased $194, from $9,906 during the three-month period ended September 29, 2013 to $10,100 during the three-month period ended September 28, 2014. Battery &amp; Energy Products’ gross profit for the third quarter of 2014 was $3,813, or 27.4% of revenues, an increase of $212 from gross profit of $3,601, or 26.7% of revenues, for the third quarter of 2013. Battery &amp; Energy Products’ gross margin as a percentage of revenues increased for the three-month period ended September 28, 2014 by 70 basis points, reflecting increased sales of higher margin commercial products.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The Company estimates that the total expenses of moving its facility in China, including forfeited leasehold improvements, moving costs, legal costs, labor retention incentives and business interruption costs will total approximately $900. During the three month period ended September 28, 2014, the Company recognized as a reduction of expenses $356 of the local government’s compensation for the expenses to be incurred in relation to this move. Total expenses relating to the relocation were $351 in this period.</w:t>
      </w:r>
    </w:p>
    <w:p>
      <w:pPr>
        <w:spacing w:after="0" w:line="19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In our Communications Systems segment, the cost of products sold decreased by $2,852 or 65.9% from $4,328 during the three-month period ended September 29, 2013 to $1,476 during the three-month period ended September 28, 2014. Communications Systems’ gross profit for the third quarter of 2014 was $673, or 31.3% of revenues, a decrease of $1,853 from gross profit of $2,526, or 36.9% of revenues, for the third quarter of 2013. The 560 basis points decrease in gross margin as a percentage of revenue during 2014 is due to lower production volumes and unfavorable product mix.</w:t>
      </w:r>
    </w:p>
    <w:p>
      <w:pPr>
        <w:spacing w:after="0" w:line="202"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three-month period ended September 28, 2014 totaled $4,541, a decrease of $934 or</w:t>
      </w:r>
      <w:r>
        <w:rPr>
          <w:rFonts w:ascii="Arial" w:cs="Arial" w:eastAsia="Arial" w:hAnsi="Arial"/>
          <w:sz w:val="18"/>
          <w:szCs w:val="18"/>
          <w:b w:val="1"/>
          <w:bCs w:val="1"/>
          <w:color w:val="auto"/>
        </w:rPr>
        <w:t xml:space="preserve"> </w:t>
      </w:r>
      <w:r>
        <w:rPr>
          <w:rFonts w:ascii="Arial" w:cs="Arial" w:eastAsia="Arial" w:hAnsi="Arial"/>
          <w:sz w:val="18"/>
          <w:szCs w:val="18"/>
          <w:color w:val="auto"/>
        </w:rPr>
        <w:t>17.1% from the $5,475 recorded during the three-month period ended September 28, 2013, resulting primarily from continued reductions in discretionary spending, the timing of certain expenses related to new product development and lower sales commissions.</w:t>
      </w:r>
    </w:p>
    <w:p>
      <w:pPr>
        <w:spacing w:after="0" w:line="16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Overall, operating expenses as a percentage of revenues were 28.3% for the quarter ended September 28, 2014 compared to 26.9% for the quarter ended September 28, 2013. Amortization expense associated with intangible assets related to our acquisitions was $78 for the third quarter of 2014 ($34 in selling, general and administrative expenses and $44 in research and development costs), compared with $102 for the third quarter of 2013 ($46 in selling, general, and administrative expenses and $56 in research and development costs). Research and development costs were $1,014 for the three-month period ended September 28, 2014, a decrease of $404, or 28.5%, from $1,418 for the three-months ended September 29, 2013, reflecting our sharpened focus on the development of new products with the highest estimated return on investment as well as the timing of the related programs. Selling, general, and administrative expenses decreased $530, or 13.1%, to $3,527 during the third quarter of 2014 from $4,057 during the third quarter of 2013, reflecting continued actions to reduce discretionary general and administrative expenses and lower sales commissions earned.</w:t>
      </w:r>
    </w:p>
    <w:p>
      <w:pPr>
        <w:spacing w:after="0" w:line="200" w:lineRule="exact"/>
        <w:rPr>
          <w:sz w:val="20"/>
          <w:szCs w:val="20"/>
          <w:color w:val="auto"/>
        </w:rPr>
      </w:pPr>
    </w:p>
    <w:p>
      <w:pPr>
        <w:spacing w:after="0" w:line="217"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19</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92" w:right="239" w:bottom="1440" w:gutter="0" w:footer="0" w:header="0"/>
        </w:sectPr>
      </w:pPr>
    </w:p>
    <w:bookmarkStart w:id="19" w:name="page20"/>
    <w:bookmarkEnd w:id="19"/>
    <w:p>
      <w:pPr>
        <w:jc w:val="both"/>
        <w:ind w:firstLine="324"/>
        <w:spacing w:after="0" w:line="285"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($211) for the three-month period ended September 28, 2014 compared to ($61)</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three-month period ended September 28, 2013. Interest and financing expense, net of interest income, stayed flat at $53 for both the third quarter of 2014 and the third quarter of 2013. Miscellaneous expense amounted to $158 for the third quarter of 2014 compared with $8 for the third quarter of 2013, primarily due to transactions impacted by changes in foreign currencies relative to the U.S. dollar.</w:t>
      </w:r>
    </w:p>
    <w:p>
      <w:pPr>
        <w:spacing w:after="0" w:line="165"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$60 for the third quarter of 2014 compared with a tax benefit of $16 for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2013. The tax benefit in the third quarter of 2013 was primarily due to the retroactive impact of a reduction of the statutory rate for our China operation. The effective consolidated tax rate for the three-month periods ended September 28, 2014 and September 29, 2013 was:</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340" w:type="dxa"/>
            <w:vAlign w:val="bottom"/>
          </w:tcPr>
          <w:p>
            <w:pPr>
              <w:spacing w:after="0"/>
              <w:rPr>
                <w:sz w:val="19"/>
                <w:szCs w:val="19"/>
                <w:color w:val="auto"/>
              </w:rPr>
            </w:pPr>
          </w:p>
        </w:tc>
        <w:tc>
          <w:tcPr>
            <w:tcW w:w="3980" w:type="dxa"/>
            <w:vAlign w:val="bottom"/>
            <w:gridSpan w:val="3"/>
          </w:tcPr>
          <w:p>
            <w:pPr>
              <w:jc w:val="right"/>
              <w:ind w:right="721"/>
              <w:spacing w:after="0"/>
              <w:rPr>
                <w:sz w:val="20"/>
                <w:szCs w:val="20"/>
                <w:color w:val="auto"/>
              </w:rPr>
            </w:pPr>
            <w:r>
              <w:rPr>
                <w:rFonts w:ascii="Arial" w:cs="Arial" w:eastAsia="Arial" w:hAnsi="Arial"/>
                <w:sz w:val="20"/>
                <w:szCs w:val="20"/>
                <w:b w:val="1"/>
                <w:bCs w:val="1"/>
                <w:color w:val="auto"/>
              </w:rPr>
              <w:t>Three month periods ended</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19"/>
                <w:szCs w:val="19"/>
                <w:color w:val="auto"/>
              </w:rPr>
            </w:pPr>
          </w:p>
        </w:tc>
        <w:tc>
          <w:tcPr>
            <w:tcW w:w="2160" w:type="dxa"/>
            <w:vAlign w:val="bottom"/>
            <w:gridSpan w:val="2"/>
          </w:tcPr>
          <w:p>
            <w:pPr>
              <w:ind w:left="540"/>
              <w:spacing w:after="0"/>
              <w:rPr>
                <w:sz w:val="20"/>
                <w:szCs w:val="20"/>
                <w:color w:val="auto"/>
              </w:rPr>
            </w:pPr>
            <w:r>
              <w:rPr>
                <w:rFonts w:ascii="Arial" w:cs="Arial" w:eastAsia="Arial" w:hAnsi="Arial"/>
                <w:sz w:val="20"/>
                <w:szCs w:val="20"/>
                <w:b w:val="1"/>
                <w:bCs w:val="1"/>
                <w:color w:val="auto"/>
              </w:rPr>
              <w:t>Sept. 28,</w:t>
            </w:r>
          </w:p>
        </w:tc>
        <w:tc>
          <w:tcPr>
            <w:tcW w:w="1820" w:type="dxa"/>
            <w:vAlign w:val="bottom"/>
          </w:tcPr>
          <w:p>
            <w:pPr>
              <w:jc w:val="right"/>
              <w:ind w:right="461"/>
              <w:spacing w:after="0"/>
              <w:rPr>
                <w:sz w:val="20"/>
                <w:szCs w:val="20"/>
                <w:color w:val="auto"/>
              </w:rPr>
            </w:pPr>
            <w:r>
              <w:rPr>
                <w:rFonts w:ascii="Arial" w:cs="Arial" w:eastAsia="Arial" w:hAnsi="Arial"/>
                <w:sz w:val="20"/>
                <w:szCs w:val="20"/>
                <w:b w:val="1"/>
                <w:bCs w:val="1"/>
                <w:color w:val="auto"/>
              </w:rPr>
              <w:t>Sept. 29,</w:t>
            </w:r>
          </w:p>
        </w:tc>
        <w:tc>
          <w:tcPr>
            <w:tcW w:w="0" w:type="dxa"/>
            <w:vAlign w:val="bottom"/>
          </w:tcPr>
          <w:p>
            <w:pPr>
              <w:spacing w:after="0"/>
              <w:rPr>
                <w:sz w:val="1"/>
                <w:szCs w:val="1"/>
                <w:color w:val="auto"/>
              </w:rPr>
            </w:pPr>
          </w:p>
        </w:tc>
      </w:tr>
      <w:tr>
        <w:trPr>
          <w:trHeight w:val="252"/>
        </w:trPr>
        <w:tc>
          <w:tcPr>
            <w:tcW w:w="7340" w:type="dxa"/>
            <w:vAlign w:val="bottom"/>
            <w:vMerge w:val="restart"/>
          </w:tcPr>
          <w:p>
            <w:pPr>
              <w:spacing w:after="0"/>
              <w:rPr>
                <w:sz w:val="20"/>
                <w:szCs w:val="20"/>
                <w:color w:val="auto"/>
              </w:rPr>
            </w:pPr>
            <w:r>
              <w:rPr>
                <w:rFonts w:ascii="Arial" w:cs="Arial" w:eastAsia="Arial" w:hAnsi="Arial"/>
                <w:sz w:val="20"/>
                <w:szCs w:val="20"/>
                <w:color w:val="auto"/>
              </w:rPr>
              <w:t>(Loss) income from continuing operations before</w:t>
            </w:r>
          </w:p>
        </w:tc>
        <w:tc>
          <w:tcPr>
            <w:tcW w:w="18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2014</w:t>
            </w:r>
          </w:p>
        </w:tc>
        <w:tc>
          <w:tcPr>
            <w:tcW w:w="340" w:type="dxa"/>
            <w:vAlign w:val="bottom"/>
          </w:tcPr>
          <w:p>
            <w:pPr>
              <w:spacing w:after="0"/>
              <w:rPr>
                <w:sz w:val="21"/>
                <w:szCs w:val="21"/>
                <w:color w:val="auto"/>
              </w:rPr>
            </w:pPr>
          </w:p>
        </w:tc>
        <w:tc>
          <w:tcPr>
            <w:tcW w:w="18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2013</w:t>
            </w:r>
          </w:p>
        </w:tc>
        <w:tc>
          <w:tcPr>
            <w:tcW w:w="0" w:type="dxa"/>
            <w:vAlign w:val="bottom"/>
          </w:tcPr>
          <w:p>
            <w:pPr>
              <w:spacing w:after="0"/>
              <w:rPr>
                <w:sz w:val="1"/>
                <w:szCs w:val="1"/>
                <w:color w:val="auto"/>
              </w:rPr>
            </w:pPr>
          </w:p>
        </w:tc>
      </w:tr>
      <w:tr>
        <w:trPr>
          <w:trHeight w:val="206"/>
        </w:trPr>
        <w:tc>
          <w:tcPr>
            <w:tcW w:w="734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40" w:type="dxa"/>
            <w:vAlign w:val="bottom"/>
          </w:tcPr>
          <w:p>
            <w:pPr>
              <w:ind w:left="160"/>
              <w:spacing w:after="0"/>
              <w:rPr>
                <w:sz w:val="20"/>
                <w:szCs w:val="20"/>
                <w:color w:val="auto"/>
              </w:rPr>
            </w:pPr>
            <w:r>
              <w:rPr>
                <w:rFonts w:ascii="Arial" w:cs="Arial" w:eastAsia="Arial" w:hAnsi="Arial"/>
                <w:sz w:val="20"/>
                <w:szCs w:val="20"/>
                <w:color w:val="auto"/>
              </w:rPr>
              <w:t>income taxes (a)</w:t>
            </w:r>
          </w:p>
        </w:tc>
        <w:tc>
          <w:tcPr>
            <w:tcW w:w="1820" w:type="dxa"/>
            <w:vAlign w:val="bottom"/>
          </w:tcPr>
          <w:p>
            <w:pPr>
              <w:jc w:val="right"/>
              <w:ind w:right="1"/>
              <w:spacing w:after="0"/>
              <w:rPr>
                <w:sz w:val="20"/>
                <w:szCs w:val="20"/>
                <w:color w:val="auto"/>
              </w:rPr>
            </w:pPr>
            <w:r>
              <w:rPr>
                <w:rFonts w:ascii="Arial" w:cs="Arial" w:eastAsia="Arial" w:hAnsi="Arial"/>
                <w:sz w:val="20"/>
                <w:szCs w:val="20"/>
                <w:color w:val="auto"/>
              </w:rPr>
              <w:t>$ (266)</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$591</w:t>
            </w:r>
          </w:p>
        </w:tc>
        <w:tc>
          <w:tcPr>
            <w:tcW w:w="0" w:type="dxa"/>
            <w:vAlign w:val="bottom"/>
          </w:tcPr>
          <w:p>
            <w:pPr>
              <w:spacing w:after="0"/>
              <w:rPr>
                <w:sz w:val="1"/>
                <w:szCs w:val="1"/>
                <w:color w:val="auto"/>
              </w:rPr>
            </w:pPr>
          </w:p>
        </w:tc>
      </w:tr>
      <w:tr>
        <w:trPr>
          <w:trHeight w:val="459"/>
        </w:trPr>
        <w:tc>
          <w:tcPr>
            <w:tcW w:w="7340" w:type="dxa"/>
            <w:vAlign w:val="bottom"/>
          </w:tcPr>
          <w:p>
            <w:pPr>
              <w:spacing w:after="0"/>
              <w:rPr>
                <w:sz w:val="20"/>
                <w:szCs w:val="20"/>
                <w:color w:val="auto"/>
              </w:rPr>
            </w:pPr>
            <w:r>
              <w:rPr>
                <w:rFonts w:ascii="Arial" w:cs="Arial" w:eastAsia="Arial" w:hAnsi="Arial"/>
                <w:sz w:val="20"/>
                <w:szCs w:val="20"/>
                <w:color w:val="auto"/>
              </w:rPr>
              <w:t>Income tax provision (b)</w:t>
            </w:r>
          </w:p>
        </w:tc>
        <w:tc>
          <w:tcPr>
            <w:tcW w:w="1820" w:type="dxa"/>
            <w:vAlign w:val="bottom"/>
          </w:tcPr>
          <w:p>
            <w:pPr>
              <w:jc w:val="right"/>
              <w:ind w:right="1"/>
              <w:spacing w:after="0"/>
              <w:rPr>
                <w:sz w:val="20"/>
                <w:szCs w:val="20"/>
                <w:color w:val="auto"/>
              </w:rPr>
            </w:pPr>
            <w:r>
              <w:rPr>
                <w:rFonts w:ascii="Arial" w:cs="Arial" w:eastAsia="Arial" w:hAnsi="Arial"/>
                <w:sz w:val="20"/>
                <w:szCs w:val="20"/>
                <w:color w:val="auto"/>
              </w:rPr>
              <w:t>60</w:t>
            </w:r>
          </w:p>
        </w:tc>
        <w:tc>
          <w:tcPr>
            <w:tcW w:w="340" w:type="dxa"/>
            <w:vAlign w:val="bottom"/>
          </w:tcPr>
          <w:p>
            <w:pPr>
              <w:spacing w:after="0"/>
              <w:rPr>
                <w:sz w:val="24"/>
                <w:szCs w:val="24"/>
                <w:color w:val="auto"/>
              </w:rPr>
            </w:pPr>
          </w:p>
        </w:tc>
        <w:tc>
          <w:tcPr>
            <w:tcW w:w="1820" w:type="dxa"/>
            <w:vAlign w:val="bottom"/>
          </w:tcPr>
          <w:p>
            <w:pPr>
              <w:jc w:val="right"/>
              <w:ind w:right="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459"/>
        </w:trPr>
        <w:tc>
          <w:tcPr>
            <w:tcW w:w="7340" w:type="dxa"/>
            <w:vAlign w:val="bottom"/>
          </w:tcPr>
          <w:p>
            <w:pPr>
              <w:spacing w:after="0"/>
              <w:rPr>
                <w:sz w:val="20"/>
                <w:szCs w:val="20"/>
                <w:color w:val="auto"/>
              </w:rPr>
            </w:pPr>
            <w:r>
              <w:rPr>
                <w:rFonts w:ascii="Arial" w:cs="Arial" w:eastAsia="Arial" w:hAnsi="Arial"/>
                <w:sz w:val="20"/>
                <w:szCs w:val="20"/>
                <w:color w:val="auto"/>
              </w:rPr>
              <w:t>Effective income tax rate (b/a)</w:t>
            </w:r>
          </w:p>
        </w:tc>
        <w:tc>
          <w:tcPr>
            <w:tcW w:w="2160" w:type="dxa"/>
            <w:vAlign w:val="bottom"/>
            <w:gridSpan w:val="2"/>
          </w:tcPr>
          <w:p>
            <w:pPr>
              <w:jc w:val="right"/>
              <w:ind w:right="340"/>
              <w:spacing w:after="0"/>
              <w:rPr>
                <w:sz w:val="20"/>
                <w:szCs w:val="20"/>
                <w:color w:val="auto"/>
              </w:rPr>
            </w:pPr>
            <w:r>
              <w:rPr>
                <w:rFonts w:ascii="Arial" w:cs="Arial" w:eastAsia="Arial" w:hAnsi="Arial"/>
                <w:sz w:val="20"/>
                <w:szCs w:val="20"/>
                <w:color w:val="auto"/>
              </w:rPr>
              <w:t>-22.6%</w:t>
            </w:r>
          </w:p>
        </w:tc>
        <w:tc>
          <w:tcPr>
            <w:tcW w:w="1820" w:type="dxa"/>
            <w:vAlign w:val="bottom"/>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See Note 8 in the Notes to Condensed Consolidated Financial Statements for additional information regarding our income taxes.</w:t>
      </w:r>
    </w:p>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Certain of our NOL carryforwards are subject to U.S. alternative minimum tax such that carryforwards can offset only 90% of alternative minimum taxable income. This limitation did not have an impact on income taxes determined for the first nine months of either 2014 or 2013 . The use of our U.K. NOL carryforwards may be limited due to the change in the U.K. operation during 2008 from a manufacturing and assembly center to primarily a distribution and service center and its subsequent change to a sales center in 2012.</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0"/>
          <w:szCs w:val="20"/>
          <w:b w:val="1"/>
          <w:bCs w:val="1"/>
          <w:color w:val="auto"/>
        </w:rPr>
        <w:t xml:space="preserve">Discontinued Operations. </w:t>
      </w:r>
      <w:r>
        <w:rPr>
          <w:rFonts w:ascii="Arial" w:cs="Arial" w:eastAsia="Arial" w:hAnsi="Arial"/>
          <w:sz w:val="20"/>
          <w:szCs w:val="20"/>
          <w:color w:val="auto"/>
        </w:rPr>
        <w:t>Income from discontinued operations, net of tax, totaled $0 for the third quarter of 2014, compared to $15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third quarter of 2013. The income for the third quarter of 2013 reflects some of the adjustments related to the final settlement of the sale of our RedBlack business.</w:t>
      </w:r>
    </w:p>
    <w:p>
      <w:pPr>
        <w:spacing w:after="0" w:line="191"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b w:val="1"/>
          <w:bCs w:val="1"/>
          <w:color w:val="auto"/>
        </w:rPr>
        <w:t xml:space="preserve">Net Income (Loss) Attributable to Ultralife. </w:t>
      </w:r>
      <w:r>
        <w:rPr>
          <w:rFonts w:ascii="Arial" w:cs="Arial" w:eastAsia="Arial" w:hAnsi="Arial"/>
          <w:sz w:val="20"/>
          <w:szCs w:val="20"/>
          <w:color w:val="auto"/>
        </w:rPr>
        <w:t>Net loss attributable to Ultralife and net loss attributable to Ultralife common shareholders</w:t>
      </w:r>
      <w:r>
        <w:rPr>
          <w:rFonts w:ascii="Arial" w:cs="Arial" w:eastAsia="Arial" w:hAnsi="Arial"/>
          <w:sz w:val="20"/>
          <w:szCs w:val="20"/>
          <w:b w:val="1"/>
          <w:bCs w:val="1"/>
          <w:color w:val="auto"/>
        </w:rPr>
        <w:t xml:space="preserve"> </w:t>
      </w:r>
      <w:r>
        <w:rPr>
          <w:rFonts w:ascii="Arial" w:cs="Arial" w:eastAsia="Arial" w:hAnsi="Arial"/>
          <w:sz w:val="20"/>
          <w:szCs w:val="20"/>
          <w:color w:val="auto"/>
        </w:rPr>
        <w:t>per basic share were $(323) and $(0.02), respectively, for the three months ended September 28, 2014, compared to net income attributable to Ultralife and net income attributable to Ultralife common shareholders per diluted share of $644 and $.04, respectively, for the three months ended September 29, 2013. Average common shares outstanding used to compute diluted earnings per share decreased from 17,532,000 in the third quarter of 2013 to 17,490,000 in the third quarter of 2014, mainly due to our repurchase of Ultralife shares in conjunction with our share repurchase program, partially offset by stock option exercises, vesting of restricted stock units and shares of common stock issued to our non-employee directors.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Nine-month periods ended September 28, 2014 and September 29, 2013</w:t>
      </w:r>
    </w:p>
    <w:p>
      <w:pPr>
        <w:spacing w:after="0" w:line="22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20"/>
          <w:szCs w:val="20"/>
          <w:b w:val="1"/>
          <w:bCs w:val="1"/>
          <w:color w:val="auto"/>
        </w:rPr>
        <w:t xml:space="preserve">Revenues. </w:t>
      </w:r>
      <w:r>
        <w:rPr>
          <w:rFonts w:ascii="Arial" w:cs="Arial" w:eastAsia="Arial" w:hAnsi="Arial"/>
          <w:sz w:val="20"/>
          <w:szCs w:val="20"/>
          <w:color w:val="auto"/>
        </w:rPr>
        <w:t>Consolidated revenues for the nine-month period ended September 28, 2014 amounted to $46,546, a decrease of $12,113 or</w:t>
      </w:r>
      <w:r>
        <w:rPr>
          <w:rFonts w:ascii="Arial" w:cs="Arial" w:eastAsia="Arial" w:hAnsi="Arial"/>
          <w:sz w:val="20"/>
          <w:szCs w:val="20"/>
          <w:b w:val="1"/>
          <w:bCs w:val="1"/>
          <w:color w:val="auto"/>
        </w:rPr>
        <w:t xml:space="preserve"> </w:t>
      </w:r>
      <w:r>
        <w:rPr>
          <w:rFonts w:ascii="Arial" w:cs="Arial" w:eastAsia="Arial" w:hAnsi="Arial"/>
          <w:sz w:val="20"/>
          <w:szCs w:val="20"/>
          <w:color w:val="auto"/>
        </w:rPr>
        <w:t>20.6%, from the $58,659 reported for the nine-month period ended September 28, 2013.</w:t>
      </w:r>
    </w:p>
    <w:p>
      <w:pPr>
        <w:spacing w:after="0" w:line="200" w:lineRule="exact"/>
        <w:rPr>
          <w:sz w:val="20"/>
          <w:szCs w:val="20"/>
          <w:color w:val="auto"/>
        </w:rPr>
      </w:pPr>
    </w:p>
    <w:p>
      <w:pPr>
        <w:spacing w:after="0" w:line="202"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20</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6" w:right="239" w:bottom="1440" w:gutter="0" w:footer="0" w:header="0"/>
        </w:sectPr>
      </w:pPr>
    </w:p>
    <w:bookmarkStart w:id="20" w:name="page21"/>
    <w:bookmarkEnd w:id="20"/>
    <w:p>
      <w:pPr>
        <w:jc w:val="both"/>
        <w:ind w:firstLine="324"/>
        <w:spacing w:after="0" w:line="244" w:lineRule="auto"/>
        <w:rPr>
          <w:sz w:val="20"/>
          <w:szCs w:val="20"/>
          <w:color w:val="auto"/>
        </w:rPr>
      </w:pPr>
      <w:r>
        <w:rPr>
          <w:rFonts w:ascii="Arial" w:cs="Arial" w:eastAsia="Arial" w:hAnsi="Arial"/>
          <w:sz w:val="20"/>
          <w:szCs w:val="20"/>
          <w:color w:val="auto"/>
        </w:rPr>
        <w:t>Battery &amp; Energy Products revenues decreased $1,216, or 3.0%, from $41,216 for the nine-month period ended September 29, 2013 to $40,000 for the nine-month period ended September 28, 2014. Commercial sales of this business increased 27.4% over the 2013 nine-month period and now comprise 63.8% of total segment sales versus 48.6% last year. This increase was more than offset by lower shipments to government and defense customers which declined by 30.1% from 2013 primarily due to the continued slowdown in U.S. government and defense order rate for rechargeable and non-rechargeable batteries.</w:t>
      </w:r>
    </w:p>
    <w:p>
      <w:pPr>
        <w:spacing w:after="0" w:line="20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Communications Systems revenues decreased $10,897, or 62.5%, from $17,443 during the nine-month period ended September 29, 2013 to $6,546 for the nine-month period ended September 28, 2014, reflecting continued slowness in closing new orders primarily from the U.S. government.</w:t>
      </w:r>
    </w:p>
    <w:p>
      <w:pPr>
        <w:spacing w:after="0" w:line="194"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6"/>
          <w:szCs w:val="16"/>
          <w:b w:val="1"/>
          <w:bCs w:val="1"/>
          <w:color w:val="auto"/>
        </w:rPr>
        <w:t xml:space="preserve">Cost of Products Sold. </w:t>
      </w:r>
      <w:r>
        <w:rPr>
          <w:rFonts w:ascii="Arial" w:cs="Arial" w:eastAsia="Arial" w:hAnsi="Arial"/>
          <w:sz w:val="16"/>
          <w:szCs w:val="16"/>
          <w:color w:val="auto"/>
        </w:rPr>
        <w:t>Cost of products sold totaled $33,513 for the nine-month period ended September 28, 2014, a decrease of $8,118,</w:t>
      </w:r>
      <w:r>
        <w:rPr>
          <w:rFonts w:ascii="Arial" w:cs="Arial" w:eastAsia="Arial" w:hAnsi="Arial"/>
          <w:sz w:val="16"/>
          <w:szCs w:val="16"/>
          <w:b w:val="1"/>
          <w:bCs w:val="1"/>
          <w:color w:val="auto"/>
        </w:rPr>
        <w:t xml:space="preserve"> </w:t>
      </w:r>
      <w:r>
        <w:rPr>
          <w:rFonts w:ascii="Arial" w:cs="Arial" w:eastAsia="Arial" w:hAnsi="Arial"/>
          <w:sz w:val="16"/>
          <w:szCs w:val="16"/>
          <w:color w:val="auto"/>
        </w:rPr>
        <w:t>or 19.5%, from the $41,631 reported for the same nine-month period a year ago. Consolidated cost of products sold as a percentage of total revenue increased from 71.0% for the nine-month period ended September 29, 2013 to 72.0% for the nine-month period ended September 28, 2014. Correspondingly, consolidated gross margin was 28.0% for the nine-month period ended September 28, 2014, compared with 29.0% for the nine-month period ended September 28, 2013, reflecting a lower mix of the higher margin Communications Systems revenues.</w:t>
      </w:r>
    </w:p>
    <w:p>
      <w:pPr>
        <w:spacing w:after="0" w:line="14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In our Battery &amp; Energy Products segment, the cost of products sold decreased $1,515, or 4.9%, from $31,025 during the nine-month period ended September 29, 2013 to $29,510 during the nine-month period ended September 28, 2014. Battery &amp; Energy Products’ gross profit for the 2014 nine-month period was $10,490, or 26.2% of revenues, an increase of $299 from gross profit of $10,191, or 24.7% of revenues, for the 2013 nine-month period. Battery &amp; Energy Products’ gross margin as a percentage of revenues increased for the nine-month period ended September 28, 2014 by 150 basis points, reflecting the increase in higher margin commercial sales.</w:t>
      </w:r>
    </w:p>
    <w:p>
      <w:pPr>
        <w:spacing w:after="0" w:line="179" w:lineRule="exact"/>
        <w:rPr>
          <w:sz w:val="20"/>
          <w:szCs w:val="20"/>
          <w:color w:val="auto"/>
        </w:rPr>
      </w:pPr>
    </w:p>
    <w:p>
      <w:pPr>
        <w:jc w:val="both"/>
        <w:ind w:right="20" w:firstLine="324"/>
        <w:spacing w:after="0" w:line="316" w:lineRule="auto"/>
        <w:rPr>
          <w:sz w:val="20"/>
          <w:szCs w:val="20"/>
          <w:color w:val="auto"/>
        </w:rPr>
      </w:pPr>
      <w:r>
        <w:rPr>
          <w:rFonts w:ascii="Arial" w:cs="Arial" w:eastAsia="Arial" w:hAnsi="Arial"/>
          <w:sz w:val="18"/>
          <w:szCs w:val="18"/>
          <w:color w:val="auto"/>
        </w:rPr>
        <w:t>During the nine-month period ended September 28, 2014, the Company recognized $356 of the government’s compensation relating to the relocation of our facility in China as a reduction of expenses. Total expenses relating to the relocation were $475 in this period.</w:t>
      </w:r>
    </w:p>
    <w:p>
      <w:pPr>
        <w:spacing w:after="0" w:line="14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In our Communications Systems segment, the cost of products sold decreased by $6,603 or 62.3% from $10,606 during the nine-month period ended September 29, 2013 to $4,003 during the nine-month period ended September 28, 2014. Communications Systems gross profit for the first nine months of 2014 was $2,543, or 38.8% of revenues, an decrease of $4,294 from gross profit of $6,837, or 39.2% of revenues, for the first nine months of 2013. The 40 basis points decrease in gross margin as a percentage of revenue during 2014 is due to product mix.</w:t>
      </w:r>
    </w:p>
    <w:p>
      <w:pPr>
        <w:spacing w:after="0" w:line="169"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nine-month period ended September 28, 2014 totaled $15,508, a decrease of $2,367</w:t>
      </w:r>
      <w:r>
        <w:rPr>
          <w:rFonts w:ascii="Arial" w:cs="Arial" w:eastAsia="Arial" w:hAnsi="Arial"/>
          <w:sz w:val="18"/>
          <w:szCs w:val="18"/>
          <w:b w:val="1"/>
          <w:bCs w:val="1"/>
          <w:color w:val="auto"/>
        </w:rPr>
        <w:t xml:space="preserve"> </w:t>
      </w:r>
      <w:r>
        <w:rPr>
          <w:rFonts w:ascii="Arial" w:cs="Arial" w:eastAsia="Arial" w:hAnsi="Arial"/>
          <w:sz w:val="18"/>
          <w:szCs w:val="18"/>
          <w:color w:val="auto"/>
        </w:rPr>
        <w:t>or 13.2% from the $17,875 incurred during the nine-month period ended September 29, 2013, resulting primarily from continued reductions in discretionary spending, lower sales commissions and the timing of certain expenses relating to new product development.</w:t>
      </w:r>
    </w:p>
    <w:p>
      <w:pPr>
        <w:spacing w:after="0" w:line="16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Overall, operating expenses as a percentage of revenues were 33.3% for the nine-month period ended September 28, 2014 compared to 30.5% for the comparable 2013 period. Amortization expense associated with intangible assets related to our acquisitions was $232 for the first nine months of 2014 ($101 in selling, general and administrative expenses and $131 in research and development costs), compared with $301 for the first nine months of 2013 ($134 in selling, general, and administrative expenses and $167 in research and development costs). Research and development costs were $4,010 for the nine-month period ended September 28, 2014, a decrease of $446, or 10.0%, from $4,456 for the nine-months ended September 29, 2013, due to our sharpened focus on the development of new products with the highest estimated return on investment as well as the timing of the related programs. Selling, general, and administrative expenses decreased $1,921, or 14.3%, to $11,498 during the first nine months of 2014 from $13,419 during the first nine months of 2013, reflecting continued actions to reduce discretionary general and administrative expenses and lower sales commissions earned.</w:t>
      </w:r>
    </w:p>
    <w:p>
      <w:pPr>
        <w:spacing w:after="0" w:line="174"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21</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63" w:right="239" w:bottom="1440" w:gutter="0" w:footer="0" w:header="0"/>
        </w:sectPr>
      </w:pPr>
    </w:p>
    <w:bookmarkStart w:id="21" w:name="page22"/>
    <w:bookmarkEnd w:id="21"/>
    <w:p>
      <w:pPr>
        <w:jc w:val="both"/>
        <w:ind w:firstLine="324"/>
        <w:spacing w:after="0" w:line="280"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$(269) for the nine-month period ended September 28, 2014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$(203) for the nine-month period ended September 28, 2013. Interest and financing expense, net of interest income, decreased $31, to $141 for the 2014 period from $172 for the comparable period in 2013, as a result of the more favorable unused line fee under our new Credit Agreement with PNC Bank. Miscellaneous income (expense) amounted to ($128) for the first nine months of 2014 compared with ($31) for the first nine months of 2013, primarily due to transactions impacted by changes in foreign currencies relative to the U.S. dollar.</w:t>
      </w:r>
    </w:p>
    <w:p>
      <w:pPr>
        <w:spacing w:after="0" w:line="170" w:lineRule="exact"/>
        <w:rPr>
          <w:sz w:val="20"/>
          <w:szCs w:val="20"/>
          <w:color w:val="auto"/>
        </w:rPr>
      </w:pPr>
    </w:p>
    <w:p>
      <w:pPr>
        <w:jc w:val="both"/>
        <w:ind w:right="20" w:firstLine="324"/>
        <w:spacing w:after="0" w:line="39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We reflected a tax provision of $177 for the first three quarters of 2014 compared with a tax provision of $135 for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three quarters of 2013. The effective consolidated tax rate for the nine-month periods ended September 28, 2014 and September 29, 2013 was: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40" w:type="dxa"/>
            <w:vAlign w:val="bottom"/>
            <w:gridSpan w:val="4"/>
          </w:tcPr>
          <w:p>
            <w:pPr>
              <w:jc w:val="right"/>
              <w:ind w:right="881"/>
              <w:spacing w:after="0"/>
              <w:rPr>
                <w:sz w:val="20"/>
                <w:szCs w:val="20"/>
                <w:color w:val="auto"/>
              </w:rPr>
            </w:pPr>
            <w:r>
              <w:rPr>
                <w:rFonts w:ascii="Arial" w:cs="Arial" w:eastAsia="Arial" w:hAnsi="Arial"/>
                <w:sz w:val="20"/>
                <w:szCs w:val="20"/>
                <w:b w:val="1"/>
                <w:bCs w:val="1"/>
                <w:color w:val="auto"/>
              </w:rPr>
              <w:t>Nine-month periods ended</w:t>
            </w:r>
          </w:p>
        </w:tc>
      </w:tr>
      <w:tr>
        <w:trPr>
          <w:trHeight w:val="243"/>
        </w:trPr>
        <w:tc>
          <w:tcPr>
            <w:tcW w:w="56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28,</w:t>
            </w:r>
          </w:p>
        </w:tc>
        <w:tc>
          <w:tcPr>
            <w:tcW w:w="160" w:type="dxa"/>
            <w:vAlign w:val="bottom"/>
          </w:tcPr>
          <w:p>
            <w:pPr>
              <w:spacing w:after="0"/>
              <w:rPr>
                <w:sz w:val="21"/>
                <w:szCs w:val="21"/>
                <w:color w:val="auto"/>
              </w:rPr>
            </w:pPr>
          </w:p>
        </w:tc>
        <w:tc>
          <w:tcPr>
            <w:tcW w:w="1480" w:type="dxa"/>
            <w:vAlign w:val="bottom"/>
          </w:tcPr>
          <w:p>
            <w:pPr>
              <w:jc w:val="right"/>
              <w:ind w:right="121"/>
              <w:spacing w:after="0"/>
              <w:rPr>
                <w:sz w:val="20"/>
                <w:szCs w:val="20"/>
                <w:color w:val="auto"/>
              </w:rPr>
            </w:pPr>
            <w:r>
              <w:rPr>
                <w:rFonts w:ascii="Arial" w:cs="Arial" w:eastAsia="Arial" w:hAnsi="Arial"/>
                <w:sz w:val="20"/>
                <w:szCs w:val="20"/>
                <w:b w:val="1"/>
                <w:bCs w:val="1"/>
                <w:color w:val="auto"/>
                <w:w w:val="90"/>
              </w:rPr>
              <w:t>September 29,</w:t>
            </w:r>
          </w:p>
        </w:tc>
      </w:tr>
      <w:tr>
        <w:trPr>
          <w:trHeight w:val="252"/>
        </w:trPr>
        <w:tc>
          <w:tcPr>
            <w:tcW w:w="562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2014</w:t>
            </w:r>
          </w:p>
        </w:tc>
        <w:tc>
          <w:tcPr>
            <w:tcW w:w="9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2013</w:t>
            </w:r>
          </w:p>
        </w:tc>
      </w:tr>
      <w:tr>
        <w:trPr>
          <w:trHeight w:val="223"/>
        </w:trPr>
        <w:tc>
          <w:tcPr>
            <w:tcW w:w="562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(Loss) income from continuing operations before</w:t>
            </w: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20"/>
                <w:szCs w:val="20"/>
                <w:color w:val="auto"/>
              </w:rPr>
              <w:t>income taxes (a)</w:t>
            </w:r>
          </w:p>
        </w:tc>
        <w:tc>
          <w:tcPr>
            <w:tcW w:w="17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(2,744)</w:t>
            </w: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(1,050)</w:t>
            </w:r>
          </w:p>
        </w:tc>
      </w:tr>
      <w:tr>
        <w:trPr>
          <w:trHeight w:val="230"/>
        </w:trPr>
        <w:tc>
          <w:tcPr>
            <w:tcW w:w="56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620" w:type="dxa"/>
            <w:vAlign w:val="bottom"/>
          </w:tcPr>
          <w:p>
            <w:pPr>
              <w:ind w:left="100"/>
              <w:spacing w:after="0"/>
              <w:rPr>
                <w:sz w:val="20"/>
                <w:szCs w:val="20"/>
                <w:color w:val="auto"/>
              </w:rPr>
            </w:pPr>
            <w:r>
              <w:rPr>
                <w:rFonts w:ascii="Arial" w:cs="Arial" w:eastAsia="Arial" w:hAnsi="Arial"/>
                <w:sz w:val="20"/>
                <w:szCs w:val="20"/>
                <w:color w:val="auto"/>
              </w:rPr>
              <w:t>Income tax provision (b)</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61"/>
              <w:spacing w:after="0"/>
              <w:rPr>
                <w:sz w:val="20"/>
                <w:szCs w:val="20"/>
                <w:color w:val="auto"/>
              </w:rPr>
            </w:pPr>
            <w:r>
              <w:rPr>
                <w:rFonts w:ascii="Arial" w:cs="Arial" w:eastAsia="Arial" w:hAnsi="Arial"/>
                <w:sz w:val="20"/>
                <w:szCs w:val="20"/>
                <w:color w:val="auto"/>
              </w:rPr>
              <w:t>177</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81"/>
              <w:spacing w:after="0"/>
              <w:rPr>
                <w:sz w:val="20"/>
                <w:szCs w:val="20"/>
                <w:color w:val="auto"/>
              </w:rPr>
            </w:pPr>
            <w:r>
              <w:rPr>
                <w:rFonts w:ascii="Arial" w:cs="Arial" w:eastAsia="Arial" w:hAnsi="Arial"/>
                <w:sz w:val="20"/>
                <w:szCs w:val="20"/>
                <w:color w:val="auto"/>
              </w:rPr>
              <w:t>135</w:t>
            </w:r>
          </w:p>
        </w:tc>
      </w:tr>
      <w:tr>
        <w:trPr>
          <w:trHeight w:val="230"/>
        </w:trPr>
        <w:tc>
          <w:tcPr>
            <w:tcW w:w="56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0"/>
        </w:trPr>
        <w:tc>
          <w:tcPr>
            <w:tcW w:w="5620" w:type="dxa"/>
            <w:vAlign w:val="bottom"/>
          </w:tcPr>
          <w:p>
            <w:pPr>
              <w:ind w:left="100"/>
              <w:spacing w:after="0"/>
              <w:rPr>
                <w:sz w:val="20"/>
                <w:szCs w:val="20"/>
                <w:color w:val="auto"/>
              </w:rPr>
            </w:pPr>
            <w:r>
              <w:rPr>
                <w:rFonts w:ascii="Arial" w:cs="Arial" w:eastAsia="Arial" w:hAnsi="Arial"/>
                <w:sz w:val="20"/>
                <w:szCs w:val="20"/>
                <w:color w:val="auto"/>
              </w:rPr>
              <w:t>Effective income tax rate (b/a)</w:t>
            </w:r>
          </w:p>
        </w:tc>
        <w:tc>
          <w:tcPr>
            <w:tcW w:w="1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-6.5%</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-12.9%</w:t>
            </w:r>
          </w:p>
        </w:tc>
      </w:tr>
    </w:tbl>
    <w:p>
      <w:pPr>
        <w:spacing w:after="0" w:line="19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See Note 8 in the Notes to Condensed Consolidated Financial Statements for additional information regarding our income taxes.</w:t>
      </w:r>
    </w:p>
    <w:p>
      <w:pPr>
        <w:spacing w:after="0" w:line="23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0"/>
          <w:szCs w:val="20"/>
          <w:b w:val="1"/>
          <w:bCs w:val="1"/>
          <w:color w:val="auto"/>
        </w:rPr>
        <w:t xml:space="preserve">Discontinued Operations. </w:t>
      </w:r>
      <w:r>
        <w:rPr>
          <w:rFonts w:ascii="Arial" w:cs="Arial" w:eastAsia="Arial" w:hAnsi="Arial"/>
          <w:sz w:val="20"/>
          <w:szCs w:val="20"/>
          <w:color w:val="auto"/>
        </w:rPr>
        <w:t>Income (loss) from discontinued operations, net of tax, totaled $(61) for the first nine months of 2014,</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$159 for the comparable period in 2013. The expense for the 2014 period reflects the final settlements of the sale of our RedBlack business, and the income for the 2013 period primarily reflects the final settlement of the obligation to return the Company’s former UK facility back to its original condition per a previous contractual commitment.</w:t>
      </w:r>
    </w:p>
    <w:p>
      <w:pPr>
        <w:spacing w:after="0" w:line="197"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0"/>
          <w:szCs w:val="20"/>
          <w:b w:val="1"/>
          <w:bCs w:val="1"/>
          <w:color w:val="auto"/>
        </w:rPr>
        <w:t xml:space="preserve">Net Loss Attributable to Ultralife. </w:t>
      </w:r>
      <w:r>
        <w:rPr>
          <w:rFonts w:ascii="Arial" w:cs="Arial" w:eastAsia="Arial" w:hAnsi="Arial"/>
          <w:sz w:val="20"/>
          <w:szCs w:val="20"/>
          <w:color w:val="auto"/>
        </w:rPr>
        <w:t>Net loss attributable to Ultralife and loss attributable to Ultralife common shareholders per basic share</w:t>
      </w:r>
      <w:r>
        <w:rPr>
          <w:rFonts w:ascii="Arial" w:cs="Arial" w:eastAsia="Arial" w:hAnsi="Arial"/>
          <w:sz w:val="20"/>
          <w:szCs w:val="20"/>
          <w:b w:val="1"/>
          <w:bCs w:val="1"/>
          <w:color w:val="auto"/>
        </w:rPr>
        <w:t xml:space="preserve"> </w:t>
      </w:r>
      <w:r>
        <w:rPr>
          <w:rFonts w:ascii="Arial" w:cs="Arial" w:eastAsia="Arial" w:hAnsi="Arial"/>
          <w:sz w:val="20"/>
          <w:szCs w:val="20"/>
          <w:color w:val="auto"/>
        </w:rPr>
        <w:t>was $2,969 and $0.17, respectively, for the nine months ended September 28, 2014, compared to $995 and $0.06, respectively, for the nine months ended September 29, 2013. Average common shares outstanding used to compute diluted earnings per share decreased from 17,461,000 in the 2013 period to 17,510,000 in the 2014 period, mainly due to our repurchase of Ultralife shares in conjunction with our share repurchase program, partially offset by stock option exercises, vesting of restricted stock units and shares of common stock issued to our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22</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6" w:right="239" w:bottom="1440" w:gutter="0" w:footer="0" w:header="0"/>
        </w:sectPr>
      </w:pPr>
    </w:p>
    <w:bookmarkStart w:id="22" w:name="page23"/>
    <w:bookmarkEnd w:id="22"/>
    <w:p>
      <w:pPr>
        <w:spacing w:after="0"/>
        <w:rPr>
          <w:sz w:val="20"/>
          <w:szCs w:val="20"/>
          <w:color w:val="auto"/>
        </w:rPr>
      </w:pPr>
      <w:r>
        <w:rPr>
          <w:rFonts w:ascii="Arial" w:cs="Arial" w:eastAsia="Arial" w:hAnsi="Arial"/>
          <w:sz w:val="20"/>
          <w:szCs w:val="20"/>
          <w:u w:val="single" w:color="auto"/>
          <w:color w:val="auto"/>
        </w:rPr>
        <w:t>Adjusted EBITDA from continuing operations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1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18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94" w:lineRule="exact"/>
        <w:rPr>
          <w:sz w:val="20"/>
          <w:szCs w:val="20"/>
          <w:color w:val="auto"/>
        </w:rPr>
      </w:pPr>
    </w:p>
    <w:p>
      <w:pPr>
        <w:jc w:val="both"/>
        <w:ind w:left="1080" w:hanging="316"/>
        <w:spacing w:after="0" w:line="263" w:lineRule="auto"/>
        <w:tabs>
          <w:tab w:leader="none" w:pos="10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79"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23</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92" w:right="239" w:bottom="1440" w:gutter="0" w:footer="0" w:header="0"/>
        </w:sectPr>
      </w:pPr>
    </w:p>
    <w:bookmarkStart w:id="23" w:name="page24"/>
    <w:bookmarkEnd w:id="23"/>
    <w:p>
      <w:pPr>
        <w:jc w:val="both"/>
        <w:ind w:left="1080" w:hanging="316"/>
        <w:spacing w:after="0" w:line="250" w:lineRule="auto"/>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99" w:lineRule="exact"/>
        <w:rPr>
          <w:rFonts w:ascii="Arial" w:cs="Arial" w:eastAsia="Arial" w:hAnsi="Arial"/>
          <w:sz w:val="20"/>
          <w:szCs w:val="20"/>
          <w:color w:val="auto"/>
        </w:rPr>
      </w:pPr>
    </w:p>
    <w:p>
      <w:pPr>
        <w:jc w:val="both"/>
        <w:ind w:left="1080" w:hanging="316"/>
        <w:spacing w:after="0" w:line="250" w:lineRule="auto"/>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199" w:lineRule="exact"/>
        <w:rPr>
          <w:rFonts w:ascii="Arial" w:cs="Arial" w:eastAsia="Arial" w:hAnsi="Arial"/>
          <w:sz w:val="20"/>
          <w:szCs w:val="20"/>
          <w:color w:val="auto"/>
        </w:rPr>
      </w:pPr>
    </w:p>
    <w:p>
      <w:pPr>
        <w:jc w:val="both"/>
        <w:ind w:left="1080" w:hanging="316"/>
        <w:spacing w:after="0" w:line="250" w:lineRule="auto"/>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although discontinued operations does not reflect our current business operations, discontinued operations includes the costs we incurred by exiting our Energy Services and certain of our UK businesses and divesting our RedBlack Communications business; and</w:t>
      </w:r>
    </w:p>
    <w:p>
      <w:pPr>
        <w:spacing w:after="0" w:line="199" w:lineRule="exact"/>
        <w:rPr>
          <w:rFonts w:ascii="Arial" w:cs="Arial" w:eastAsia="Arial" w:hAnsi="Arial"/>
          <w:sz w:val="20"/>
          <w:szCs w:val="20"/>
          <w:color w:val="auto"/>
        </w:rPr>
      </w:pPr>
    </w:p>
    <w:p>
      <w:pPr>
        <w:ind w:left="1080" w:hanging="316"/>
        <w:spacing w:after="0" w:line="260" w:lineRule="auto"/>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other companies may calculate Adjusted EBITDA from continuing operations differently than we do, limiting its usefulness as a comparative measure.</w:t>
      </w:r>
    </w:p>
    <w:p>
      <w:pPr>
        <w:spacing w:after="0" w:line="190" w:lineRule="exact"/>
        <w:rPr>
          <w:sz w:val="20"/>
          <w:szCs w:val="20"/>
          <w:color w:val="auto"/>
        </w:rPr>
      </w:pPr>
    </w:p>
    <w:p>
      <w:pPr>
        <w:ind w:right="760" w:firstLine="324"/>
        <w:spacing w:after="0" w:line="316"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6"/>
          </w:tcPr>
          <w:p>
            <w:pPr>
              <w:ind w:left="360"/>
              <w:spacing w:after="0"/>
              <w:rPr>
                <w:sz w:val="20"/>
                <w:szCs w:val="20"/>
                <w:color w:val="auto"/>
              </w:rPr>
            </w:pPr>
            <w:r>
              <w:rPr>
                <w:rFonts w:ascii="Arial" w:cs="Arial" w:eastAsia="Arial" w:hAnsi="Arial"/>
                <w:sz w:val="18"/>
                <w:szCs w:val="18"/>
                <w:b w:val="1"/>
                <w:bCs w:val="1"/>
                <w:color w:val="auto"/>
              </w:rPr>
              <w:t>Three-month periods ended</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Nine-month periods ended</w:t>
            </w:r>
          </w:p>
        </w:tc>
      </w:tr>
      <w:tr>
        <w:trPr>
          <w:trHeight w:val="230"/>
        </w:trPr>
        <w:tc>
          <w:tcPr>
            <w:tcW w:w="3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September 28,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September 29,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September 28,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September 29,</w:t>
            </w:r>
          </w:p>
        </w:tc>
      </w:tr>
      <w:tr>
        <w:trPr>
          <w:trHeight w:val="234"/>
        </w:trPr>
        <w:tc>
          <w:tcPr>
            <w:tcW w:w="39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83"/>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3"/>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83"/>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3"/>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r>
      <w:tr>
        <w:trPr>
          <w:trHeight w:val="223"/>
        </w:trPr>
        <w:tc>
          <w:tcPr>
            <w:tcW w:w="398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Net (loss) income attributable</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980" w:type="dxa"/>
            <w:vAlign w:val="bottom"/>
          </w:tcPr>
          <w:p>
            <w:pPr>
              <w:jc w:val="right"/>
              <w:ind w:right="2761"/>
              <w:spacing w:after="0"/>
              <w:rPr>
                <w:sz w:val="20"/>
                <w:szCs w:val="20"/>
                <w:color w:val="auto"/>
              </w:rPr>
            </w:pPr>
            <w:r>
              <w:rPr>
                <w:rFonts w:ascii="Arial" w:cs="Arial" w:eastAsia="Arial" w:hAnsi="Arial"/>
                <w:sz w:val="20"/>
                <w:szCs w:val="20"/>
                <w:color w:val="auto"/>
              </w:rPr>
              <w:t>to Ultralife</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20"/>
                <w:szCs w:val="20"/>
                <w:color w:val="auto"/>
              </w:rPr>
              <w:t>(323)</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644</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20"/>
                <w:szCs w:val="20"/>
                <w:color w:val="auto"/>
              </w:rPr>
              <w:t>(2,969)</w:t>
            </w: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20"/>
                <w:szCs w:val="20"/>
                <w:color w:val="auto"/>
              </w:rPr>
              <w:t>(995)</w:t>
            </w:r>
          </w:p>
        </w:tc>
      </w:tr>
      <w:tr>
        <w:trPr>
          <w:trHeight w:val="230"/>
        </w:trPr>
        <w:tc>
          <w:tcPr>
            <w:tcW w:w="3980" w:type="dxa"/>
            <w:vAlign w:val="bottom"/>
            <w:shd w:val="clear" w:color="auto" w:fill="CCEEFF"/>
          </w:tcPr>
          <w:p>
            <w:pPr>
              <w:ind w:left="100"/>
              <w:spacing w:after="0"/>
              <w:rPr>
                <w:sz w:val="20"/>
                <w:szCs w:val="20"/>
                <w:color w:val="auto"/>
              </w:rPr>
            </w:pPr>
            <w:r>
              <w:rPr>
                <w:rFonts w:ascii="Arial" w:cs="Arial" w:eastAsia="Arial" w:hAnsi="Arial"/>
                <w:sz w:val="20"/>
                <w:szCs w:val="20"/>
                <w:color w:val="auto"/>
              </w:rPr>
              <w:t>Add (subtract):</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color w:val="auto"/>
              </w:rPr>
              <w:t>Interest and financing expense, net</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20"/>
                <w:szCs w:val="20"/>
                <w:color w:val="auto"/>
              </w:rPr>
              <w:t>53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141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172</w:t>
            </w:r>
          </w:p>
        </w:tc>
      </w:tr>
      <w:tr>
        <w:trPr>
          <w:trHeight w:val="230"/>
        </w:trPr>
        <w:tc>
          <w:tcPr>
            <w:tcW w:w="39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Income tax provision (benefit)</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60</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177</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135</w:t>
            </w: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color w:val="auto"/>
              </w:rPr>
              <w:t>Depreciation expense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20"/>
                <w:szCs w:val="20"/>
                <w:color w:val="auto"/>
              </w:rPr>
              <w:t>709</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2,174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2,279</w:t>
            </w:r>
          </w:p>
        </w:tc>
      </w:tr>
      <w:tr>
        <w:trPr>
          <w:trHeight w:val="230"/>
        </w:trPr>
        <w:tc>
          <w:tcPr>
            <w:tcW w:w="39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Amortization of intangible assets</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78</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232</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301</w:t>
            </w: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color w:val="auto"/>
              </w:rPr>
              <w:t>Stock-based compensation expense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20"/>
                <w:szCs w:val="20"/>
                <w:color w:val="auto"/>
              </w:rPr>
              <w:t>238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761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740</w:t>
            </w:r>
          </w:p>
        </w:tc>
      </w:tr>
      <w:tr>
        <w:trPr>
          <w:trHeight w:val="230"/>
        </w:trPr>
        <w:tc>
          <w:tcPr>
            <w:tcW w:w="39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Loss (gain) from discontinued</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3980" w:type="dxa"/>
            <w:vAlign w:val="bottom"/>
          </w:tcPr>
          <w:p>
            <w:pPr>
              <w:jc w:val="right"/>
              <w:ind w:right="2761"/>
              <w:spacing w:after="0"/>
              <w:rPr>
                <w:sz w:val="20"/>
                <w:szCs w:val="20"/>
                <w:color w:val="auto"/>
              </w:rPr>
            </w:pPr>
            <w:r>
              <w:rPr>
                <w:rFonts w:ascii="Arial" w:cs="Arial" w:eastAsia="Arial" w:hAnsi="Arial"/>
                <w:sz w:val="20"/>
                <w:szCs w:val="20"/>
                <w:color w:val="auto"/>
              </w:rPr>
              <w:t>operations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20"/>
                <w:szCs w:val="20"/>
                <w:color w:val="auto"/>
              </w:rPr>
              <w:t>(15)</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61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20"/>
                <w:szCs w:val="20"/>
                <w:color w:val="auto"/>
              </w:rPr>
              <w:t>(159)</w:t>
            </w:r>
          </w:p>
        </w:tc>
      </w:tr>
      <w:tr>
        <w:trPr>
          <w:trHeight w:val="237"/>
        </w:trPr>
        <w:tc>
          <w:tcPr>
            <w:tcW w:w="39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20"/>
                <w:szCs w:val="20"/>
                <w:color w:val="auto"/>
              </w:rPr>
              <w:t>Adjusted EBITDA</w:t>
            </w: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20"/>
                <w:szCs w:val="20"/>
                <w:color w:val="auto"/>
                <w:w w:val="77"/>
              </w:rPr>
              <w:t>815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As of September 28, 2014, cash and cash equivalents totaled $15,571, a decrease of $918 from the beginning of the year. During the nine-month period ended September 28, 2014, we generated $505 of cash from our operating activities as compared to cash generated totaling $2,399 during the nine-month period ended September 29, 2013. Cash generated from operations in 2014 was positive despite our net loss of $2,982, as the loss was more than offset by non-cash expenses (depreciation, amortization and stock-based compensation) totaling $3,220. Also impacting cash generated from operations in 2014 was a $3,755 decrease in accounts receivable, a decrease in accounts payable and other liabilities of $1,057 and an increase in inventories which totaled $2,460. Cash generated from operations in 2013 resulted primarily from a $5,380 decrease in accounts receivable and $2,622 decrease in inventories, offset partially by our loss of $1,026 and a decrease in accounts payable and accrued expenses of $7,818.</w:t>
      </w:r>
    </w:p>
    <w:p>
      <w:pPr>
        <w:spacing w:after="0" w:line="19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Inventory turnover for the first nine months of 2014 was an annualized rate of approximately 2.0 turns per year, unchanged from the first nine months of 2013.</w:t>
      </w:r>
    </w:p>
    <w:p>
      <w:pPr>
        <w:spacing w:after="0" w:line="396"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24</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892" w:right="239" w:bottom="1440" w:gutter="0" w:footer="0" w:header="0"/>
        </w:sectPr>
      </w:pPr>
    </w:p>
    <w:bookmarkStart w:id="24" w:name="page25"/>
    <w:bookmarkEnd w:id="24"/>
    <w:p>
      <w:pPr>
        <w:jc w:val="both"/>
        <w:ind w:firstLine="324"/>
        <w:spacing w:after="0" w:line="250" w:lineRule="auto"/>
        <w:rPr>
          <w:sz w:val="20"/>
          <w:szCs w:val="20"/>
          <w:color w:val="auto"/>
        </w:rPr>
      </w:pPr>
      <w:r>
        <w:rPr>
          <w:rFonts w:ascii="Arial" w:cs="Arial" w:eastAsia="Arial" w:hAnsi="Arial"/>
          <w:sz w:val="20"/>
          <w:szCs w:val="20"/>
          <w:color w:val="auto"/>
        </w:rPr>
        <w:t>We used $968 in cash for investing activities during the nine month period ended September 28, 2014 compared with $738 in cash used for investing activities in the same period in 2013. In both periods, this spending was principally for the purchase of property, equipment and improvements.</w:t>
      </w:r>
    </w:p>
    <w:p>
      <w:pPr>
        <w:spacing w:after="0" w:line="20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As of September 28, 2014, we had made commitments to purchase approximately $463 of production machinery and equipment, which we expect to fund through operating cash flows or debt borrowings.</w:t>
      </w:r>
    </w:p>
    <w:p>
      <w:pPr>
        <w:spacing w:after="0" w:line="19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On April 28, 2014, the Company’s Board of Directors approved a share repurchase program (the “Share Repurchase Program”) which became effective on May 1, 2014, under which the Company has the authorization to repurchase up to 1.8 million shares of its outstanding common stock over a period not to exceed twelve months. Share repurchases will be made in accordance with SEC Rule 10b-18 using a variety of methods, which may include open market purchases, privately negotiated transactions and block trades, or any combination of such methods, in accordance with applicable insider trading and other securities laws and regulations. The timing, manner, price and amount of any repurchase will be determined in the Company’s discretion and the Share Repurchase Program may be suspended, terminated or modified by the Company at any time and for any reason. The Share Repurchase Program does not obligate the Company to repurchase any specific number of shares.</w:t>
      </w:r>
    </w:p>
    <w:p>
      <w:pPr>
        <w:spacing w:after="0" w:line="21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During the three month period ended September 28, 2014, the Company repurchased 160,557 shares under this program, for an aggregate cost of $550.</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 Commitments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We have financing through our Credit Facility with PNC Bank, which provides a $20 million secured asset-based revolving credit facility that includes a $1 million letter of credit sub-facility. As of September 28, 2014, we had approximately $11,900 of borrowing capacity under our $20 million Credit Facility with PNC Bank, in addition to our cash on hand of $15,571, and we had no outstanding borrowings or outstanding letters of credit under the Credit Facility at either September 28, 2014 or September 29, 2013.</w:t>
      </w:r>
    </w:p>
    <w:p>
      <w:pPr>
        <w:spacing w:after="0" w:line="19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On April 30, 2014, the Company and PNC entered into an amendment (the “Amendment”) to the Credit Agreement. The Amendment permits the Company to commence the Share Repurchase Program described above, provided that (a) the Company is not in default under the Credit Agreement, (b) the Company’s undrawn availability under the Credit Agreement is at least $6 million both prior to and immediately following any repurchase, (c) the Company’s undrawn availability under the Credit Agreement plus domestic unrestricted cash is at least $8 million both prior to and immediately following any repurchase, and (d) the Company uses its unrestricted cash for such repurchases and does not request advances against the Credit Agreement for such purposes.</w:t>
      </w:r>
    </w:p>
    <w:p>
      <w:pPr>
        <w:spacing w:after="0" w:line="19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On October 28, 2014, the Company and PNC entered into a second amendment to the Credit Agreement which modifies the definition of EBITDA in the Credit Agreement to include non-cash stock- based compensation expense.</w:t>
      </w:r>
    </w:p>
    <w:p>
      <w:pPr>
        <w:spacing w:after="0" w:line="179"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25</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663"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i w:val="1"/>
          <w:iCs w:val="1"/>
          <w:color w:val="auto"/>
        </w:rPr>
        <w:t>Off balance sheet arrangements</w:t>
      </w:r>
    </w:p>
    <w:p>
      <w:pPr>
        <w:spacing w:after="0" w:line="22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During the first quarter of 2014, we received an informal notice from the landlord of our China facility that we may not be able to extend our lease past its expiration in October 2014 due to possible zoning changes in the village where the facility is located. In response to this informal notification, we changed the period over which the China plant’s leasehold improvements are being depreciated to coincide with the expiration of the lease in October 2014.</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During the second quarter of 2014, the landlord confirmed to us that the lease for our China facility would not be extended, and we commenced a search for an alternate site to relocate our facility. We also developed plans to increase our manufacturing output in advance of the move so as to minimize the disruption of such a move to both our customers and the Company’s operations.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In July 2014, the Company’s subsidiary in China entered into a lease for a replacement facility, also located in Shenzhen. The lease includes a five year term including two rent-free months, and requires rent payments of RMB117 (approximately $19 at the current exchange rate) per month for the first three years, increasing to RMB126 (approximately $20) per month for the final two years.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Matters</w:t>
      </w:r>
    </w:p>
    <w:p>
      <w:pPr>
        <w:spacing w:after="0" w:line="22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With respect to our battery products, we typically offer warranties against any defects due to product malfunction or workmanship for a period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Critical Accounting Policies</w:t>
      </w:r>
    </w:p>
    <w:p>
      <w:pPr>
        <w:spacing w:after="0" w:line="22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2013 Annual Report on Form 10-K should be reviewed for a greater understanding of how our financial performance is recorded and reported.</w:t>
      </w:r>
    </w:p>
    <w:p>
      <w:pPr>
        <w:spacing w:after="0" w:line="17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During the first nine months of 2014, there were no significant changes in the manner in which our significant accounting policies were applied or in which related assumptions and estimates were developed.</w:t>
      </w:r>
    </w:p>
    <w:p>
      <w:pPr>
        <w:spacing w:after="0" w:line="200" w:lineRule="exact"/>
        <w:rPr>
          <w:sz w:val="20"/>
          <w:szCs w:val="20"/>
          <w:color w:val="auto"/>
        </w:rPr>
      </w:pPr>
    </w:p>
    <w:p>
      <w:pPr>
        <w:spacing w:after="0" w:line="209"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26</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92" w:right="2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Evaluation Of Disclosure Controls And Procedures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Internal Control Over Financial Reporting</w:t>
      </w:r>
    </w:p>
    <w:p>
      <w:pPr>
        <w:spacing w:after="0" w:line="229"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On September 23, 2011, we initiated an action against Arista Power, Inc. (“Arista”) and our former senior sales and engineering employee, David Modeen (“Modeen”) in the State of New York Supreme Court, County of Wayne (the “Wayne County Action”). In our initial Complaint, we alleged that Arista recruited all but one of the members of its executive team from us, subsequently changed and redirected its business to compete directly with us by using our confidential information, and during the summer of 2011, recruited Modeen to become an Arista employee. We also allege that, as a result of actions by Arista and Modeen: (i) Modeen has breached the terms of his Employee Confidentiality, Non-Disclosure, Non-Compete, Non-Disparagement and Assignment Agreement with us as well as other obligations he owed us; (ii) Arista’s employment of Modeen will inevitably lead to the disclosure and use of our trade secrets by Arista, in violation of Modeen’s obligations to us; (iii) Arista unlawfully induced Modeen to breach his obligations to us; and (iv) Arista’s recruitment and employment of Modeen has breached a subcontract between Arista and us. In February 2012, we amended our Complaint to allege more broadly that Arista has misappropriated our trade secrets and confidential and strategic information related to products, technical requirements, markets, customers and sales and marketing, including (but not solely) through the recruitment and employment of Modeen. We seek damages as determined at trial and preliminary and permanent injunctive relief. The defendants answered the allegations set forth in the Complaint and Amended Complaint, without asserting any counterclaims.</w:t>
      </w:r>
    </w:p>
    <w:p>
      <w:pPr>
        <w:spacing w:after="0" w:line="200" w:lineRule="exact"/>
        <w:rPr>
          <w:sz w:val="20"/>
          <w:szCs w:val="20"/>
          <w:color w:val="auto"/>
        </w:rPr>
      </w:pPr>
    </w:p>
    <w:p>
      <w:pPr>
        <w:spacing w:after="0" w:line="215"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27</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6" w:right="239" w:bottom="1440" w:gutter="0" w:footer="0" w:header="0"/>
        </w:sectPr>
      </w:pPr>
    </w:p>
    <w:bookmarkStart w:id="27" w:name="page28"/>
    <w:bookmarkEnd w:id="27"/>
    <w:p>
      <w:pPr>
        <w:jc w:val="both"/>
        <w:ind w:firstLine="324"/>
        <w:spacing w:after="0" w:line="256" w:lineRule="auto"/>
        <w:rPr>
          <w:sz w:val="20"/>
          <w:szCs w:val="20"/>
          <w:color w:val="auto"/>
        </w:rPr>
      </w:pPr>
      <w:r>
        <w:rPr>
          <w:rFonts w:ascii="Arial" w:cs="Arial" w:eastAsia="Arial" w:hAnsi="Arial"/>
          <w:sz w:val="19"/>
          <w:szCs w:val="19"/>
          <w:color w:val="auto"/>
        </w:rPr>
        <w:t>On December 5, 2011, Arista served us with a Complaint it filed on November 29, 2011 in the State of New York Supreme Court, County of Monroe (the “Monroe County Action”) against us, our officers, several of our directors, and an employee. In its Complaint, Arista alleges that we and the named defendants have violated the terms of a Confidentiality Agreement with Arista and have unfairly competed against Arista by unlawfully appropriating Arista’s trade secrets and that as a result of such activity, Arista has incurred damages in excess of $60,000, and seeks damages, an accounting, and preliminary and permanent injunctive relief. After various motions, two amendments to its original Complaint and discovery between the parties, Arista withdrew all of its claims against all defendants other than the Company and one employee and the Stipulation and Order dismissing those claims was filed on September 20, 2013. On March 16, 2014, Arista delivered a Stipulation of Discontinuance With Prejudice agreeing to withdraw all remaining claims against us and our employee with prejudice which would preclude Arista from pursuing the claims that had been asserted in the Monroe County Action against us and our employee in a new suit or as counterclaims in the Wayne County Action.</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Company’s Wayne County Action continues and discovery is in process.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2(c) Purchases of Equity Securities by the Issuer and Affiliated Purchasers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following table sets forth information regarding purchases of our common stock under the Company’s stock repurchase program, which was authorized by the Board of Directors on April 28, 2014, and which became effective as of May 1, 2014. Under the repurchase program, the Board of Directors authorized the repurchase of up to 1.8 million shares of the Company’s common stock over a period not to exceed twelve months. There were no purchases under this program during the quarter ended June 29,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Total Number of</w:t>
            </w: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2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Shares Purchased</w:t>
            </w: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2440" w:type="dxa"/>
            <w:vAlign w:val="bottom"/>
          </w:tcPr>
          <w:p>
            <w:pPr>
              <w:spacing w:after="0"/>
              <w:rPr>
                <w:sz w:val="18"/>
                <w:szCs w:val="18"/>
                <w:color w:val="auto"/>
              </w:rPr>
            </w:pPr>
          </w:p>
        </w:tc>
        <w:tc>
          <w:tcPr>
            <w:tcW w:w="2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60" w:type="dxa"/>
            <w:vAlign w:val="bottom"/>
          </w:tcPr>
          <w:p>
            <w:pPr>
              <w:spacing w:after="0"/>
              <w:rPr>
                <w:sz w:val="18"/>
                <w:szCs w:val="18"/>
                <w:color w:val="auto"/>
              </w:rPr>
            </w:pPr>
          </w:p>
        </w:tc>
        <w:tc>
          <w:tcPr>
            <w:tcW w:w="2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Average Price Paid Per</w:t>
            </w:r>
          </w:p>
        </w:tc>
        <w:tc>
          <w:tcPr>
            <w:tcW w:w="2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as Part of Publicly</w:t>
            </w: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34"/>
        </w:trPr>
        <w:tc>
          <w:tcPr>
            <w:tcW w:w="2440" w:type="dxa"/>
            <w:vAlign w:val="bottom"/>
          </w:tcPr>
          <w:p>
            <w:pPr>
              <w:spacing w:after="0"/>
              <w:rPr>
                <w:sz w:val="20"/>
                <w:szCs w:val="20"/>
                <w:color w:val="auto"/>
              </w:rPr>
            </w:pPr>
          </w:p>
        </w:tc>
        <w:tc>
          <w:tcPr>
            <w:tcW w:w="2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Purchased</w:t>
            </w:r>
          </w:p>
        </w:tc>
        <w:tc>
          <w:tcPr>
            <w:tcW w:w="160" w:type="dxa"/>
            <w:vAlign w:val="bottom"/>
          </w:tcPr>
          <w:p>
            <w:pPr>
              <w:spacing w:after="0"/>
              <w:rPr>
                <w:sz w:val="20"/>
                <w:szCs w:val="20"/>
                <w:color w:val="auto"/>
              </w:rPr>
            </w:pPr>
          </w:p>
        </w:tc>
        <w:tc>
          <w:tcPr>
            <w:tcW w:w="2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Share</w:t>
            </w: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Announced Program</w:t>
            </w: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Under the Program</w:t>
            </w:r>
          </w:p>
        </w:tc>
      </w:tr>
      <w:tr>
        <w:trPr>
          <w:trHeight w:val="223"/>
        </w:trPr>
        <w:tc>
          <w:tcPr>
            <w:tcW w:w="2440" w:type="dxa"/>
            <w:vAlign w:val="bottom"/>
            <w:tcBorders>
              <w:top w:val="single" w:sz="8" w:color="CCEEFF"/>
            </w:tcBorders>
            <w:shd w:val="clear" w:color="auto" w:fill="CCEEFF"/>
          </w:tcPr>
          <w:p>
            <w:pPr>
              <w:ind w:left="120"/>
              <w:spacing w:after="0" w:line="223" w:lineRule="exact"/>
              <w:rPr>
                <w:sz w:val="20"/>
                <w:szCs w:val="20"/>
                <w:color w:val="auto"/>
              </w:rPr>
            </w:pPr>
            <w:r>
              <w:rPr>
                <w:rFonts w:ascii="Arial" w:cs="Arial" w:eastAsia="Arial" w:hAnsi="Arial"/>
                <w:sz w:val="20"/>
                <w:szCs w:val="20"/>
                <w:color w:val="auto"/>
              </w:rPr>
              <w:t>June 30 - July 30</w:t>
            </w:r>
          </w:p>
        </w:tc>
        <w:tc>
          <w:tcPr>
            <w:tcW w:w="2180" w:type="dxa"/>
            <w:vAlign w:val="bottom"/>
            <w:tcBorders>
              <w:top w:val="single" w:sz="8" w:color="auto"/>
            </w:tcBorders>
            <w:gridSpan w:val="2"/>
            <w:shd w:val="clear" w:color="auto" w:fill="CCEEFF"/>
          </w:tcPr>
          <w:p>
            <w:pPr>
              <w:jc w:val="right"/>
              <w:ind w:right="22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gridSpan w:val="2"/>
            <w:shd w:val="clear" w:color="auto" w:fill="CCEEFF"/>
          </w:tcPr>
          <w:p>
            <w:pPr>
              <w:jc w:val="center"/>
              <w:ind w:left="1305"/>
              <w:spacing w:after="0" w:line="223" w:lineRule="exact"/>
              <w:rPr>
                <w:sz w:val="20"/>
                <w:szCs w:val="20"/>
                <w:color w:val="auto"/>
              </w:rPr>
            </w:pPr>
            <w:r>
              <w:rPr>
                <w:rFonts w:ascii="Arial" w:cs="Arial" w:eastAsia="Arial" w:hAnsi="Arial"/>
                <w:sz w:val="20"/>
                <w:szCs w:val="20"/>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gridSpan w:val="2"/>
            <w:shd w:val="clear" w:color="auto" w:fill="CCEEFF"/>
          </w:tcPr>
          <w:p>
            <w:pPr>
              <w:ind w:left="174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gridSpan w:val="2"/>
            <w:shd w:val="clear" w:color="auto" w:fill="CCEEFF"/>
          </w:tcPr>
          <w:p>
            <w:pPr>
              <w:jc w:val="right"/>
              <w:ind w:right="10"/>
              <w:spacing w:after="0" w:line="223" w:lineRule="exact"/>
              <w:rPr>
                <w:sz w:val="20"/>
                <w:szCs w:val="20"/>
                <w:color w:val="auto"/>
              </w:rPr>
            </w:pPr>
            <w:r>
              <w:rPr>
                <w:rFonts w:ascii="Arial" w:cs="Arial" w:eastAsia="Arial" w:hAnsi="Arial"/>
                <w:sz w:val="20"/>
                <w:szCs w:val="20"/>
                <w:color w:val="auto"/>
              </w:rPr>
              <w:t>1,800,000</w:t>
            </w:r>
          </w:p>
        </w:tc>
      </w:tr>
      <w:tr>
        <w:trPr>
          <w:trHeight w:val="230"/>
        </w:trPr>
        <w:tc>
          <w:tcPr>
            <w:tcW w:w="2440" w:type="dxa"/>
            <w:vAlign w:val="bottom"/>
          </w:tcPr>
          <w:p>
            <w:pPr>
              <w:ind w:left="120"/>
              <w:spacing w:after="0"/>
              <w:rPr>
                <w:sz w:val="20"/>
                <w:szCs w:val="20"/>
                <w:color w:val="auto"/>
              </w:rPr>
            </w:pPr>
            <w:r>
              <w:rPr>
                <w:rFonts w:ascii="Arial" w:cs="Arial" w:eastAsia="Arial" w:hAnsi="Arial"/>
                <w:sz w:val="20"/>
                <w:szCs w:val="20"/>
                <w:color w:val="auto"/>
              </w:rPr>
              <w:t>July 31 – August 30</w:t>
            </w:r>
          </w:p>
        </w:tc>
        <w:tc>
          <w:tcPr>
            <w:tcW w:w="2180" w:type="dxa"/>
            <w:vAlign w:val="bottom"/>
            <w:gridSpan w:val="2"/>
          </w:tcPr>
          <w:p>
            <w:pPr>
              <w:jc w:val="right"/>
              <w:ind w:right="120"/>
              <w:spacing w:after="0"/>
              <w:rPr>
                <w:sz w:val="20"/>
                <w:szCs w:val="20"/>
                <w:color w:val="auto"/>
              </w:rPr>
            </w:pPr>
            <w:r>
              <w:rPr>
                <w:rFonts w:ascii="Arial" w:cs="Arial" w:eastAsia="Arial" w:hAnsi="Arial"/>
                <w:sz w:val="20"/>
                <w:szCs w:val="20"/>
                <w:color w:val="auto"/>
              </w:rPr>
              <w:t>63,516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00" w:type="dxa"/>
            <w:vAlign w:val="bottom"/>
            <w:gridSpan w:val="2"/>
          </w:tcPr>
          <w:p>
            <w:pPr>
              <w:jc w:val="center"/>
              <w:ind w:left="1365"/>
              <w:spacing w:after="0"/>
              <w:rPr>
                <w:sz w:val="20"/>
                <w:szCs w:val="20"/>
                <w:color w:val="auto"/>
              </w:rPr>
            </w:pPr>
            <w:r>
              <w:rPr>
                <w:rFonts w:ascii="Arial" w:cs="Arial" w:eastAsia="Arial" w:hAnsi="Arial"/>
                <w:sz w:val="20"/>
                <w:szCs w:val="20"/>
                <w:color w:val="auto"/>
                <w:w w:val="87"/>
              </w:rPr>
              <w:t>3.49</w:t>
            </w:r>
          </w:p>
        </w:tc>
        <w:tc>
          <w:tcPr>
            <w:tcW w:w="120" w:type="dxa"/>
            <w:vAlign w:val="bottom"/>
          </w:tcPr>
          <w:p>
            <w:pPr>
              <w:spacing w:after="0"/>
              <w:rPr>
                <w:sz w:val="19"/>
                <w:szCs w:val="19"/>
                <w:color w:val="auto"/>
              </w:rPr>
            </w:pPr>
          </w:p>
        </w:tc>
        <w:tc>
          <w:tcPr>
            <w:tcW w:w="2140" w:type="dxa"/>
            <w:vAlign w:val="bottom"/>
            <w:gridSpan w:val="2"/>
          </w:tcPr>
          <w:p>
            <w:pPr>
              <w:jc w:val="right"/>
              <w:ind w:right="100"/>
              <w:spacing w:after="0"/>
              <w:rPr>
                <w:sz w:val="20"/>
                <w:szCs w:val="20"/>
                <w:color w:val="auto"/>
              </w:rPr>
            </w:pPr>
            <w:r>
              <w:rPr>
                <w:rFonts w:ascii="Arial" w:cs="Arial" w:eastAsia="Arial" w:hAnsi="Arial"/>
                <w:sz w:val="20"/>
                <w:szCs w:val="20"/>
                <w:color w:val="auto"/>
              </w:rPr>
              <w:t>63,516</w:t>
            </w:r>
          </w:p>
        </w:tc>
        <w:tc>
          <w:tcPr>
            <w:tcW w:w="120" w:type="dxa"/>
            <w:vAlign w:val="bottom"/>
          </w:tcPr>
          <w:p>
            <w:pPr>
              <w:spacing w:after="0"/>
              <w:rPr>
                <w:sz w:val="19"/>
                <w:szCs w:val="19"/>
                <w:color w:val="auto"/>
              </w:rPr>
            </w:pPr>
          </w:p>
        </w:tc>
        <w:tc>
          <w:tcPr>
            <w:tcW w:w="2140" w:type="dxa"/>
            <w:vAlign w:val="bottom"/>
            <w:gridSpan w:val="2"/>
          </w:tcPr>
          <w:p>
            <w:pPr>
              <w:jc w:val="right"/>
              <w:ind w:right="10"/>
              <w:spacing w:after="0"/>
              <w:rPr>
                <w:sz w:val="20"/>
                <w:szCs w:val="20"/>
                <w:color w:val="auto"/>
              </w:rPr>
            </w:pPr>
            <w:r>
              <w:rPr>
                <w:rFonts w:ascii="Arial" w:cs="Arial" w:eastAsia="Arial" w:hAnsi="Arial"/>
                <w:sz w:val="20"/>
                <w:szCs w:val="20"/>
                <w:color w:val="auto"/>
              </w:rPr>
              <w:t>1,736,484</w:t>
            </w:r>
          </w:p>
        </w:tc>
      </w:tr>
      <w:tr>
        <w:trPr>
          <w:trHeight w:val="213"/>
        </w:trPr>
        <w:tc>
          <w:tcPr>
            <w:tcW w:w="2440" w:type="dxa"/>
            <w:vAlign w:val="bottom"/>
            <w:shd w:val="clear" w:color="auto" w:fill="CCEEFF"/>
          </w:tcPr>
          <w:p>
            <w:pPr>
              <w:ind w:left="120"/>
              <w:spacing w:after="0" w:line="213" w:lineRule="exact"/>
              <w:rPr>
                <w:sz w:val="20"/>
                <w:szCs w:val="20"/>
                <w:color w:val="auto"/>
              </w:rPr>
            </w:pPr>
            <w:r>
              <w:rPr>
                <w:rFonts w:ascii="Arial" w:cs="Arial" w:eastAsia="Arial" w:hAnsi="Arial"/>
                <w:sz w:val="20"/>
                <w:szCs w:val="20"/>
                <w:color w:val="auto"/>
              </w:rPr>
              <w:t>August 31 – September</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6"/>
        </w:trPr>
        <w:tc>
          <w:tcPr>
            <w:tcW w:w="2440" w:type="dxa"/>
            <w:vAlign w:val="bottom"/>
            <w:shd w:val="clear" w:color="auto" w:fill="CCEEFF"/>
          </w:tcPr>
          <w:p>
            <w:pPr>
              <w:ind w:left="120"/>
              <w:spacing w:after="0"/>
              <w:rPr>
                <w:sz w:val="20"/>
                <w:szCs w:val="20"/>
                <w:color w:val="auto"/>
              </w:rPr>
            </w:pPr>
            <w:r>
              <w:rPr>
                <w:rFonts w:ascii="Arial" w:cs="Arial" w:eastAsia="Arial" w:hAnsi="Arial"/>
                <w:sz w:val="20"/>
                <w:szCs w:val="20"/>
                <w:color w:val="auto"/>
              </w:rPr>
              <w:t>28</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97,041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center"/>
              <w:ind w:left="1365"/>
              <w:spacing w:after="0"/>
              <w:rPr>
                <w:sz w:val="20"/>
                <w:szCs w:val="20"/>
                <w:color w:val="auto"/>
              </w:rPr>
            </w:pPr>
            <w:r>
              <w:rPr>
                <w:rFonts w:ascii="Arial" w:cs="Arial" w:eastAsia="Arial" w:hAnsi="Arial"/>
                <w:sz w:val="20"/>
                <w:szCs w:val="20"/>
                <w:color w:val="auto"/>
                <w:w w:val="87"/>
              </w:rPr>
              <w:t>3.38</w:t>
            </w:r>
          </w:p>
        </w:tc>
        <w:tc>
          <w:tcPr>
            <w:tcW w:w="12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97,041</w:t>
            </w:r>
          </w:p>
        </w:tc>
        <w:tc>
          <w:tcPr>
            <w:tcW w:w="12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right"/>
              <w:ind w:right="10"/>
              <w:spacing w:after="0"/>
              <w:rPr>
                <w:sz w:val="20"/>
                <w:szCs w:val="20"/>
                <w:color w:val="auto"/>
              </w:rPr>
            </w:pPr>
            <w:r>
              <w:rPr>
                <w:rFonts w:ascii="Arial" w:cs="Arial" w:eastAsia="Arial" w:hAnsi="Arial"/>
                <w:sz w:val="20"/>
                <w:szCs w:val="20"/>
                <w:color w:val="auto"/>
              </w:rPr>
              <w:t>1,639,443</w:t>
            </w:r>
          </w:p>
        </w:tc>
      </w:tr>
      <w:tr>
        <w:trPr>
          <w:trHeight w:val="237"/>
        </w:trPr>
        <w:tc>
          <w:tcPr>
            <w:tcW w:w="2440" w:type="dxa"/>
            <w:vAlign w:val="bottom"/>
          </w:tcPr>
          <w:p>
            <w:pPr>
              <w:ind w:left="260"/>
              <w:spacing w:after="0"/>
              <w:rPr>
                <w:sz w:val="20"/>
                <w:szCs w:val="20"/>
                <w:color w:val="auto"/>
              </w:rPr>
            </w:pPr>
            <w:r>
              <w:rPr>
                <w:rFonts w:ascii="Arial" w:cs="Arial" w:eastAsia="Arial" w:hAnsi="Arial"/>
                <w:sz w:val="20"/>
                <w:szCs w:val="20"/>
                <w:color w:val="auto"/>
              </w:rPr>
              <w:t>Total</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160,557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900" w:type="dxa"/>
            <w:vAlign w:val="bottom"/>
            <w:tcBorders>
              <w:top w:val="single" w:sz="8" w:color="auto"/>
              <w:bottom w:val="single" w:sz="8" w:color="auto"/>
            </w:tcBorders>
          </w:tcPr>
          <w:p>
            <w:pPr>
              <w:jc w:val="center"/>
              <w:ind w:left="1465"/>
              <w:spacing w:after="0"/>
              <w:rPr>
                <w:sz w:val="20"/>
                <w:szCs w:val="20"/>
                <w:color w:val="auto"/>
              </w:rPr>
            </w:pPr>
            <w:r>
              <w:rPr>
                <w:rFonts w:ascii="Arial" w:cs="Arial" w:eastAsia="Arial" w:hAnsi="Arial"/>
                <w:sz w:val="20"/>
                <w:szCs w:val="20"/>
                <w:color w:val="auto"/>
                <w:w w:val="87"/>
              </w:rPr>
              <w:t>3.42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160,557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
        </w:trPr>
        <w:tc>
          <w:tcPr>
            <w:tcW w:w="24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02"/>
        </w:trPr>
        <w:tc>
          <w:tcPr>
            <w:tcW w:w="2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jc w:val="right"/>
              <w:ind w:right="88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Borders>
              <w:bottom w:val="single" w:sz="8" w:color="0000EE"/>
            </w:tcBorders>
          </w:tcPr>
          <w:p>
            <w:pPr>
              <w:jc w:val="right"/>
              <w:spacing w:after="0"/>
              <w:rPr>
                <w:rFonts w:ascii="Arial" w:cs="Arial" w:eastAsia="Arial" w:hAnsi="Arial"/>
                <w:sz w:val="18"/>
                <w:szCs w:val="18"/>
                <w:i w:val="1"/>
                <w:iCs w:val="1"/>
                <w:color w:val="0000EE"/>
                <w:w w:val="87"/>
              </w:rPr>
            </w:pPr>
            <w:hyperlink w:anchor="page2">
              <w:r>
                <w:rPr>
                  <w:rFonts w:ascii="Arial" w:cs="Arial" w:eastAsia="Arial" w:hAnsi="Arial"/>
                  <w:sz w:val="18"/>
                  <w:szCs w:val="18"/>
                  <w:i w:val="1"/>
                  <w:iCs w:val="1"/>
                  <w:color w:val="0000EE"/>
                  <w:w w:val="87"/>
                </w:rPr>
                <w:t>Table of Contents</w:t>
              </w:r>
            </w:hyperlink>
          </w:p>
        </w:tc>
      </w:tr>
    </w:tbl>
    <w:p>
      <w:pPr>
        <w:sectPr>
          <w:pgSz w:w="11900" w:h="16838" w:orient="portrait"/>
          <w:cols w:equalWidth="0" w:num="1">
            <w:col w:w="11420"/>
          </w:cols>
          <w:pgMar w:left="240" w:top="663" w:right="23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ITEM 6. EXHIBITS</w:t>
      </w:r>
    </w:p>
    <w:p>
      <w:pPr>
        <w:spacing w:after="0" w:line="23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w:t>
            </w:r>
          </w:p>
        </w:tc>
        <w:tc>
          <w:tcPr>
            <w:tcW w:w="64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Index</w:t>
            </w:r>
          </w:p>
        </w:tc>
        <w:tc>
          <w:tcPr>
            <w:tcW w:w="6400" w:type="dxa"/>
            <w:vAlign w:val="bottom"/>
          </w:tcPr>
          <w:p>
            <w:pPr>
              <w:ind w:left="280"/>
              <w:spacing w:after="0"/>
              <w:rPr>
                <w:sz w:val="20"/>
                <w:szCs w:val="20"/>
                <w:color w:val="auto"/>
              </w:rPr>
            </w:pPr>
            <w:r>
              <w:rPr>
                <w:rFonts w:ascii="Arial" w:cs="Arial" w:eastAsia="Arial" w:hAnsi="Arial"/>
                <w:sz w:val="18"/>
                <w:szCs w:val="18"/>
                <w:color w:val="auto"/>
              </w:rPr>
              <w:t>Description of Document</w:t>
            </w:r>
          </w:p>
        </w:tc>
        <w:tc>
          <w:tcPr>
            <w:tcW w:w="2680" w:type="dxa"/>
            <w:vAlign w:val="bottom"/>
          </w:tcPr>
          <w:p>
            <w:pPr>
              <w:ind w:left="280"/>
              <w:spacing w:after="0"/>
              <w:rPr>
                <w:sz w:val="20"/>
                <w:szCs w:val="20"/>
                <w:color w:val="auto"/>
              </w:rPr>
            </w:pPr>
            <w:r>
              <w:rPr>
                <w:rFonts w:ascii="Arial" w:cs="Arial" w:eastAsia="Arial" w:hAnsi="Arial"/>
                <w:sz w:val="18"/>
                <w:szCs w:val="18"/>
                <w:color w:val="auto"/>
                <w:w w:val="91"/>
              </w:rPr>
              <w:t>Incorporated By Reference from:</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6400" w:type="dxa"/>
            <w:vAlign w:val="bottom"/>
          </w:tcPr>
          <w:p>
            <w:pPr>
              <w:ind w:left="280"/>
              <w:spacing w:after="0"/>
              <w:rPr>
                <w:sz w:val="20"/>
                <w:szCs w:val="20"/>
                <w:color w:val="auto"/>
              </w:rPr>
            </w:pPr>
            <w:r>
              <w:rPr>
                <w:rFonts w:ascii="Arial" w:cs="Arial" w:eastAsia="Arial" w:hAnsi="Arial"/>
                <w:sz w:val="18"/>
                <w:szCs w:val="18"/>
                <w:color w:val="auto"/>
                <w:w w:val="94"/>
              </w:rPr>
              <w:t>Second Amendment, dated October 28, 2014, to the Revolving Credit, Guaranty,</w:t>
            </w:r>
          </w:p>
        </w:tc>
        <w:tc>
          <w:tcPr>
            <w:tcW w:w="2680" w:type="dxa"/>
            <w:vAlign w:val="bottom"/>
          </w:tcPr>
          <w:p>
            <w:pPr>
              <w:ind w:left="28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18"/>
                <w:szCs w:val="18"/>
                <w:color w:val="auto"/>
              </w:rPr>
            </w:pPr>
          </w:p>
        </w:tc>
        <w:tc>
          <w:tcPr>
            <w:tcW w:w="6400" w:type="dxa"/>
            <w:vAlign w:val="bottom"/>
          </w:tcPr>
          <w:p>
            <w:pPr>
              <w:ind w:left="280"/>
              <w:spacing w:after="0"/>
              <w:rPr>
                <w:sz w:val="20"/>
                <w:szCs w:val="20"/>
                <w:color w:val="auto"/>
              </w:rPr>
            </w:pPr>
            <w:r>
              <w:rPr>
                <w:rFonts w:ascii="Arial" w:cs="Arial" w:eastAsia="Arial" w:hAnsi="Arial"/>
                <w:sz w:val="18"/>
                <w:szCs w:val="18"/>
                <w:color w:val="auto"/>
                <w:w w:val="96"/>
              </w:rPr>
              <w:t>and Security Agreement between Ultralife Corporation and PNC Bank, National</w:t>
            </w:r>
          </w:p>
        </w:tc>
        <w:tc>
          <w:tcPr>
            <w:tcW w:w="26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400" w:type="dxa"/>
            <w:vAlign w:val="bottom"/>
          </w:tcPr>
          <w:p>
            <w:pPr>
              <w:ind w:left="280"/>
              <w:spacing w:after="0"/>
              <w:rPr>
                <w:sz w:val="20"/>
                <w:szCs w:val="20"/>
                <w:color w:val="auto"/>
              </w:rPr>
            </w:pPr>
            <w:r>
              <w:rPr>
                <w:rFonts w:ascii="Arial" w:cs="Arial" w:eastAsia="Arial" w:hAnsi="Arial"/>
                <w:sz w:val="18"/>
                <w:szCs w:val="18"/>
                <w:color w:val="auto"/>
              </w:rPr>
              <w:t>Association, dated as of May 24, 2013</w:t>
            </w:r>
          </w:p>
        </w:tc>
        <w:tc>
          <w:tcPr>
            <w:tcW w:w="26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6400" w:type="dxa"/>
            <w:vAlign w:val="bottom"/>
          </w:tcPr>
          <w:p>
            <w:pPr>
              <w:ind w:left="280"/>
              <w:spacing w:after="0"/>
              <w:rPr>
                <w:sz w:val="20"/>
                <w:szCs w:val="20"/>
                <w:color w:val="auto"/>
              </w:rPr>
            </w:pPr>
            <w:r>
              <w:rPr>
                <w:rFonts w:ascii="Arial" w:cs="Arial" w:eastAsia="Arial" w:hAnsi="Arial"/>
                <w:sz w:val="18"/>
                <w:szCs w:val="18"/>
                <w:color w:val="auto"/>
              </w:rPr>
              <w:t>Rule 13a-14(a) / 15d-14(a) CEO Certifications</w:t>
            </w:r>
          </w:p>
        </w:tc>
        <w:tc>
          <w:tcPr>
            <w:tcW w:w="2680" w:type="dxa"/>
            <w:vAlign w:val="bottom"/>
          </w:tcPr>
          <w:p>
            <w:pPr>
              <w:ind w:left="28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6400" w:type="dxa"/>
            <w:vAlign w:val="bottom"/>
          </w:tcPr>
          <w:p>
            <w:pPr>
              <w:ind w:left="280"/>
              <w:spacing w:after="0"/>
              <w:rPr>
                <w:sz w:val="20"/>
                <w:szCs w:val="20"/>
                <w:color w:val="auto"/>
              </w:rPr>
            </w:pPr>
            <w:r>
              <w:rPr>
                <w:rFonts w:ascii="Arial" w:cs="Arial" w:eastAsia="Arial" w:hAnsi="Arial"/>
                <w:sz w:val="18"/>
                <w:szCs w:val="18"/>
                <w:color w:val="auto"/>
              </w:rPr>
              <w:t>Rule 13a-14(a) / 15d-14(a) CFO Certifications</w:t>
            </w:r>
          </w:p>
        </w:tc>
        <w:tc>
          <w:tcPr>
            <w:tcW w:w="2680" w:type="dxa"/>
            <w:vAlign w:val="bottom"/>
          </w:tcPr>
          <w:p>
            <w:pPr>
              <w:ind w:left="28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6400" w:type="dxa"/>
            <w:vAlign w:val="bottom"/>
          </w:tcPr>
          <w:p>
            <w:pPr>
              <w:ind w:left="280"/>
              <w:spacing w:after="0"/>
              <w:rPr>
                <w:sz w:val="20"/>
                <w:szCs w:val="20"/>
                <w:color w:val="auto"/>
              </w:rPr>
            </w:pPr>
            <w:r>
              <w:rPr>
                <w:rFonts w:ascii="Arial" w:cs="Arial" w:eastAsia="Arial" w:hAnsi="Arial"/>
                <w:sz w:val="18"/>
                <w:szCs w:val="18"/>
                <w:color w:val="auto"/>
              </w:rPr>
              <w:t>Section 1350 Certifications</w:t>
            </w:r>
          </w:p>
        </w:tc>
        <w:tc>
          <w:tcPr>
            <w:tcW w:w="2680" w:type="dxa"/>
            <w:vAlign w:val="bottom"/>
          </w:tcPr>
          <w:p>
            <w:pPr>
              <w:ind w:left="28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6400" w:type="dxa"/>
            <w:vAlign w:val="bottom"/>
          </w:tcPr>
          <w:p>
            <w:pPr>
              <w:ind w:left="280"/>
              <w:spacing w:after="0"/>
              <w:rPr>
                <w:sz w:val="20"/>
                <w:szCs w:val="20"/>
                <w:color w:val="auto"/>
              </w:rPr>
            </w:pPr>
            <w:r>
              <w:rPr>
                <w:rFonts w:ascii="Arial" w:cs="Arial" w:eastAsia="Arial" w:hAnsi="Arial"/>
                <w:sz w:val="18"/>
                <w:szCs w:val="18"/>
                <w:color w:val="auto"/>
              </w:rPr>
              <w:t>XBRL Instance Document</w:t>
            </w:r>
          </w:p>
        </w:tc>
        <w:tc>
          <w:tcPr>
            <w:tcW w:w="26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640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c>
          <w:tcPr>
            <w:tcW w:w="26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6400" w:type="dxa"/>
            <w:vAlign w:val="bottom"/>
          </w:tcPr>
          <w:p>
            <w:pPr>
              <w:ind w:left="280"/>
              <w:spacing w:after="0"/>
              <w:rPr>
                <w:sz w:val="20"/>
                <w:szCs w:val="20"/>
                <w:color w:val="auto"/>
              </w:rPr>
            </w:pPr>
            <w:r>
              <w:rPr>
                <w:rFonts w:ascii="Arial" w:cs="Arial" w:eastAsia="Arial" w:hAnsi="Arial"/>
                <w:sz w:val="18"/>
                <w:szCs w:val="18"/>
                <w:color w:val="auto"/>
              </w:rPr>
              <w:t>XBRL Taxonomy Calculation Linkbase Document</w:t>
            </w:r>
          </w:p>
        </w:tc>
        <w:tc>
          <w:tcPr>
            <w:tcW w:w="26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6400" w:type="dxa"/>
            <w:vAlign w:val="bottom"/>
          </w:tcPr>
          <w:p>
            <w:pPr>
              <w:ind w:left="280"/>
              <w:spacing w:after="0"/>
              <w:rPr>
                <w:sz w:val="20"/>
                <w:szCs w:val="20"/>
                <w:color w:val="auto"/>
              </w:rPr>
            </w:pPr>
            <w:r>
              <w:rPr>
                <w:rFonts w:ascii="Arial" w:cs="Arial" w:eastAsia="Arial" w:hAnsi="Arial"/>
                <w:sz w:val="18"/>
                <w:szCs w:val="18"/>
                <w:color w:val="auto"/>
              </w:rPr>
              <w:t>XBRL Taxonomy Label Linkbase Document</w:t>
            </w:r>
          </w:p>
        </w:tc>
        <w:tc>
          <w:tcPr>
            <w:tcW w:w="26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6400" w:type="dxa"/>
            <w:vAlign w:val="bottom"/>
          </w:tcPr>
          <w:p>
            <w:pPr>
              <w:ind w:left="280"/>
              <w:spacing w:after="0"/>
              <w:rPr>
                <w:sz w:val="20"/>
                <w:szCs w:val="20"/>
                <w:color w:val="auto"/>
              </w:rPr>
            </w:pPr>
            <w:r>
              <w:rPr>
                <w:rFonts w:ascii="Arial" w:cs="Arial" w:eastAsia="Arial" w:hAnsi="Arial"/>
                <w:sz w:val="18"/>
                <w:szCs w:val="18"/>
                <w:color w:val="auto"/>
              </w:rPr>
              <w:t>XBRL Taxonomy Presentation Linkbase Document</w:t>
            </w:r>
          </w:p>
        </w:tc>
        <w:tc>
          <w:tcPr>
            <w:tcW w:w="268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6400" w:type="dxa"/>
            <w:vAlign w:val="bottom"/>
          </w:tcPr>
          <w:p>
            <w:pPr>
              <w:ind w:left="280"/>
              <w:spacing w:after="0"/>
              <w:rPr>
                <w:sz w:val="20"/>
                <w:szCs w:val="20"/>
                <w:color w:val="auto"/>
              </w:rPr>
            </w:pPr>
            <w:r>
              <w:rPr>
                <w:rFonts w:ascii="Arial" w:cs="Arial" w:eastAsia="Arial" w:hAnsi="Arial"/>
                <w:sz w:val="18"/>
                <w:szCs w:val="18"/>
                <w:color w:val="auto"/>
              </w:rPr>
              <w:t>XBRL Taxonomy Definition Document</w:t>
            </w:r>
          </w:p>
        </w:tc>
        <w:tc>
          <w:tcPr>
            <w:tcW w:w="26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29</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6" w:right="2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ULTRALIFE CORPORATION</w:t>
            </w:r>
          </w:p>
        </w:tc>
        <w:tc>
          <w:tcPr>
            <w:tcW w:w="300" w:type="dxa"/>
            <w:vAlign w:val="bottom"/>
          </w:tcPr>
          <w:p>
            <w:pPr>
              <w:spacing w:after="0"/>
              <w:rPr>
                <w:sz w:val="17"/>
                <w:szCs w:val="17"/>
                <w:color w:val="auto"/>
              </w:rPr>
            </w:pPr>
          </w:p>
        </w:tc>
      </w:tr>
      <w:tr>
        <w:trPr>
          <w:trHeight w:val="237"/>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40" w:type="dxa"/>
            <w:vAlign w:val="bottom"/>
            <w:gridSpan w:val="3"/>
          </w:tcPr>
          <w:p>
            <w:pPr>
              <w:ind w:left="280"/>
              <w:spacing w:after="0"/>
              <w:rPr>
                <w:sz w:val="20"/>
                <w:szCs w:val="20"/>
                <w:color w:val="auto"/>
              </w:rPr>
            </w:pPr>
            <w:r>
              <w:rPr>
                <w:rFonts w:ascii="Arial" w:cs="Arial" w:eastAsia="Arial" w:hAnsi="Arial"/>
                <w:sz w:val="18"/>
                <w:szCs w:val="18"/>
                <w:color w:val="auto"/>
              </w:rPr>
              <w:t>(Registrant)</w:t>
            </w:r>
          </w:p>
        </w:tc>
      </w:tr>
      <w:tr>
        <w:trPr>
          <w:trHeight w:val="392"/>
        </w:trPr>
        <w:tc>
          <w:tcPr>
            <w:tcW w:w="4120" w:type="dxa"/>
            <w:vAlign w:val="bottom"/>
            <w:gridSpan w:val="3"/>
          </w:tcPr>
          <w:p>
            <w:pPr>
              <w:spacing w:after="0"/>
              <w:rPr>
                <w:sz w:val="20"/>
                <w:szCs w:val="20"/>
                <w:color w:val="auto"/>
              </w:rPr>
            </w:pPr>
            <w:r>
              <w:rPr>
                <w:rFonts w:ascii="Arial" w:cs="Arial" w:eastAsia="Arial" w:hAnsi="Arial"/>
                <w:sz w:val="18"/>
                <w:szCs w:val="18"/>
                <w:color w:val="auto"/>
              </w:rPr>
              <w:t>Date: November 3, 2014</w:t>
            </w:r>
          </w:p>
        </w:tc>
        <w:tc>
          <w:tcPr>
            <w:tcW w:w="2740" w:type="dxa"/>
            <w:vAlign w:val="bottom"/>
            <w:gridSpan w:val="4"/>
          </w:tcPr>
          <w:p>
            <w:pPr>
              <w:spacing w:after="0"/>
              <w:rPr>
                <w:sz w:val="20"/>
                <w:szCs w:val="20"/>
                <w:color w:val="auto"/>
              </w:rPr>
            </w:pPr>
            <w:r>
              <w:rPr>
                <w:rFonts w:ascii="Arial" w:cs="Arial" w:eastAsia="Arial" w:hAnsi="Arial"/>
                <w:sz w:val="18"/>
                <w:szCs w:val="18"/>
                <w:color w:val="auto"/>
              </w:rPr>
              <w:t>By:  /s/ Michael D. Popielec</w:t>
            </w:r>
          </w:p>
        </w:tc>
      </w:tr>
      <w:tr>
        <w:trPr>
          <w:trHeight w:val="20"/>
        </w:trPr>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2"/>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auto"/>
              </w:rPr>
              <w:t>Michael D. Popielec</w:t>
            </w:r>
          </w:p>
        </w:tc>
      </w:tr>
      <w:tr>
        <w:trPr>
          <w:trHeight w:val="216"/>
        </w:trPr>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auto"/>
              </w:rPr>
              <w:t>(Principal Executive Officer)</w:t>
            </w:r>
          </w:p>
        </w:tc>
      </w:tr>
      <w:tr>
        <w:trPr>
          <w:trHeight w:val="392"/>
        </w:trPr>
        <w:tc>
          <w:tcPr>
            <w:tcW w:w="4120" w:type="dxa"/>
            <w:vAlign w:val="bottom"/>
            <w:gridSpan w:val="3"/>
          </w:tcPr>
          <w:p>
            <w:pPr>
              <w:spacing w:after="0"/>
              <w:rPr>
                <w:sz w:val="20"/>
                <w:szCs w:val="20"/>
                <w:color w:val="auto"/>
              </w:rPr>
            </w:pPr>
            <w:r>
              <w:rPr>
                <w:rFonts w:ascii="Arial" w:cs="Arial" w:eastAsia="Arial" w:hAnsi="Arial"/>
                <w:sz w:val="18"/>
                <w:szCs w:val="18"/>
                <w:color w:val="auto"/>
              </w:rPr>
              <w:t>Date: November 3, 2014</w:t>
            </w:r>
          </w:p>
        </w:tc>
        <w:tc>
          <w:tcPr>
            <w:tcW w:w="2740" w:type="dxa"/>
            <w:vAlign w:val="bottom"/>
            <w:gridSpan w:val="4"/>
          </w:tcPr>
          <w:p>
            <w:pPr>
              <w:spacing w:after="0"/>
              <w:rPr>
                <w:sz w:val="20"/>
                <w:szCs w:val="20"/>
                <w:color w:val="auto"/>
              </w:rPr>
            </w:pPr>
            <w:r>
              <w:rPr>
                <w:rFonts w:ascii="Arial" w:cs="Arial" w:eastAsia="Arial" w:hAnsi="Arial"/>
                <w:sz w:val="18"/>
                <w:szCs w:val="18"/>
                <w:color w:val="auto"/>
              </w:rPr>
              <w:t>By:  /s/ Philip A. Fain</w:t>
            </w:r>
          </w:p>
        </w:tc>
      </w:tr>
      <w:tr>
        <w:trPr>
          <w:trHeight w:val="20"/>
        </w:trPr>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auto"/>
              </w:rPr>
              <w:t>Philip A. Fain</w:t>
            </w:r>
          </w:p>
        </w:tc>
      </w:tr>
      <w:tr>
        <w:trPr>
          <w:trHeight w:val="216"/>
        </w:trPr>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auto"/>
                <w:w w:val="92"/>
              </w:rPr>
              <w:t>Chief Financial Officer and Treasurer</w:t>
            </w:r>
          </w:p>
        </w:tc>
      </w:tr>
      <w:tr>
        <w:trPr>
          <w:trHeight w:val="216"/>
        </w:trPr>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40" w:type="dxa"/>
            <w:vAlign w:val="bottom"/>
            <w:gridSpan w:val="4"/>
          </w:tcPr>
          <w:p>
            <w:pPr>
              <w:ind w:left="18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30</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144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50"/>
        </w:trPr>
        <w:tc>
          <w:tcPr>
            <w:tcW w:w="860" w:type="dxa"/>
            <w:vAlign w:val="bottom"/>
          </w:tcPr>
          <w:p>
            <w:pPr>
              <w:spacing w:after="0"/>
              <w:rPr>
                <w:sz w:val="21"/>
                <w:szCs w:val="21"/>
                <w:color w:val="auto"/>
              </w:rPr>
            </w:pPr>
          </w:p>
        </w:tc>
        <w:tc>
          <w:tcPr>
            <w:tcW w:w="9640" w:type="dxa"/>
            <w:vAlign w:val="bottom"/>
          </w:tcPr>
          <w:p>
            <w:pPr>
              <w:ind w:left="3520"/>
              <w:spacing w:after="0"/>
              <w:rPr>
                <w:sz w:val="20"/>
                <w:szCs w:val="20"/>
                <w:color w:val="auto"/>
              </w:rPr>
            </w:pPr>
            <w:r>
              <w:rPr>
                <w:rFonts w:ascii="Arial" w:cs="Arial" w:eastAsia="Arial" w:hAnsi="Arial"/>
                <w:sz w:val="20"/>
                <w:szCs w:val="20"/>
                <w:color w:val="auto"/>
              </w:rPr>
              <w:t>Index to Exhibits</w:t>
            </w:r>
          </w:p>
        </w:tc>
      </w:tr>
      <w:tr>
        <w:trPr>
          <w:trHeight w:val="438"/>
        </w:trPr>
        <w:tc>
          <w:tcPr>
            <w:tcW w:w="860" w:type="dxa"/>
            <w:vAlign w:val="bottom"/>
          </w:tcPr>
          <w:p>
            <w:pPr>
              <w:spacing w:after="0"/>
              <w:rPr>
                <w:sz w:val="20"/>
                <w:szCs w:val="20"/>
                <w:color w:val="auto"/>
              </w:rPr>
            </w:pPr>
            <w:r>
              <w:rPr>
                <w:rFonts w:ascii="Arial" w:cs="Arial" w:eastAsia="Arial" w:hAnsi="Arial"/>
                <w:sz w:val="20"/>
                <w:szCs w:val="20"/>
                <w:color w:val="auto"/>
              </w:rPr>
              <w:t>10.1</w:t>
            </w:r>
          </w:p>
        </w:tc>
        <w:tc>
          <w:tcPr>
            <w:tcW w:w="9640" w:type="dxa"/>
            <w:vAlign w:val="bottom"/>
          </w:tcPr>
          <w:p>
            <w:pPr>
              <w:ind w:left="100"/>
              <w:spacing w:after="0"/>
              <w:rPr>
                <w:sz w:val="20"/>
                <w:szCs w:val="20"/>
                <w:color w:val="auto"/>
              </w:rPr>
            </w:pPr>
            <w:r>
              <w:rPr>
                <w:rFonts w:ascii="Arial" w:cs="Arial" w:eastAsia="Arial" w:hAnsi="Arial"/>
                <w:sz w:val="20"/>
                <w:szCs w:val="20"/>
                <w:color w:val="auto"/>
                <w:w w:val="93"/>
              </w:rPr>
              <w:t>Second Amendment, dated October 28, 2014, to the Revolving Credit, Guaranty, and Security Agreement between</w:t>
            </w:r>
          </w:p>
        </w:tc>
      </w:tr>
      <w:tr>
        <w:trPr>
          <w:trHeight w:val="230"/>
        </w:trPr>
        <w:tc>
          <w:tcPr>
            <w:tcW w:w="860" w:type="dxa"/>
            <w:vAlign w:val="bottom"/>
          </w:tcPr>
          <w:p>
            <w:pPr>
              <w:spacing w:after="0"/>
              <w:rPr>
                <w:sz w:val="19"/>
                <w:szCs w:val="19"/>
                <w:color w:val="auto"/>
              </w:rPr>
            </w:pPr>
          </w:p>
        </w:tc>
        <w:tc>
          <w:tcPr>
            <w:tcW w:w="9640" w:type="dxa"/>
            <w:vAlign w:val="bottom"/>
          </w:tcPr>
          <w:p>
            <w:pPr>
              <w:ind w:left="100"/>
              <w:spacing w:after="0"/>
              <w:rPr>
                <w:sz w:val="20"/>
                <w:szCs w:val="20"/>
                <w:color w:val="auto"/>
              </w:rPr>
            </w:pPr>
            <w:r>
              <w:rPr>
                <w:rFonts w:ascii="Arial" w:cs="Arial" w:eastAsia="Arial" w:hAnsi="Arial"/>
                <w:sz w:val="20"/>
                <w:szCs w:val="20"/>
                <w:color w:val="auto"/>
              </w:rPr>
              <w:t>Ultralife Corporation and PNC Bank, National Association, dated as of May 24, 2013</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31.1</w:t>
            </w:r>
          </w:p>
        </w:tc>
        <w:tc>
          <w:tcPr>
            <w:tcW w:w="9640" w:type="dxa"/>
            <w:vAlign w:val="bottom"/>
          </w:tcPr>
          <w:p>
            <w:pPr>
              <w:ind w:left="100"/>
              <w:spacing w:after="0"/>
              <w:rPr>
                <w:sz w:val="20"/>
                <w:szCs w:val="20"/>
                <w:color w:val="auto"/>
              </w:rPr>
            </w:pPr>
            <w:r>
              <w:rPr>
                <w:rFonts w:ascii="Arial" w:cs="Arial" w:eastAsia="Arial" w:hAnsi="Arial"/>
                <w:sz w:val="20"/>
                <w:szCs w:val="20"/>
                <w:color w:val="auto"/>
                <w:w w:val="91"/>
              </w:rPr>
              <w:t>Certification of Chief Executive Officer Pursuant to Rule 13a-14(a) of the Securities Exchange Act of 1934, as adopted</w:t>
            </w:r>
          </w:p>
        </w:tc>
      </w:tr>
      <w:tr>
        <w:trPr>
          <w:trHeight w:val="230"/>
        </w:trPr>
        <w:tc>
          <w:tcPr>
            <w:tcW w:w="860" w:type="dxa"/>
            <w:vAlign w:val="bottom"/>
          </w:tcPr>
          <w:p>
            <w:pPr>
              <w:spacing w:after="0"/>
              <w:rPr>
                <w:sz w:val="19"/>
                <w:szCs w:val="19"/>
                <w:color w:val="auto"/>
              </w:rPr>
            </w:pPr>
          </w:p>
        </w:tc>
        <w:tc>
          <w:tcPr>
            <w:tcW w:w="9640" w:type="dxa"/>
            <w:vAlign w:val="bottom"/>
          </w:tcPr>
          <w:p>
            <w:pPr>
              <w:ind w:left="100"/>
              <w:spacing w:after="0"/>
              <w:rPr>
                <w:sz w:val="20"/>
                <w:szCs w:val="20"/>
                <w:color w:val="auto"/>
              </w:rPr>
            </w:pPr>
            <w:r>
              <w:rPr>
                <w:rFonts w:ascii="Arial" w:cs="Arial" w:eastAsia="Arial" w:hAnsi="Arial"/>
                <w:sz w:val="20"/>
                <w:szCs w:val="20"/>
                <w:color w:val="auto"/>
              </w:rPr>
              <w:t>pursuant to Section 302 of the Sarbanes-Oxley Act of 2002</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31.2</w:t>
            </w:r>
          </w:p>
        </w:tc>
        <w:tc>
          <w:tcPr>
            <w:tcW w:w="9640" w:type="dxa"/>
            <w:vAlign w:val="bottom"/>
          </w:tcPr>
          <w:p>
            <w:pPr>
              <w:ind w:left="100"/>
              <w:spacing w:after="0"/>
              <w:rPr>
                <w:sz w:val="20"/>
                <w:szCs w:val="20"/>
                <w:color w:val="auto"/>
              </w:rPr>
            </w:pPr>
            <w:r>
              <w:rPr>
                <w:rFonts w:ascii="Arial" w:cs="Arial" w:eastAsia="Arial" w:hAnsi="Arial"/>
                <w:sz w:val="20"/>
                <w:szCs w:val="20"/>
                <w:color w:val="auto"/>
                <w:w w:val="91"/>
              </w:rPr>
              <w:t>Certification of Chief Financial Officer Pursuant to Rule 13a-14(a) of the Securities Exchange Act of 1934, as adopted</w:t>
            </w:r>
          </w:p>
        </w:tc>
      </w:tr>
      <w:tr>
        <w:trPr>
          <w:trHeight w:val="230"/>
        </w:trPr>
        <w:tc>
          <w:tcPr>
            <w:tcW w:w="860" w:type="dxa"/>
            <w:vAlign w:val="bottom"/>
          </w:tcPr>
          <w:p>
            <w:pPr>
              <w:spacing w:after="0"/>
              <w:rPr>
                <w:sz w:val="19"/>
                <w:szCs w:val="19"/>
                <w:color w:val="auto"/>
              </w:rPr>
            </w:pPr>
          </w:p>
        </w:tc>
        <w:tc>
          <w:tcPr>
            <w:tcW w:w="9640" w:type="dxa"/>
            <w:vAlign w:val="bottom"/>
          </w:tcPr>
          <w:p>
            <w:pPr>
              <w:ind w:left="100"/>
              <w:spacing w:after="0"/>
              <w:rPr>
                <w:sz w:val="20"/>
                <w:szCs w:val="20"/>
                <w:color w:val="auto"/>
              </w:rPr>
            </w:pPr>
            <w:r>
              <w:rPr>
                <w:rFonts w:ascii="Arial" w:cs="Arial" w:eastAsia="Arial" w:hAnsi="Arial"/>
                <w:sz w:val="20"/>
                <w:szCs w:val="20"/>
                <w:color w:val="auto"/>
              </w:rPr>
              <w:t>pursuant to Section 302 of the Sarbanes-Oxley Act of 2002</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32</w:t>
            </w:r>
          </w:p>
        </w:tc>
        <w:tc>
          <w:tcPr>
            <w:tcW w:w="9640" w:type="dxa"/>
            <w:vAlign w:val="bottom"/>
          </w:tcPr>
          <w:p>
            <w:pPr>
              <w:ind w:left="100"/>
              <w:spacing w:after="0"/>
              <w:rPr>
                <w:sz w:val="20"/>
                <w:szCs w:val="20"/>
                <w:color w:val="auto"/>
              </w:rPr>
            </w:pPr>
            <w:r>
              <w:rPr>
                <w:rFonts w:ascii="Arial" w:cs="Arial" w:eastAsia="Arial" w:hAnsi="Arial"/>
                <w:sz w:val="20"/>
                <w:szCs w:val="20"/>
                <w:color w:val="auto"/>
                <w:w w:val="89"/>
              </w:rPr>
              <w:t>Certification pursuant to 18 U.S.C. Section 1350, as adopted pursuant to Section 906 of the Sarbanes-Oxley Act of 2002</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101.INS</w:t>
            </w:r>
          </w:p>
        </w:tc>
        <w:tc>
          <w:tcPr>
            <w:tcW w:w="9640" w:type="dxa"/>
            <w:vAlign w:val="bottom"/>
          </w:tcPr>
          <w:p>
            <w:pPr>
              <w:ind w:left="100"/>
              <w:spacing w:after="0"/>
              <w:rPr>
                <w:sz w:val="20"/>
                <w:szCs w:val="20"/>
                <w:color w:val="auto"/>
              </w:rPr>
            </w:pPr>
            <w:r>
              <w:rPr>
                <w:rFonts w:ascii="Arial" w:cs="Arial" w:eastAsia="Arial" w:hAnsi="Arial"/>
                <w:sz w:val="20"/>
                <w:szCs w:val="20"/>
                <w:color w:val="auto"/>
              </w:rPr>
              <w:t>XBRL Instance Document</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101.SCH</w:t>
            </w:r>
          </w:p>
        </w:tc>
        <w:tc>
          <w:tcPr>
            <w:tcW w:w="9640" w:type="dxa"/>
            <w:vAlign w:val="bottom"/>
          </w:tcPr>
          <w:p>
            <w:pPr>
              <w:ind w:left="100"/>
              <w:spacing w:after="0"/>
              <w:rPr>
                <w:sz w:val="20"/>
                <w:szCs w:val="20"/>
                <w:color w:val="auto"/>
              </w:rPr>
            </w:pPr>
            <w:r>
              <w:rPr>
                <w:rFonts w:ascii="Arial" w:cs="Arial" w:eastAsia="Arial" w:hAnsi="Arial"/>
                <w:sz w:val="20"/>
                <w:szCs w:val="20"/>
                <w:color w:val="auto"/>
              </w:rPr>
              <w:t>XBRL Taxonomy Extension Schema Document</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101.CAL</w:t>
            </w:r>
          </w:p>
        </w:tc>
        <w:tc>
          <w:tcPr>
            <w:tcW w:w="9640" w:type="dxa"/>
            <w:vAlign w:val="bottom"/>
          </w:tcPr>
          <w:p>
            <w:pPr>
              <w:ind w:left="100"/>
              <w:spacing w:after="0"/>
              <w:rPr>
                <w:sz w:val="20"/>
                <w:szCs w:val="20"/>
                <w:color w:val="auto"/>
              </w:rPr>
            </w:pPr>
            <w:r>
              <w:rPr>
                <w:rFonts w:ascii="Arial" w:cs="Arial" w:eastAsia="Arial" w:hAnsi="Arial"/>
                <w:sz w:val="20"/>
                <w:szCs w:val="20"/>
                <w:color w:val="auto"/>
              </w:rPr>
              <w:t>XBRL Taxonomy Calculation Linkbase Document</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101.LAB</w:t>
            </w:r>
          </w:p>
        </w:tc>
        <w:tc>
          <w:tcPr>
            <w:tcW w:w="9640" w:type="dxa"/>
            <w:vAlign w:val="bottom"/>
          </w:tcPr>
          <w:p>
            <w:pPr>
              <w:ind w:left="100"/>
              <w:spacing w:after="0"/>
              <w:rPr>
                <w:sz w:val="20"/>
                <w:szCs w:val="20"/>
                <w:color w:val="auto"/>
              </w:rPr>
            </w:pPr>
            <w:r>
              <w:rPr>
                <w:rFonts w:ascii="Arial" w:cs="Arial" w:eastAsia="Arial" w:hAnsi="Arial"/>
                <w:sz w:val="20"/>
                <w:szCs w:val="20"/>
                <w:color w:val="auto"/>
              </w:rPr>
              <w:t>XBRL Taxonomy Label Linkbase Document</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101.PRE</w:t>
            </w:r>
          </w:p>
        </w:tc>
        <w:tc>
          <w:tcPr>
            <w:tcW w:w="9640" w:type="dxa"/>
            <w:vAlign w:val="bottom"/>
          </w:tcPr>
          <w:p>
            <w:pPr>
              <w:ind w:left="100"/>
              <w:spacing w:after="0"/>
              <w:rPr>
                <w:sz w:val="20"/>
                <w:szCs w:val="20"/>
                <w:color w:val="auto"/>
              </w:rPr>
            </w:pPr>
            <w:r>
              <w:rPr>
                <w:rFonts w:ascii="Arial" w:cs="Arial" w:eastAsia="Arial" w:hAnsi="Arial"/>
                <w:sz w:val="20"/>
                <w:szCs w:val="20"/>
                <w:color w:val="auto"/>
              </w:rPr>
              <w:t>XBRL Taxonomy Presentation Linkbase Document</w:t>
            </w:r>
          </w:p>
        </w:tc>
      </w:tr>
      <w:tr>
        <w:trPr>
          <w:trHeight w:val="250"/>
        </w:trPr>
        <w:tc>
          <w:tcPr>
            <w:tcW w:w="860" w:type="dxa"/>
            <w:vAlign w:val="bottom"/>
          </w:tcPr>
          <w:p>
            <w:pPr>
              <w:spacing w:after="0"/>
              <w:rPr>
                <w:sz w:val="20"/>
                <w:szCs w:val="20"/>
                <w:color w:val="auto"/>
              </w:rPr>
            </w:pPr>
            <w:r>
              <w:rPr>
                <w:rFonts w:ascii="Arial" w:cs="Arial" w:eastAsia="Arial" w:hAnsi="Arial"/>
                <w:sz w:val="20"/>
                <w:szCs w:val="20"/>
                <w:color w:val="auto"/>
              </w:rPr>
              <w:t>101.DEF</w:t>
            </w:r>
          </w:p>
        </w:tc>
        <w:tc>
          <w:tcPr>
            <w:tcW w:w="9640" w:type="dxa"/>
            <w:vAlign w:val="bottom"/>
          </w:tcPr>
          <w:p>
            <w:pPr>
              <w:ind w:left="100"/>
              <w:spacing w:after="0"/>
              <w:rPr>
                <w:sz w:val="20"/>
                <w:szCs w:val="20"/>
                <w:color w:val="auto"/>
              </w:rPr>
            </w:pPr>
            <w:r>
              <w:rPr>
                <w:rFonts w:ascii="Arial" w:cs="Arial" w:eastAsia="Arial" w:hAnsi="Arial"/>
                <w:sz w:val="20"/>
                <w:szCs w:val="20"/>
                <w:color w:val="auto"/>
              </w:rPr>
              <w:t>XBRL Taxonomy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4980"/>
        <w:spacing w:after="0"/>
        <w:tabs>
          <w:tab w:leader="none" w:pos="948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31</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0760"/>
          </w:cols>
          <w:pgMar w:left="900" w:top="1338" w:right="239" w:bottom="1440" w:gutter="0" w:footer="0" w:header="0"/>
        </w:sectPr>
      </w:pPr>
    </w:p>
    <w:bookmarkStart w:id="31" w:name="page32"/>
    <w:bookmarkEnd w:id="31"/>
    <w:p>
      <w:pPr>
        <w:spacing w:after="0" w:line="25" w:lineRule="exact"/>
        <w:rPr>
          <w:sz w:val="20"/>
          <w:szCs w:val="20"/>
          <w:color w:val="auto"/>
        </w:rPr>
      </w:pPr>
    </w:p>
    <w:p>
      <w:pPr>
        <w:ind w:left="10060"/>
        <w:spacing w:after="0"/>
        <w:rPr>
          <w:sz w:val="20"/>
          <w:szCs w:val="20"/>
          <w:color w:val="auto"/>
        </w:rPr>
      </w:pPr>
      <w:r>
        <w:rPr>
          <w:rFonts w:ascii="Arial" w:cs="Arial" w:eastAsia="Arial" w:hAnsi="Arial"/>
          <w:sz w:val="22"/>
          <w:szCs w:val="22"/>
          <w:b w:val="1"/>
          <w:bCs w:val="1"/>
          <w:color w:val="auto"/>
        </w:rPr>
        <w:t>EXHIBIT 10.1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AMENDMENT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REVOLVING CREDIT, GUARANTY AND SECURITY AGREEMENT</w:t>
      </w:r>
    </w:p>
    <w:p>
      <w:pPr>
        <w:spacing w:after="0" w:line="21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This Second Amendment Agreement to Revolving Credit, Guaranty and Security Agreement (this “Agreement”) is dated as of October 28, 2014 (the “Effective Date”), by and between ULTRALIFE CORPORATION, a corporation organized under the laws of the State of Delaware (“Borrower”), and PNC BANK, NATIONAL ASSOCIATION (“Lender”).</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WHEREAS, Borrower and Lender are party to a Revolving Credit, Guaranty and Security Agreement dated as of May 24, 2013 (as amended, restated or otherwise modified from time to time, the “Credit Agreement”);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Borrower and Lender desire to amend the Credit Agreement to modify certain provisions thereof; and</w:t>
      </w:r>
    </w:p>
    <w:p>
      <w:pPr>
        <w:spacing w:after="0" w:line="24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WHEREAS, each term used herein shall be defined in accordance with the Credit Agreement, except to the extent such term is otherwise defined herein.</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NOW, THEREFORE, in consideration of the premises and of the mutual covenants herein and for other valuable consideration, Borrower and Lender agree as follows:</w:t>
      </w:r>
    </w:p>
    <w:p>
      <w:pPr>
        <w:spacing w:after="0" w:line="173" w:lineRule="exact"/>
        <w:rPr>
          <w:sz w:val="20"/>
          <w:szCs w:val="20"/>
          <w:color w:val="auto"/>
        </w:rPr>
      </w:pPr>
    </w:p>
    <w:p>
      <w:pPr>
        <w:ind w:firstLine="656"/>
        <w:spacing w:after="0" w:line="251" w:lineRule="auto"/>
        <w:tabs>
          <w:tab w:leader="none" w:pos="884"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Section 1.2 of the Credit Agreement is hereby amended to delete the definition of “EBITDA” therefrom in its entirety and to insert in place thereof the following:</w:t>
      </w:r>
    </w:p>
    <w:p>
      <w:pPr>
        <w:spacing w:after="0" w:line="200" w:lineRule="exact"/>
        <w:rPr>
          <w:sz w:val="20"/>
          <w:szCs w:val="20"/>
          <w:color w:val="auto"/>
        </w:rPr>
      </w:pPr>
    </w:p>
    <w:p>
      <w:pPr>
        <w:jc w:val="both"/>
        <w:ind w:left="660" w:right="58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EBITDA</w:t>
      </w:r>
      <w:r>
        <w:rPr>
          <w:rFonts w:ascii="Arial" w:cs="Arial" w:eastAsia="Arial" w:hAnsi="Arial"/>
          <w:sz w:val="19"/>
          <w:szCs w:val="19"/>
          <w:color w:val="auto"/>
        </w:rPr>
        <w:t xml:space="preserve">” shall mean for any period, the sum of (a) net income (or loss) for such period (as calculated on a first-in-first-out basis) (excluding extraordinary gains)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all interest expense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all charges against income for such period for federal, state and local taxes,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depreciation expenses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(e) amortization expenses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(f) non-cash stock compensation expenses.</w:t>
      </w:r>
    </w:p>
    <w:p>
      <w:pPr>
        <w:spacing w:after="0" w:line="170" w:lineRule="exact"/>
        <w:rPr>
          <w:sz w:val="20"/>
          <w:szCs w:val="20"/>
          <w:color w:val="auto"/>
        </w:rPr>
      </w:pPr>
    </w:p>
    <w:p>
      <w:pPr>
        <w:ind w:firstLine="656"/>
        <w:spacing w:after="0" w:line="251" w:lineRule="auto"/>
        <w:tabs>
          <w:tab w:leader="none" w:pos="884" w:val="left"/>
        </w:tabs>
        <w:numPr>
          <w:ilvl w:val="1"/>
          <w:numId w:val="14"/>
        </w:numPr>
        <w:rPr>
          <w:rFonts w:ascii="Arial" w:cs="Arial" w:eastAsia="Arial" w:hAnsi="Arial"/>
          <w:sz w:val="22"/>
          <w:szCs w:val="22"/>
          <w:color w:val="auto"/>
        </w:rPr>
      </w:pPr>
      <w:r>
        <w:rPr>
          <w:rFonts w:ascii="Arial" w:cs="Arial" w:eastAsia="Arial" w:hAnsi="Arial"/>
          <w:sz w:val="22"/>
          <w:szCs w:val="22"/>
          <w:color w:val="auto"/>
        </w:rPr>
        <w:t>As a condition precedent to the effectiveness of this Agreement, Borrower shall pay all reasonable out-of-pocket legal fees and expenses of Lender incurred in connection with this Agreement.</w:t>
      </w:r>
    </w:p>
    <w:p>
      <w:pPr>
        <w:spacing w:after="0" w:line="200" w:lineRule="exact"/>
        <w:rPr>
          <w:rFonts w:ascii="Arial" w:cs="Arial" w:eastAsia="Arial" w:hAnsi="Arial"/>
          <w:sz w:val="22"/>
          <w:szCs w:val="22"/>
          <w:color w:val="auto"/>
        </w:rPr>
      </w:pPr>
    </w:p>
    <w:p>
      <w:pPr>
        <w:jc w:val="both"/>
        <w:ind w:firstLine="656"/>
        <w:spacing w:after="0" w:line="244" w:lineRule="auto"/>
        <w:tabs>
          <w:tab w:leader="none" w:pos="879" w:val="left"/>
        </w:tabs>
        <w:numPr>
          <w:ilvl w:val="1"/>
          <w:numId w:val="14"/>
        </w:numPr>
        <w:rPr>
          <w:rFonts w:ascii="Arial" w:cs="Arial" w:eastAsia="Arial" w:hAnsi="Arial"/>
          <w:sz w:val="21"/>
          <w:szCs w:val="21"/>
          <w:color w:val="auto"/>
        </w:rPr>
      </w:pPr>
      <w:r>
        <w:rPr>
          <w:rFonts w:ascii="Arial" w:cs="Arial" w:eastAsia="Arial" w:hAnsi="Arial"/>
          <w:sz w:val="21"/>
          <w:szCs w:val="21"/>
          <w:color w:val="auto"/>
        </w:rPr>
        <w:t>Borrower hereby represents and warrants to Lender that as of the Effective Date: (a) Borrower has the legal power and authority to execute and deliver this Agreement and each other document executed by a Borrower in connection herewith (the “Amendment Documents”); (b) the officers, managers, or members, as the case may be, executing the Amendment Documents have been duly authorized to execute and deliver the same and bind Borrower with respect to the provisions thereof; (c) the execution and delivery hereof by Borrower of the Amendment Documents and the performance and observance by Borrower of the provisions thereof do not violate or conflict with the Organizational Documents of Borrower or any law applicable to Borrower or result in a breach of any provision of or constitute a default under any other agreement, instrument or document binding upon or enforceable against Borrower; (d) no Default or Event of Default exists under the Credit Agreement, nor will any occur immediately after the execution and delivery of the Amendment Documents or by the performance or observance of any provision thereof; (e) Borrower has no claim or offset against, or defense or counterclaim to, any of Borrower’s obligations or liabilities under the Credit Agreement, the Other Documents or any document related thereto or otherwise with respect to the Obligations; and (f) the Amendment Documents constitute the valid and binding obligation of Borrower, enforceable in accordance with their respective terms.</w:t>
      </w:r>
    </w:p>
    <w:p>
      <w:pPr>
        <w:spacing w:after="0" w:line="211" w:lineRule="exact"/>
        <w:rPr>
          <w:rFonts w:ascii="Arial" w:cs="Arial" w:eastAsia="Arial" w:hAnsi="Arial"/>
          <w:sz w:val="21"/>
          <w:szCs w:val="21"/>
          <w:color w:val="auto"/>
        </w:rPr>
      </w:pPr>
    </w:p>
    <w:p>
      <w:pPr>
        <w:jc w:val="both"/>
        <w:ind w:firstLine="8"/>
        <w:spacing w:after="0" w:line="287" w:lineRule="auto"/>
        <w:tabs>
          <w:tab w:leader="none" w:pos="221" w:val="left"/>
        </w:tabs>
        <w:numPr>
          <w:ilvl w:val="0"/>
          <w:numId w:val="15"/>
        </w:numPr>
        <w:rPr>
          <w:rFonts w:ascii="Arial" w:cs="Arial" w:eastAsia="Arial" w:hAnsi="Arial"/>
          <w:sz w:val="19"/>
          <w:szCs w:val="19"/>
          <w:color w:val="auto"/>
        </w:rPr>
      </w:pPr>
      <w:r>
        <w:rPr>
          <w:rFonts w:ascii="Arial" w:cs="Arial" w:eastAsia="Arial" w:hAnsi="Arial"/>
          <w:sz w:val="19"/>
          <w:szCs w:val="19"/>
          <w:color w:val="auto"/>
        </w:rPr>
        <w:t>In consideration of this Agreement, Borrower hereby waives and releases Lender and its representatives, shareholders, directors, officers, employees, attorneys, affiliates and subsidiaries from any and all such claims, offsets, defenses and counterclaims of which Borrower is aware or unaware as of the Effective Date, such waiver and release being with full knowledge and understanding of the circumstances and effect thereof and after having consulted legal counsel with respect thereto.</w:t>
      </w:r>
    </w:p>
    <w:p>
      <w:pPr>
        <w:spacing w:after="0" w:line="170" w:lineRule="exact"/>
        <w:rPr>
          <w:rFonts w:ascii="Arial" w:cs="Arial" w:eastAsia="Arial" w:hAnsi="Arial"/>
          <w:sz w:val="19"/>
          <w:szCs w:val="19"/>
          <w:color w:val="auto"/>
        </w:rPr>
      </w:pPr>
    </w:p>
    <w:p>
      <w:pPr>
        <w:jc w:val="both"/>
        <w:ind w:firstLine="8"/>
        <w:spacing w:after="0" w:line="279" w:lineRule="auto"/>
        <w:tabs>
          <w:tab w:leader="none" w:pos="244" w:val="left"/>
        </w:tabs>
        <w:numPr>
          <w:ilvl w:val="0"/>
          <w:numId w:val="15"/>
        </w:numPr>
        <w:rPr>
          <w:rFonts w:ascii="Arial" w:cs="Arial" w:eastAsia="Arial" w:hAnsi="Arial"/>
          <w:sz w:val="19"/>
          <w:szCs w:val="19"/>
          <w:color w:val="auto"/>
        </w:rPr>
      </w:pPr>
      <w:r>
        <w:rPr>
          <w:rFonts w:ascii="Arial" w:cs="Arial" w:eastAsia="Arial" w:hAnsi="Arial"/>
          <w:sz w:val="19"/>
          <w:szCs w:val="19"/>
          <w:color w:val="auto"/>
        </w:rPr>
        <w:t>Each reference that is made in the Credit Agreement shall hereafter be construed as a reference to the Credit Agreement as amended hereby. The Amendment Documents shall each constitute “Other Documents” as defined in the Credit Agreement. Borrower hereby reaffirms its obligations under the Credit Agreement and each Other Document to which it is a party, as any of them may from time to time be amended, restated or otherwise modified, and further agrees that the Credit Agreement and each Other Document shall, except to the extent modified herein, remain in full force and effect following the execution and delivery of this Agreement and all documents being executed and delivered in connection herewith.</w:t>
      </w:r>
    </w:p>
    <w:p>
      <w:pPr>
        <w:spacing w:after="0" w:line="177" w:lineRule="exact"/>
        <w:rPr>
          <w:rFonts w:ascii="Arial" w:cs="Arial" w:eastAsia="Arial" w:hAnsi="Arial"/>
          <w:sz w:val="19"/>
          <w:szCs w:val="19"/>
          <w:color w:val="auto"/>
        </w:rPr>
      </w:pPr>
    </w:p>
    <w:p>
      <w:pPr>
        <w:jc w:val="both"/>
        <w:ind w:firstLine="656"/>
        <w:spacing w:after="0"/>
        <w:tabs>
          <w:tab w:leader="none" w:pos="873" w:val="left"/>
        </w:tabs>
        <w:numPr>
          <w:ilvl w:val="1"/>
          <w:numId w:val="15"/>
        </w:numPr>
        <w:rPr>
          <w:rFonts w:ascii="Arial" w:cs="Arial" w:eastAsia="Arial" w:hAnsi="Arial"/>
          <w:sz w:val="22"/>
          <w:szCs w:val="22"/>
          <w:color w:val="auto"/>
        </w:rPr>
      </w:pPr>
      <w:r>
        <w:rPr>
          <w:rFonts w:ascii="Arial" w:cs="Arial" w:eastAsia="Arial" w:hAnsi="Arial"/>
          <w:sz w:val="22"/>
          <w:szCs w:val="22"/>
          <w:color w:val="auto"/>
        </w:rPr>
        <w:t>This Agreement may be executed in any number of counterparts, by different parties hereto in separate counterparts and by electronic signature, each of which when so executed and delivered shall be deemed to be an original and all of which taken together shall constitute but one and the same agreement.</w:t>
      </w:r>
    </w:p>
    <w:p>
      <w:pPr>
        <w:spacing w:after="0" w:line="213" w:lineRule="exact"/>
        <w:rPr>
          <w:sz w:val="20"/>
          <w:szCs w:val="20"/>
          <w:color w:val="auto"/>
        </w:rPr>
      </w:pPr>
    </w:p>
    <w:p>
      <w:pPr>
        <w:ind w:right="20" w:firstLine="8"/>
        <w:spacing w:after="0" w:line="251" w:lineRule="auto"/>
        <w:tabs>
          <w:tab w:leader="none" w:pos="25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rights and obligations of all parties hereto shall be governed by the laws of the State of New York, without regard to principles of conflicts of laws.</w:t>
      </w:r>
    </w:p>
    <w:p>
      <w:pPr>
        <w:spacing w:after="0" w:line="200" w:lineRule="exact"/>
        <w:rPr>
          <w:rFonts w:ascii="Arial" w:cs="Arial" w:eastAsia="Arial" w:hAnsi="Arial"/>
          <w:sz w:val="22"/>
          <w:szCs w:val="22"/>
          <w:color w:val="auto"/>
        </w:rPr>
      </w:pPr>
    </w:p>
    <w:p>
      <w:pPr>
        <w:jc w:val="both"/>
        <w:ind w:firstLine="656"/>
        <w:spacing w:after="0" w:line="252" w:lineRule="auto"/>
        <w:tabs>
          <w:tab w:leader="none" w:pos="916" w:val="left"/>
        </w:tabs>
        <w:numPr>
          <w:ilvl w:val="1"/>
          <w:numId w:val="16"/>
        </w:numPr>
        <w:rPr>
          <w:rFonts w:ascii="Arial" w:cs="Arial" w:eastAsia="Arial" w:hAnsi="Arial"/>
          <w:sz w:val="21"/>
          <w:szCs w:val="21"/>
          <w:color w:val="auto"/>
        </w:rPr>
      </w:pPr>
      <w:r>
        <w:rPr>
          <w:rFonts w:ascii="Arial" w:cs="Arial" w:eastAsia="Arial" w:hAnsi="Arial"/>
          <w:sz w:val="21"/>
          <w:szCs w:val="21"/>
          <w:color w:val="auto"/>
        </w:rPr>
        <w:t>BORROWER AND LENDER WAIVE ANY RIGHT TO HAVE A JURY PARTICIPATE IN RESOLVING ANY DISPUTE, WHETHER SOUNDING IN CONTRACT, TORT OR OTHERWISE, BETWEEN BORROWER AND LENDER, ARISING OUT OF, IN CONNECTION WITH, RELATED TO, OR INCIDENTAL TO THE RELATIONSHIP ESTABLISHED BETWEEN THEM IN CONNECTION WITH THIS AGREEMENT OR ANY NOTE OR OTHER INSTRUMENT, DOCUMENT</w:t>
      </w:r>
    </w:p>
    <w:p>
      <w:pPr>
        <w:sectPr>
          <w:pgSz w:w="11900" w:h="16864" w:orient="portrait"/>
          <w:cols w:equalWidth="0" w:num="1">
            <w:col w:w="11420"/>
          </w:cols>
          <w:pgMar w:left="240" w:top="111" w:right="239" w:bottom="0" w:gutter="0" w:footer="0" w:header="0"/>
        </w:sectPr>
      </w:pPr>
    </w:p>
    <w:bookmarkStart w:id="32" w:name="page33"/>
    <w:bookmarkEnd w:id="32"/>
    <w:p>
      <w:pPr>
        <w:jc w:val="both"/>
        <w:spacing w:after="0" w:line="236" w:lineRule="auto"/>
        <w:rPr>
          <w:sz w:val="20"/>
          <w:szCs w:val="20"/>
          <w:color w:val="auto"/>
        </w:rPr>
      </w:pPr>
      <w:r>
        <w:rPr>
          <w:rFonts w:ascii="Arial" w:cs="Arial" w:eastAsia="Arial" w:hAnsi="Arial"/>
          <w:sz w:val="22"/>
          <w:szCs w:val="22"/>
          <w:color w:val="auto"/>
        </w:rPr>
        <w:t>OR AGREEMENT EXECUTED OR DELIVERED IN CONNECTION HEREWITH OR THE TRANSACTIONS RELATED THERETO. THIS WAIVER SHALL NOT IN ANY WAY AFFECT, WAIVE, LIMIT, AMEND OR MODIFY LENDER’S ABILITY TO PURSUE REMEDIES PURSUANT TO ANY CONFESSION OF JUDGMENT OR COGNOVIT PROVISION CONTAINED IN ANY NOTE OR OTHER INSTRUMENT, DOCUMENT OR AGREEMENT BETWEEN BORROWER AND LENDER.</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remainder of this page is intentionally left blank]</w:t>
      </w:r>
    </w:p>
    <w:p>
      <w:pPr>
        <w:sectPr>
          <w:pgSz w:w="11900" w:h="16838" w:orient="portrait"/>
          <w:cols w:equalWidth="0" w:num="1">
            <w:col w:w="11420"/>
          </w:cols>
          <w:pgMar w:left="240" w:top="118"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22"/>
          <w:szCs w:val="22"/>
          <w:color w:val="auto"/>
        </w:rPr>
        <w:t>The parties have executed this Agreement as of the date first written above.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33"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ULTRALIFE CORPORATION</w:t>
      </w:r>
    </w:p>
    <w:p>
      <w:pPr>
        <w:spacing w:after="0" w:line="239"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By: /s/ Philip A. Fain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-17780</wp:posOffset>
            </wp:positionV>
            <wp:extent cx="972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5360"/>
        <w:spacing w:after="0" w:line="238" w:lineRule="auto"/>
        <w:rPr>
          <w:sz w:val="20"/>
          <w:szCs w:val="20"/>
          <w:color w:val="auto"/>
        </w:rPr>
      </w:pPr>
      <w:r>
        <w:rPr>
          <w:rFonts w:ascii="Arial" w:cs="Arial" w:eastAsia="Arial" w:hAnsi="Arial"/>
          <w:sz w:val="22"/>
          <w:szCs w:val="22"/>
          <w:color w:val="auto"/>
        </w:rPr>
        <w:t xml:space="preserve">Print Name: </w:t>
      </w:r>
      <w:r>
        <w:rPr>
          <w:rFonts w:ascii="Arial" w:cs="Arial" w:eastAsia="Arial" w:hAnsi="Arial"/>
          <w:sz w:val="22"/>
          <w:szCs w:val="22"/>
          <w:u w:val="single" w:color="auto"/>
          <w:color w:val="auto"/>
        </w:rPr>
        <w:t>Philip A. Fain</w:t>
      </w:r>
    </w:p>
    <w:p>
      <w:pPr>
        <w:ind w:left="536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CFO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w:t>
      </w:r>
    </w:p>
    <w:p>
      <w:pPr>
        <w:spacing w:after="0" w:line="14" w:lineRule="exact"/>
        <w:rPr>
          <w:sz w:val="20"/>
          <w:szCs w:val="20"/>
          <w:color w:val="auto"/>
        </w:rPr>
      </w:pPr>
    </w:p>
    <w:p>
      <w:pPr>
        <w:ind w:left="5360"/>
        <w:spacing w:after="0"/>
        <w:rPr>
          <w:sz w:val="20"/>
          <w:szCs w:val="20"/>
          <w:color w:val="auto"/>
        </w:rPr>
      </w:pPr>
      <w:r>
        <w:rPr>
          <w:rFonts w:ascii="Arial" w:cs="Arial" w:eastAsia="Arial" w:hAnsi="Arial"/>
          <w:sz w:val="21"/>
          <w:szCs w:val="21"/>
          <w:b w:val="1"/>
          <w:bCs w:val="1"/>
          <w:color w:val="auto"/>
        </w:rPr>
        <w:t>PNC BANK, NATIONAL ASSOCIATION</w:t>
      </w:r>
    </w:p>
    <w:p>
      <w:pPr>
        <w:spacing w:after="0" w:line="227"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By: /s/ Kevin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-17780</wp:posOffset>
            </wp:positionV>
            <wp:extent cx="826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6770" cy="889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2"/>
          <w:szCs w:val="22"/>
          <w:color w:val="auto"/>
        </w:rPr>
        <w:t>Kevin Rich, Vice President</w:t>
      </w:r>
    </w:p>
    <w:p>
      <w:pPr>
        <w:sectPr>
          <w:pgSz w:w="11900" w:h="16838" w:orient="portrait"/>
          <w:cols w:equalWidth="0" w:num="1">
            <w:col w:w="10219"/>
          </w:cols>
          <w:pgMar w:left="240" w:top="469"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color w:val="auto"/>
        </w:rPr>
        <w:t>Exhibit 31.1</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 Michael D. Popielec, certify that:</w:t>
      </w:r>
    </w:p>
    <w:p>
      <w:pPr>
        <w:spacing w:after="0" w:line="229"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29"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1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287" w:lineRule="auto"/>
        <w:tabs>
          <w:tab w:leader="none" w:pos="230" w:val="left"/>
        </w:tabs>
        <w:numPr>
          <w:ilvl w:val="0"/>
          <w:numId w:val="17"/>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9"/>
          <w:szCs w:val="19"/>
          <w:color w:val="auto"/>
        </w:rPr>
      </w:pPr>
    </w:p>
    <w:p>
      <w:pPr>
        <w:jc w:val="both"/>
        <w:ind w:firstLine="8"/>
        <w:spacing w:after="0" w:line="250" w:lineRule="auto"/>
        <w:tabs>
          <w:tab w:leader="none" w:pos="229"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660" w:firstLine="645"/>
        <w:spacing w:after="0" w:line="291" w:lineRule="auto"/>
        <w:tabs>
          <w:tab w:leader="none" w:pos="15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624" w:val="left"/>
        </w:tabs>
        <w:numPr>
          <w:ilvl w:val="1"/>
          <w:numId w:val="1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637" w:val="left"/>
        </w:tabs>
        <w:numPr>
          <w:ilvl w:val="1"/>
          <w:numId w:val="1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617" w:val="left"/>
        </w:tabs>
        <w:numPr>
          <w:ilvl w:val="1"/>
          <w:numId w:val="1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233"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591" w:val="left"/>
        </w:tabs>
        <w:numPr>
          <w:ilvl w:val="1"/>
          <w:numId w:val="1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622" w:val="left"/>
        </w:tabs>
        <w:numPr>
          <w:ilvl w:val="1"/>
          <w:numId w:val="1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3040" w:type="dxa"/>
            <w:vAlign w:val="bottom"/>
            <w:gridSpan w:val="3"/>
          </w:tcPr>
          <w:p>
            <w:pPr>
              <w:spacing w:after="0"/>
              <w:rPr>
                <w:sz w:val="20"/>
                <w:szCs w:val="20"/>
                <w:color w:val="auto"/>
              </w:rPr>
            </w:pPr>
            <w:r>
              <w:rPr>
                <w:rFonts w:ascii="Arial" w:cs="Arial" w:eastAsia="Arial" w:hAnsi="Arial"/>
                <w:sz w:val="20"/>
                <w:szCs w:val="20"/>
                <w:color w:val="auto"/>
              </w:rPr>
              <w:t>Date: November 3, 2014</w:t>
            </w:r>
          </w:p>
        </w:tc>
        <w:tc>
          <w:tcPr>
            <w:tcW w:w="4740" w:type="dxa"/>
            <w:vAlign w:val="bottom"/>
            <w:gridSpan w:val="3"/>
          </w:tcPr>
          <w:p>
            <w:pPr>
              <w:ind w:left="1080"/>
              <w:spacing w:after="0"/>
              <w:rPr>
                <w:sz w:val="20"/>
                <w:szCs w:val="20"/>
                <w:color w:val="auto"/>
              </w:rPr>
            </w:pPr>
            <w:r>
              <w:rPr>
                <w:rFonts w:ascii="Arial" w:cs="Arial" w:eastAsia="Arial" w:hAnsi="Arial"/>
                <w:sz w:val="20"/>
                <w:szCs w:val="20"/>
                <w:color w:val="auto"/>
              </w:rPr>
              <w:t>By:  /s/ Michael D. Popielec</w:t>
            </w:r>
          </w:p>
        </w:tc>
      </w:tr>
      <w:tr>
        <w:trPr>
          <w:trHeight w:val="233"/>
        </w:trPr>
        <w:tc>
          <w:tcPr>
            <w:tcW w:w="48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70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Michael D. Popielec</w:t>
            </w:r>
          </w:p>
        </w:tc>
        <w:tc>
          <w:tcPr>
            <w:tcW w:w="52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20" w:type="dxa"/>
            <w:vAlign w:val="bottom"/>
            <w:gridSpan w:val="2"/>
          </w:tcPr>
          <w:p>
            <w:pPr>
              <w:ind w:left="200"/>
              <w:spacing w:after="0"/>
              <w:rPr>
                <w:sz w:val="20"/>
                <w:szCs w:val="20"/>
                <w:color w:val="auto"/>
              </w:rPr>
            </w:pPr>
            <w:r>
              <w:rPr>
                <w:rFonts w:ascii="Arial" w:cs="Arial" w:eastAsia="Arial" w:hAnsi="Arial"/>
                <w:sz w:val="20"/>
                <w:szCs w:val="20"/>
                <w:color w:val="auto"/>
                <w:w w:val="90"/>
              </w:rPr>
              <w:t>President and Chief Executive Officer</w:t>
            </w:r>
          </w:p>
        </w:tc>
      </w:tr>
    </w:tbl>
    <w:p>
      <w:pPr>
        <w:sectPr>
          <w:pgSz w:w="11900" w:h="16838" w:orient="portrait"/>
          <w:cols w:equalWidth="0" w:num="1">
            <w:col w:w="11420"/>
          </w:cols>
          <w:pgMar w:left="240" w:top="12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20"/>
          <w:szCs w:val="20"/>
          <w:color w:val="auto"/>
        </w:rPr>
        <w:t>Exhibit 31.2</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 Philip A. Fain, certify that:</w:t>
      </w:r>
    </w:p>
    <w:p>
      <w:pPr>
        <w:spacing w:after="0" w:line="229"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29"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1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287" w:lineRule="auto"/>
        <w:tabs>
          <w:tab w:leader="none" w:pos="230" w:val="left"/>
        </w:tabs>
        <w:numPr>
          <w:ilvl w:val="0"/>
          <w:numId w:val="18"/>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9"/>
          <w:szCs w:val="19"/>
          <w:color w:val="auto"/>
        </w:rPr>
      </w:pPr>
    </w:p>
    <w:p>
      <w:pPr>
        <w:jc w:val="both"/>
        <w:ind w:firstLine="8"/>
        <w:spacing w:after="0" w:line="250" w:lineRule="auto"/>
        <w:tabs>
          <w:tab w:leader="none" w:pos="229"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660" w:firstLine="645"/>
        <w:spacing w:after="0" w:line="291" w:lineRule="auto"/>
        <w:tabs>
          <w:tab w:leader="none" w:pos="15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624" w:val="left"/>
        </w:tabs>
        <w:numPr>
          <w:ilvl w:val="1"/>
          <w:numId w:val="1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637" w:val="left"/>
        </w:tabs>
        <w:numPr>
          <w:ilvl w:val="1"/>
          <w:numId w:val="1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617" w:val="left"/>
        </w:tabs>
        <w:numPr>
          <w:ilvl w:val="1"/>
          <w:numId w:val="1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233"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591" w:val="left"/>
        </w:tabs>
        <w:numPr>
          <w:ilvl w:val="1"/>
          <w:numId w:val="1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622"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960" w:type="dxa"/>
            <w:vAlign w:val="bottom"/>
            <w:gridSpan w:val="2"/>
          </w:tcPr>
          <w:p>
            <w:pPr>
              <w:spacing w:after="0"/>
              <w:rPr>
                <w:sz w:val="20"/>
                <w:szCs w:val="20"/>
                <w:color w:val="auto"/>
              </w:rPr>
            </w:pPr>
            <w:r>
              <w:rPr>
                <w:rFonts w:ascii="Arial" w:cs="Arial" w:eastAsia="Arial" w:hAnsi="Arial"/>
                <w:sz w:val="20"/>
                <w:szCs w:val="20"/>
                <w:color w:val="auto"/>
                <w:w w:val="89"/>
              </w:rPr>
              <w:t>Date: November 3, 2014</w:t>
            </w:r>
          </w:p>
        </w:tc>
        <w:tc>
          <w:tcPr>
            <w:tcW w:w="5740" w:type="dxa"/>
            <w:vAlign w:val="bottom"/>
            <w:gridSpan w:val="3"/>
          </w:tcPr>
          <w:p>
            <w:pPr>
              <w:ind w:left="2160"/>
              <w:spacing w:after="0"/>
              <w:rPr>
                <w:sz w:val="20"/>
                <w:szCs w:val="20"/>
                <w:color w:val="auto"/>
              </w:rPr>
            </w:pPr>
            <w:r>
              <w:rPr>
                <w:rFonts w:ascii="Arial" w:cs="Arial" w:eastAsia="Arial" w:hAnsi="Arial"/>
                <w:sz w:val="20"/>
                <w:szCs w:val="20"/>
                <w:color w:val="auto"/>
              </w:rPr>
              <w:t>By:  /s/ Philip A. Fain</w:t>
            </w:r>
          </w:p>
        </w:tc>
      </w:tr>
      <w:tr>
        <w:trPr>
          <w:trHeight w:val="233"/>
        </w:trPr>
        <w:tc>
          <w:tcPr>
            <w:tcW w:w="48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600" w:type="dxa"/>
            <w:vAlign w:val="bottom"/>
          </w:tcPr>
          <w:p>
            <w:pPr>
              <w:spacing w:after="0"/>
              <w:rPr>
                <w:sz w:val="20"/>
                <w:szCs w:val="20"/>
                <w:color w:val="auto"/>
              </w:rPr>
            </w:pPr>
          </w:p>
        </w:tc>
        <w:tc>
          <w:tcPr>
            <w:tcW w:w="234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Philip A. Fain</w:t>
            </w:r>
          </w:p>
        </w:tc>
        <w:tc>
          <w:tcPr>
            <w:tcW w:w="80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140" w:type="dxa"/>
            <w:vAlign w:val="bottom"/>
            <w:gridSpan w:val="2"/>
          </w:tcPr>
          <w:p>
            <w:pPr>
              <w:ind w:left="160"/>
              <w:spacing w:after="0"/>
              <w:rPr>
                <w:sz w:val="20"/>
                <w:szCs w:val="20"/>
                <w:color w:val="auto"/>
              </w:rPr>
            </w:pPr>
            <w:r>
              <w:rPr>
                <w:rFonts w:ascii="Arial" w:cs="Arial" w:eastAsia="Arial" w:hAnsi="Arial"/>
                <w:sz w:val="20"/>
                <w:szCs w:val="20"/>
                <w:color w:val="auto"/>
                <w:w w:val="90"/>
              </w:rPr>
              <w:t>Chief Financial Officer and Treasurer</w:t>
            </w:r>
          </w:p>
        </w:tc>
      </w:tr>
    </w:tbl>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1350 Certification</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September 28, 2014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9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960" w:type="dxa"/>
            <w:vAlign w:val="bottom"/>
            <w:gridSpan w:val="2"/>
          </w:tcPr>
          <w:p>
            <w:pPr>
              <w:spacing w:after="0"/>
              <w:rPr>
                <w:sz w:val="20"/>
                <w:szCs w:val="20"/>
                <w:color w:val="auto"/>
              </w:rPr>
            </w:pPr>
            <w:r>
              <w:rPr>
                <w:rFonts w:ascii="Arial" w:cs="Arial" w:eastAsia="Arial" w:hAnsi="Arial"/>
                <w:sz w:val="20"/>
                <w:szCs w:val="20"/>
                <w:color w:val="auto"/>
                <w:w w:val="89"/>
              </w:rPr>
              <w:t>Date: November 3, 2014</w:t>
            </w:r>
          </w:p>
        </w:tc>
        <w:tc>
          <w:tcPr>
            <w:tcW w:w="5180" w:type="dxa"/>
            <w:vAlign w:val="bottom"/>
            <w:gridSpan w:val="3"/>
          </w:tcPr>
          <w:p>
            <w:pPr>
              <w:ind w:left="2160"/>
              <w:spacing w:after="0"/>
              <w:rPr>
                <w:sz w:val="20"/>
                <w:szCs w:val="20"/>
                <w:color w:val="auto"/>
              </w:rPr>
            </w:pPr>
            <w:r>
              <w:rPr>
                <w:rFonts w:ascii="Arial" w:cs="Arial" w:eastAsia="Arial" w:hAnsi="Arial"/>
                <w:sz w:val="20"/>
                <w:szCs w:val="20"/>
                <w:color w:val="auto"/>
              </w:rPr>
              <w:t>By:  /s/ Michael D. Popielec</w:t>
            </w:r>
          </w:p>
        </w:tc>
      </w:tr>
      <w:tr>
        <w:trPr>
          <w:trHeight w:val="20"/>
        </w:trPr>
        <w:tc>
          <w:tcPr>
            <w:tcW w:w="4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r>
      <w:tr>
        <w:trPr>
          <w:trHeight w:val="233"/>
        </w:trPr>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180" w:type="dxa"/>
            <w:vAlign w:val="bottom"/>
            <w:gridSpan w:val="3"/>
          </w:tcPr>
          <w:p>
            <w:pPr>
              <w:ind w:left="2160"/>
              <w:spacing w:after="0"/>
              <w:rPr>
                <w:sz w:val="20"/>
                <w:szCs w:val="20"/>
                <w:color w:val="auto"/>
              </w:rPr>
            </w:pPr>
            <w:r>
              <w:rPr>
                <w:rFonts w:ascii="Arial" w:cs="Arial" w:eastAsia="Arial" w:hAnsi="Arial"/>
                <w:sz w:val="20"/>
                <w:szCs w:val="20"/>
                <w:color w:val="auto"/>
              </w:rPr>
              <w:t>Michael D. Popielec</w:t>
            </w:r>
          </w:p>
        </w:tc>
      </w:tr>
      <w:tr>
        <w:trPr>
          <w:trHeight w:val="250"/>
        </w:trPr>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180" w:type="dxa"/>
            <w:vAlign w:val="bottom"/>
            <w:gridSpan w:val="3"/>
          </w:tcPr>
          <w:p>
            <w:pPr>
              <w:ind w:left="2160"/>
              <w:spacing w:after="0"/>
              <w:rPr>
                <w:sz w:val="20"/>
                <w:szCs w:val="20"/>
                <w:color w:val="auto"/>
              </w:rPr>
            </w:pPr>
            <w:r>
              <w:rPr>
                <w:rFonts w:ascii="Arial" w:cs="Arial" w:eastAsia="Arial" w:hAnsi="Arial"/>
                <w:sz w:val="20"/>
                <w:szCs w:val="20"/>
                <w:color w:val="auto"/>
                <w:w w:val="90"/>
              </w:rPr>
              <w:t>President and Chief Executive Officer</w:t>
            </w:r>
          </w:p>
        </w:tc>
      </w:tr>
      <w:tr>
        <w:trPr>
          <w:trHeight w:val="415"/>
        </w:trPr>
        <w:tc>
          <w:tcPr>
            <w:tcW w:w="1960" w:type="dxa"/>
            <w:vAlign w:val="bottom"/>
            <w:gridSpan w:val="2"/>
          </w:tcPr>
          <w:p>
            <w:pPr>
              <w:spacing w:after="0"/>
              <w:rPr>
                <w:sz w:val="20"/>
                <w:szCs w:val="20"/>
                <w:color w:val="auto"/>
              </w:rPr>
            </w:pPr>
            <w:r>
              <w:rPr>
                <w:rFonts w:ascii="Arial" w:cs="Arial" w:eastAsia="Arial" w:hAnsi="Arial"/>
                <w:sz w:val="20"/>
                <w:szCs w:val="20"/>
                <w:color w:val="auto"/>
                <w:w w:val="89"/>
              </w:rPr>
              <w:t>Date: November 3, 2014</w:t>
            </w:r>
          </w:p>
        </w:tc>
        <w:tc>
          <w:tcPr>
            <w:tcW w:w="5180" w:type="dxa"/>
            <w:vAlign w:val="bottom"/>
            <w:gridSpan w:val="3"/>
          </w:tcPr>
          <w:p>
            <w:pPr>
              <w:ind w:left="2160"/>
              <w:spacing w:after="0"/>
              <w:rPr>
                <w:sz w:val="20"/>
                <w:szCs w:val="20"/>
                <w:color w:val="auto"/>
              </w:rPr>
            </w:pPr>
            <w:r>
              <w:rPr>
                <w:rFonts w:ascii="Arial" w:cs="Arial" w:eastAsia="Arial" w:hAnsi="Arial"/>
                <w:sz w:val="20"/>
                <w:szCs w:val="20"/>
                <w:color w:val="auto"/>
              </w:rPr>
              <w:t>By:  /s/ Philip A. Fain</w:t>
            </w:r>
          </w:p>
        </w:tc>
      </w:tr>
      <w:tr>
        <w:trPr>
          <w:trHeight w:val="20"/>
        </w:trPr>
        <w:tc>
          <w:tcPr>
            <w:tcW w:w="480" w:type="dxa"/>
            <w:vAlign w:val="bottom"/>
          </w:tcPr>
          <w:p>
            <w:pPr>
              <w:spacing w:after="0" w:line="20" w:lineRule="exact"/>
              <w:rPr>
                <w:sz w:val="1"/>
                <w:szCs w:val="1"/>
                <w:color w:val="auto"/>
              </w:rPr>
            </w:pPr>
          </w:p>
        </w:tc>
        <w:tc>
          <w:tcPr>
            <w:tcW w:w="1480" w:type="dxa"/>
            <w:vAlign w:val="bottom"/>
            <w:tcBorders>
              <w:bottom w:val="single" w:sz="8" w:color="auto"/>
            </w:tcBorders>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3"/>
        </w:trPr>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gridSpan w:val="3"/>
          </w:tcPr>
          <w:p>
            <w:pPr>
              <w:ind w:left="2160"/>
              <w:spacing w:after="0" w:line="213" w:lineRule="exact"/>
              <w:rPr>
                <w:sz w:val="20"/>
                <w:szCs w:val="20"/>
                <w:color w:val="auto"/>
              </w:rPr>
            </w:pPr>
            <w:r>
              <w:rPr>
                <w:rFonts w:ascii="Arial" w:cs="Arial" w:eastAsia="Arial" w:hAnsi="Arial"/>
                <w:sz w:val="20"/>
                <w:szCs w:val="20"/>
                <w:color w:val="auto"/>
              </w:rPr>
              <w:t>Philip A. Fain</w:t>
            </w:r>
          </w:p>
        </w:tc>
      </w:tr>
      <w:tr>
        <w:trPr>
          <w:trHeight w:val="250"/>
        </w:trPr>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180" w:type="dxa"/>
            <w:vAlign w:val="bottom"/>
            <w:gridSpan w:val="3"/>
          </w:tcPr>
          <w:p>
            <w:pPr>
              <w:ind w:left="2160"/>
              <w:spacing w:after="0"/>
              <w:rPr>
                <w:sz w:val="20"/>
                <w:szCs w:val="20"/>
                <w:color w:val="auto"/>
              </w:rPr>
            </w:pPr>
            <w:r>
              <w:rPr>
                <w:rFonts w:ascii="Arial" w:cs="Arial" w:eastAsia="Arial" w:hAnsi="Arial"/>
                <w:sz w:val="20"/>
                <w:szCs w:val="20"/>
                <w:color w:val="auto"/>
                <w:w w:val="91"/>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4"/>
    </w:lvl>
  </w:abstractNum>
  <w:abstractNum w:abstractNumId="3">
    <w:nsid w:val="1F16E9E8"/>
    <w:multiLevelType w:val="hybridMultilevel"/>
    <w:lvl w:ilvl="0">
      <w:lvlJc w:val="left"/>
      <w:lvlText w:val="%1."/>
      <w:numFmt w:val="decimal"/>
      <w:start w:val="5"/>
    </w:lvl>
  </w:abstractNum>
  <w:abstractNum w:abstractNumId="4">
    <w:nsid w:val="1190CDE7"/>
    <w:multiLevelType w:val="hybridMultilevel"/>
    <w:lvl w:ilvl="0">
      <w:lvlJc w:val="left"/>
      <w:lvlText w:val="%1."/>
      <w:numFmt w:val="decimal"/>
      <w:start w:val="6"/>
    </w:lvl>
  </w:abstractNum>
  <w:abstractNum w:abstractNumId="5">
    <w:nsid w:val="66EF438D"/>
    <w:multiLevelType w:val="hybridMultilevel"/>
    <w:lvl w:ilvl="0">
      <w:lvlJc w:val="left"/>
      <w:lvlText w:val="%1."/>
      <w:numFmt w:val="decimal"/>
      <w:start w:val="8"/>
    </w:lvl>
  </w:abstractNum>
  <w:abstractNum w:abstractNumId="6">
    <w:nsid w:val="140E0F76"/>
    <w:multiLevelType w:val="hybridMultilevel"/>
    <w:lvl w:ilvl="0">
      <w:lvlJc w:val="left"/>
      <w:lvlText w:val="%1."/>
      <w:numFmt w:val="decimal"/>
      <w:start w:val="10"/>
    </w:lvl>
  </w:abstractNum>
  <w:abstractNum w:abstractNumId="7">
    <w:nsid w:val="3352255A"/>
    <w:multiLevelType w:val="hybridMultilevel"/>
    <w:lvl w:ilvl="0">
      <w:lvlJc w:val="left"/>
      <w:lvlText w:val="%1."/>
      <w:numFmt w:val="decimal"/>
      <w:start w:val="11"/>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1."/>
      <w:numFmt w:val="decimal"/>
      <w:start w:val="13"/>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lvl w:ilvl="1">
      <w:lvlJc w:val="left"/>
      <w:lvlText w:val="%2."/>
      <w:numFmt w:val="decimal"/>
      <w:start w:val="2"/>
    </w:lvl>
  </w:abstractNum>
  <w:abstractNum w:abstractNumId="14">
    <w:nsid w:val="4E6AFB66"/>
    <w:multiLevelType w:val="hybridMultilevel"/>
    <w:lvl w:ilvl="0">
      <w:lvlJc w:val="left"/>
      <w:lvlText w:val="%1."/>
      <w:numFmt w:val="decimal"/>
      <w:start w:val="4"/>
    </w:lvl>
    <w:lvl w:ilvl="1">
      <w:lvlJc w:val="left"/>
      <w:lvlText w:val="%2."/>
      <w:numFmt w:val="decimal"/>
      <w:start w:val="6"/>
    </w:lvl>
  </w:abstractNum>
  <w:abstractNum w:abstractNumId="15">
    <w:nsid w:val="25E45D32"/>
    <w:multiLevelType w:val="hybridMultilevel"/>
    <w:lvl w:ilvl="0">
      <w:lvlJc w:val="left"/>
      <w:lvlText w:val="%1."/>
      <w:numFmt w:val="decimal"/>
      <w:start w:val="7"/>
    </w:lvl>
    <w:lvl w:ilvl="1">
      <w:lvlJc w:val="left"/>
      <w:lvlText w:val="%2."/>
      <w:numFmt w:val="decimal"/>
      <w:start w:val="8"/>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2019-12-06T04:40:39Z</dcterms:created>
  <dcterms:modified xsi:type="dcterms:W3CDTF">2019-12-06T04:40:39Z</dcterms:modified>
</cp:coreProperties>
</file>