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3"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62"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740" w:hanging="280"/>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720" w:hanging="264"/>
        <w:spacing w:after="0"/>
        <w:tabs>
          <w:tab w:leader="none" w:pos="1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159"/>
        <w:spacing w:after="0"/>
        <w:tabs>
          <w:tab w:leader="none" w:pos="2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158115</wp:posOffset>
            </wp:positionV>
            <wp:extent cx="412496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496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5440" w:type="dxa"/>
            <w:vAlign w:val="bottom"/>
          </w:tcPr>
          <w:p>
            <w:pPr>
              <w:jc w:val="center"/>
              <w:ind w:right="229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17"/>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right"/>
              <w:ind w:right="539"/>
              <w:spacing w:after="0"/>
              <w:rPr>
                <w:sz w:val="20"/>
                <w:szCs w:val="20"/>
                <w:color w:val="auto"/>
              </w:rPr>
            </w:pPr>
            <w:r>
              <w:rPr>
                <w:rFonts w:ascii="Arial" w:cs="Arial" w:eastAsia="Arial" w:hAnsi="Arial"/>
                <w:sz w:val="18"/>
                <w:szCs w:val="18"/>
                <w:b w:val="1"/>
                <w:bCs w:val="1"/>
                <w:color w:val="auto"/>
              </w:rPr>
              <w:t>16-1387013</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7"/>
              </w:rPr>
              <w:t>(I.R.S. Employer Identification No.)</w:t>
            </w:r>
          </w:p>
        </w:tc>
      </w:tr>
      <w:tr>
        <w:trPr>
          <w:trHeight w:val="439"/>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2000 Technology Parkway</w:t>
            </w:r>
          </w:p>
        </w:tc>
        <w:tc>
          <w:tcPr>
            <w:tcW w:w="5440" w:type="dxa"/>
            <w:vAlign w:val="bottom"/>
          </w:tcPr>
          <w:p>
            <w:pPr>
              <w:jc w:val="right"/>
              <w:ind w:right="739"/>
              <w:spacing w:after="0"/>
              <w:rPr>
                <w:sz w:val="20"/>
                <w:szCs w:val="20"/>
                <w:color w:val="auto"/>
              </w:rPr>
            </w:pPr>
            <w:r>
              <w:rPr>
                <w:rFonts w:ascii="Arial" w:cs="Arial" w:eastAsia="Arial" w:hAnsi="Arial"/>
                <w:sz w:val="18"/>
                <w:szCs w:val="18"/>
                <w:b w:val="1"/>
                <w:bCs w:val="1"/>
                <w:color w:val="auto"/>
              </w:rPr>
              <w:t>14513</w:t>
            </w: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Newark, New York</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3"/>
              </w:rPr>
              <w:t>(Zip Code)</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440" w:type="dxa"/>
            <w:vAlign w:val="bottom"/>
          </w:tcPr>
          <w:p>
            <w:pPr>
              <w:spacing w:after="0"/>
              <w:rPr>
                <w:sz w:val="16"/>
                <w:szCs w:val="16"/>
                <w:color w:val="auto"/>
              </w:rPr>
            </w:pPr>
          </w:p>
        </w:tc>
      </w:tr>
      <w:tr>
        <w:trPr>
          <w:trHeight w:val="242"/>
        </w:trPr>
        <w:tc>
          <w:tcPr>
            <w:tcW w:w="2580" w:type="dxa"/>
            <w:vAlign w:val="bottom"/>
          </w:tcPr>
          <w:p>
            <w:pPr>
              <w:spacing w:after="0"/>
              <w:rPr>
                <w:sz w:val="21"/>
                <w:szCs w:val="21"/>
                <w:color w:val="auto"/>
              </w:rPr>
            </w:pPr>
          </w:p>
        </w:tc>
        <w:tc>
          <w:tcPr>
            <w:tcW w:w="5440" w:type="dxa"/>
            <w:vAlign w:val="bottom"/>
          </w:tcPr>
          <w:p>
            <w:pPr>
              <w:jc w:val="right"/>
              <w:ind w:right="2979"/>
              <w:spacing w:after="0"/>
              <w:rPr>
                <w:sz w:val="20"/>
                <w:szCs w:val="20"/>
                <w:color w:val="auto"/>
              </w:rPr>
            </w:pPr>
            <w:r>
              <w:rPr>
                <w:rFonts w:ascii="Arial" w:cs="Arial" w:eastAsia="Arial" w:hAnsi="Arial"/>
                <w:sz w:val="18"/>
                <w:szCs w:val="18"/>
                <w:color w:val="auto"/>
              </w:rPr>
              <w:t>___________________</w:t>
            </w:r>
          </w:p>
        </w:tc>
      </w:tr>
    </w:tbl>
    <w:p>
      <w:pPr>
        <w:spacing w:after="0" w:line="21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(315) 332-7100</w:t>
      </w:r>
    </w:p>
    <w:p>
      <w:pPr>
        <w:spacing w:after="0" w:line="2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35" w:lineRule="exact"/>
        <w:rPr>
          <w:sz w:val="24"/>
          <w:szCs w:val="24"/>
          <w:color w:val="auto"/>
        </w:rPr>
      </w:pPr>
    </w:p>
    <w:p>
      <w:pPr>
        <w:ind w:right="4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6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ind w:left="80" w:firstLine="405"/>
        <w:spacing w:after="0" w:line="23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number of shares outstanding of the registrant's common stock was 15,219,620, net of 3,838,807 treasury shares, as of October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324" w:right="379" w:bottom="1440" w:gutter="0" w:footer="0" w:header="0"/>
        </w:sectPr>
      </w:pPr>
    </w:p>
    <w:bookmarkStart w:id="1" w:name="page2"/>
    <w:bookmarkEnd w:id="1"/>
    <w:p>
      <w:pPr>
        <w:jc w:val="center"/>
        <w:ind w:right="-399"/>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680" w:type="dxa"/>
            <w:vAlign w:val="bottom"/>
            <w:gridSpan w:val="16"/>
            <w:vMerge w:val="restart"/>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80" w:type="dxa"/>
            <w:vAlign w:val="bottom"/>
            <w:gridSpan w:val="4"/>
          </w:tcPr>
          <w:p>
            <w:pPr>
              <w:ind w:left="34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6"/>
        </w:trPr>
        <w:tc>
          <w:tcPr>
            <w:tcW w:w="660" w:type="dxa"/>
            <w:vAlign w:val="bottom"/>
            <w:gridSpan w:val="2"/>
            <w:vMerge w:val="continue"/>
          </w:tcPr>
          <w:p>
            <w:pPr>
              <w:spacing w:after="0"/>
              <w:rPr>
                <w:sz w:val="17"/>
                <w:szCs w:val="17"/>
                <w:color w:val="auto"/>
              </w:rPr>
            </w:pPr>
          </w:p>
        </w:tc>
        <w:tc>
          <w:tcPr>
            <w:tcW w:w="9680" w:type="dxa"/>
            <w:vAlign w:val="bottom"/>
            <w:gridSpan w:val="16"/>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27, 2015 and December 31, 2014 (unaudited)</w:t>
              </w:r>
            </w:hyperlink>
          </w:p>
        </w:tc>
        <w:tc>
          <w:tcPr>
            <w:tcW w:w="2000" w:type="dxa"/>
            <w:vAlign w:val="bottom"/>
            <w:gridSpan w:val="3"/>
          </w:tcPr>
          <w:p>
            <w:pPr>
              <w:spacing w:after="0"/>
              <w:rPr>
                <w:sz w:val="24"/>
                <w:szCs w:val="24"/>
                <w:color w:val="auto"/>
              </w:rPr>
            </w:pPr>
          </w:p>
        </w:tc>
        <w:tc>
          <w:tcPr>
            <w:tcW w:w="46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and Comprehensive Income (Loss) for the Three and Nine Month Periods</w:t>
              </w:r>
            </w:hyperlink>
          </w:p>
        </w:tc>
        <w:tc>
          <w:tcPr>
            <w:tcW w:w="600" w:type="dxa"/>
            <w:vAlign w:val="bottom"/>
            <w:gridSpan w:val="3"/>
          </w:tcPr>
          <w:p>
            <w:pPr>
              <w:jc w:val="center"/>
              <w:ind w:left="3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September 27, 2015 and September 28, 2014 (unaudited)</w:t>
              </w:r>
            </w:hyperlink>
          </w:p>
        </w:tc>
        <w:tc>
          <w:tcPr>
            <w:tcW w:w="4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Cash Flows for the Nine Month Periods Ended September 27, 2015 and September 28,</w:t>
              </w:r>
            </w:hyperlink>
          </w:p>
        </w:tc>
        <w:tc>
          <w:tcPr>
            <w:tcW w:w="600" w:type="dxa"/>
            <w:vAlign w:val="bottom"/>
            <w:gridSpan w:val="3"/>
          </w:tcPr>
          <w:p>
            <w:pPr>
              <w:jc w:val="center"/>
              <w:ind w:left="33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2014 (unaudited)</w:t>
              </w:r>
            </w:hyperlink>
          </w:p>
        </w:tc>
        <w:tc>
          <w:tcPr>
            <w:tcW w:w="7040" w:type="dxa"/>
            <w:vAlign w:val="bottom"/>
            <w:tcBorders>
              <w:top w:val="single" w:sz="8" w:color="0000EE"/>
            </w:tcBorders>
            <w:gridSpan w:val="10"/>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w:t>
              </w:r>
            </w:hyperlink>
          </w:p>
        </w:tc>
        <w:tc>
          <w:tcPr>
            <w:tcW w:w="5460" w:type="dxa"/>
            <w:vAlign w:val="bottom"/>
            <w:gridSpan w:val="8"/>
          </w:tcPr>
          <w:p>
            <w:pPr>
              <w:spacing w:after="0"/>
              <w:rPr>
                <w:sz w:val="24"/>
                <w:szCs w:val="24"/>
                <w:color w:val="auto"/>
              </w:rPr>
            </w:pPr>
          </w:p>
        </w:tc>
        <w:tc>
          <w:tcPr>
            <w:tcW w:w="46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center"/>
              <w:ind w:left="33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00" w:type="dxa"/>
            <w:vAlign w:val="bottom"/>
            <w:gridSpan w:val="3"/>
          </w:tcPr>
          <w:p>
            <w:pPr>
              <w:jc w:val="center"/>
              <w:ind w:left="33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0000EE"/>
            </w:tcBorders>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PART II</w:t>
              </w:r>
            </w:hyperlink>
          </w:p>
        </w:tc>
        <w:tc>
          <w:tcPr>
            <w:tcW w:w="2020" w:type="dxa"/>
            <w:vAlign w:val="bottom"/>
            <w:tcBorders>
              <w:bottom w:val="single" w:sz="8" w:color="0000EE"/>
            </w:tcBorders>
            <w:gridSpan w:val="4"/>
          </w:tcPr>
          <w:p>
            <w:pPr>
              <w:ind w:left="120"/>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OTHER INFORMATION</w:t>
              </w:r>
            </w:hyperlink>
          </w:p>
        </w:tc>
        <w:tc>
          <w:tcPr>
            <w:tcW w:w="7660" w:type="dxa"/>
            <w:vAlign w:val="bottom"/>
            <w:gridSpan w:val="12"/>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00" w:type="dxa"/>
            <w:vAlign w:val="bottom"/>
            <w:gridSpan w:val="3"/>
          </w:tcPr>
          <w:p>
            <w:pPr>
              <w:jc w:val="center"/>
              <w:ind w:left="33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600" w:type="dxa"/>
            <w:vAlign w:val="bottom"/>
            <w:gridSpan w:val="3"/>
          </w:tcPr>
          <w:p>
            <w:pPr>
              <w:jc w:val="center"/>
              <w:ind w:left="3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120" w:type="dxa"/>
            <w:vAlign w:val="bottom"/>
            <w:tcBorders>
              <w:left w:val="single" w:sz="8" w:color="0000EE"/>
            </w:tcBorders>
            <w:gridSpan w:val="5"/>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00" w:type="dxa"/>
            <w:vAlign w:val="bottom"/>
            <w:gridSpan w:val="3"/>
          </w:tcPr>
          <w:p>
            <w:pPr>
              <w:jc w:val="center"/>
              <w:ind w:left="3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00" w:type="dxa"/>
            <w:vAlign w:val="bottom"/>
            <w:gridSpan w:val="3"/>
          </w:tcPr>
          <w:p>
            <w:pPr>
              <w:jc w:val="center"/>
              <w:ind w:left="33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Index to Exhibits</w:t>
              </w:r>
            </w:hyperlink>
          </w:p>
        </w:tc>
        <w:tc>
          <w:tcPr>
            <w:tcW w:w="600" w:type="dxa"/>
            <w:vAlign w:val="bottom"/>
            <w:gridSpan w:val="3"/>
          </w:tcPr>
          <w:p>
            <w:pPr>
              <w:jc w:val="center"/>
              <w:ind w:left="33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810" w:right="639" w:bottom="1440" w:gutter="0" w:footer="0" w:header="0"/>
        </w:sectPr>
      </w:pPr>
    </w:p>
    <w:bookmarkStart w:id="2" w:name="page3"/>
    <w:bookmarkEnd w:id="2"/>
    <w:p>
      <w:pPr>
        <w:ind w:left="10120"/>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233" w:right="239" w:bottom="1440" w:gutter="0" w:footer="0" w:header="0"/>
        </w:sectPr>
      </w:pPr>
    </w:p>
    <w:p>
      <w:pPr>
        <w:spacing w:after="0" w:line="34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220" w:type="dxa"/>
            <w:vAlign w:val="bottom"/>
          </w:tcPr>
          <w:p>
            <w:pPr>
              <w:jc w:val="center"/>
              <w:ind w:left="3928"/>
              <w:spacing w:after="0"/>
              <w:rPr>
                <w:sz w:val="20"/>
                <w:szCs w:val="20"/>
                <w:color w:val="auto"/>
              </w:rPr>
            </w:pPr>
            <w:r>
              <w:rPr>
                <w:rFonts w:ascii="Arial" w:cs="Arial" w:eastAsia="Arial" w:hAnsi="Arial"/>
                <w:sz w:val="14"/>
                <w:szCs w:val="14"/>
                <w:b w:val="1"/>
                <w:bCs w:val="1"/>
                <w:color w:val="auto"/>
              </w:rPr>
              <w:t>PART I. FINANCIAL INFORMATION</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220" w:type="dxa"/>
            <w:vAlign w:val="bottom"/>
          </w:tcPr>
          <w:p>
            <w:pPr>
              <w:ind w:left="400"/>
              <w:spacing w:after="0"/>
              <w:rPr>
                <w:sz w:val="20"/>
                <w:szCs w:val="20"/>
                <w:color w:val="auto"/>
              </w:rPr>
            </w:pPr>
            <w:r>
              <w:rPr>
                <w:rFonts w:ascii="Arial" w:cs="Arial" w:eastAsia="Arial" w:hAnsi="Arial"/>
                <w:sz w:val="14"/>
                <w:szCs w:val="14"/>
                <w:b w:val="1"/>
                <w:bCs w:val="1"/>
                <w:color w:val="auto"/>
              </w:rPr>
              <w:t>ITEM 1. CONDENSED CONSOLIDATED FINANCIAL STATEMENTS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420" w:type="dxa"/>
            <w:vAlign w:val="bottom"/>
            <w:gridSpan w:val="2"/>
          </w:tcPr>
          <w:p>
            <w:pPr>
              <w:jc w:val="center"/>
              <w:ind w:left="3728"/>
              <w:spacing w:after="0"/>
              <w:rPr>
                <w:sz w:val="20"/>
                <w:szCs w:val="20"/>
                <w:color w:val="auto"/>
              </w:rPr>
            </w:pPr>
            <w:r>
              <w:rPr>
                <w:rFonts w:ascii="Arial" w:cs="Arial" w:eastAsia="Arial" w:hAnsi="Arial"/>
                <w:sz w:val="14"/>
                <w:szCs w:val="14"/>
                <w:b w:val="1"/>
                <w:bCs w:val="1"/>
                <w:color w:val="auto"/>
              </w:rPr>
              <w:t>ULTRALIFE CORPORATION AND SUBSIDIARIES</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220" w:type="dxa"/>
            <w:vAlign w:val="bottom"/>
          </w:tcPr>
          <w:p>
            <w:pPr>
              <w:jc w:val="center"/>
              <w:ind w:left="3928"/>
              <w:spacing w:after="0" w:line="149" w:lineRule="exact"/>
              <w:rPr>
                <w:sz w:val="20"/>
                <w:szCs w:val="20"/>
                <w:color w:val="auto"/>
              </w:rPr>
            </w:pPr>
            <w:r>
              <w:rPr>
                <w:rFonts w:ascii="Arial" w:cs="Arial" w:eastAsia="Arial" w:hAnsi="Arial"/>
                <w:sz w:val="14"/>
                <w:szCs w:val="14"/>
                <w:b w:val="1"/>
                <w:bCs w:val="1"/>
                <w:color w:val="auto"/>
              </w:rPr>
              <w:t>CONSOLIDATED BALANCE SHEETS</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20" w:type="dxa"/>
            <w:vAlign w:val="bottom"/>
          </w:tcPr>
          <w:p>
            <w:pPr>
              <w:jc w:val="center"/>
              <w:ind w:left="3948"/>
              <w:spacing w:after="0" w:line="149" w:lineRule="exact"/>
              <w:rPr>
                <w:sz w:val="20"/>
                <w:szCs w:val="20"/>
                <w:color w:val="auto"/>
              </w:rPr>
            </w:pPr>
            <w:r>
              <w:rPr>
                <w:rFonts w:ascii="Arial" w:cs="Arial" w:eastAsia="Arial" w:hAnsi="Arial"/>
                <w:sz w:val="14"/>
                <w:szCs w:val="14"/>
                <w:b w:val="1"/>
                <w:bCs w:val="1"/>
                <w:color w:val="auto"/>
                <w:w w:val="92"/>
              </w:rPr>
              <w:t>(Dollars in Thousands)</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220" w:type="dxa"/>
            <w:vAlign w:val="bottom"/>
          </w:tcPr>
          <w:p>
            <w:pPr>
              <w:jc w:val="center"/>
              <w:ind w:left="3948"/>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220" w:type="dxa"/>
            <w:vAlign w:val="bottom"/>
          </w:tcPr>
          <w:p>
            <w:pPr>
              <w:ind w:left="540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4"/>
                <w:szCs w:val="24"/>
                <w:color w:val="auto"/>
              </w:rPr>
            </w:pP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11"/>
        </w:trPr>
        <w:tc>
          <w:tcPr>
            <w:tcW w:w="7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7220" w:type="dxa"/>
            <w:vAlign w:val="bottom"/>
            <w:vMerge w:val="restart"/>
          </w:tcPr>
          <w:p>
            <w:pPr>
              <w:spacing w:after="0"/>
              <w:rPr>
                <w:sz w:val="20"/>
                <w:szCs w:val="20"/>
                <w:color w:val="auto"/>
              </w:rPr>
            </w:pPr>
            <w:r>
              <w:rPr>
                <w:rFonts w:ascii="Arial" w:cs="Arial" w:eastAsia="Arial" w:hAnsi="Arial"/>
                <w:sz w:val="14"/>
                <w:szCs w:val="14"/>
                <w:color w:val="auto"/>
              </w:rPr>
              <w:t>Current assets: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23"/>
        </w:trPr>
        <w:tc>
          <w:tcPr>
            <w:tcW w:w="7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14,585</w:t>
            </w: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7220" w:type="dxa"/>
            <w:vAlign w:val="bottom"/>
          </w:tcPr>
          <w:p>
            <w:pPr>
              <w:ind w:left="120"/>
              <w:spacing w:after="0" w:line="149" w:lineRule="exact"/>
              <w:rPr>
                <w:sz w:val="20"/>
                <w:szCs w:val="20"/>
                <w:color w:val="auto"/>
              </w:rPr>
            </w:pPr>
            <w:r>
              <w:rPr>
                <w:rFonts w:ascii="Arial" w:cs="Arial" w:eastAsia="Arial" w:hAnsi="Arial"/>
                <w:sz w:val="14"/>
                <w:szCs w:val="14"/>
                <w:color w:val="auto"/>
              </w:rPr>
              <w:t>Trade accounts receivable, net of allowance for doubtful accounts of $361 and $340, respectively</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11,242</w:t>
            </w: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Inventories, net</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23,352</w:t>
            </w: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Due from insurance company</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1"/>
        </w:trPr>
        <w:tc>
          <w:tcPr>
            <w:tcW w:w="72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23"/>
        </w:trPr>
        <w:tc>
          <w:tcPr>
            <w:tcW w:w="7220" w:type="dxa"/>
            <w:vAlign w:val="bottom"/>
          </w:tcPr>
          <w:p>
            <w:pPr>
              <w:ind w:left="360"/>
              <w:spacing w:after="0" w:line="123" w:lineRule="exact"/>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0"/>
                <w:szCs w:val="10"/>
                <w:color w:val="auto"/>
              </w:rPr>
            </w:pPr>
          </w:p>
        </w:tc>
        <w:tc>
          <w:tcPr>
            <w:tcW w:w="1300" w:type="dxa"/>
            <w:vAlign w:val="bottom"/>
          </w:tcPr>
          <w:p>
            <w:pPr>
              <w:jc w:val="right"/>
              <w:spacing w:after="0" w:line="123" w:lineRule="exact"/>
              <w:rPr>
                <w:sz w:val="20"/>
                <w:szCs w:val="20"/>
                <w:color w:val="auto"/>
              </w:rPr>
            </w:pPr>
            <w:r>
              <w:rPr>
                <w:rFonts w:ascii="Arial" w:cs="Arial" w:eastAsia="Arial" w:hAnsi="Arial"/>
                <w:sz w:val="14"/>
                <w:szCs w:val="14"/>
                <w:color w:val="auto"/>
              </w:rPr>
              <w:t>51,548</w:t>
            </w:r>
          </w:p>
        </w:tc>
        <w:tc>
          <w:tcPr>
            <w:tcW w:w="0" w:type="dxa"/>
            <w:vAlign w:val="bottom"/>
          </w:tcPr>
          <w:p>
            <w:pPr>
              <w:spacing w:after="0"/>
              <w:rPr>
                <w:sz w:val="1"/>
                <w:szCs w:val="1"/>
                <w:color w:val="auto"/>
              </w:rPr>
            </w:pPr>
          </w:p>
        </w:tc>
      </w:tr>
      <w:tr>
        <w:trPr>
          <w:trHeight w:val="149"/>
        </w:trPr>
        <w:tc>
          <w:tcPr>
            <w:tcW w:w="7220" w:type="dxa"/>
            <w:vAlign w:val="bottom"/>
          </w:tcPr>
          <w:p>
            <w:pPr>
              <w:spacing w:after="0" w:line="149" w:lineRule="exact"/>
              <w:rPr>
                <w:sz w:val="20"/>
                <w:szCs w:val="20"/>
                <w:color w:val="auto"/>
              </w:rPr>
            </w:pPr>
            <w:r>
              <w:rPr>
                <w:rFonts w:ascii="Arial" w:cs="Arial" w:eastAsia="Arial" w:hAnsi="Arial"/>
                <w:sz w:val="14"/>
                <w:szCs w:val="14"/>
                <w:color w:val="auto"/>
              </w:rPr>
              <w:t>Property, equipment and improvements, net</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9,191</w:t>
            </w:r>
          </w:p>
        </w:tc>
        <w:tc>
          <w:tcPr>
            <w:tcW w:w="0" w:type="dxa"/>
            <w:vAlign w:val="bottom"/>
          </w:tcPr>
          <w:p>
            <w:pPr>
              <w:spacing w:after="0"/>
              <w:rPr>
                <w:sz w:val="1"/>
                <w:szCs w:val="1"/>
                <w:color w:val="auto"/>
              </w:rPr>
            </w:pPr>
          </w:p>
        </w:tc>
      </w:tr>
      <w:tr>
        <w:trPr>
          <w:trHeight w:val="149"/>
        </w:trPr>
        <w:tc>
          <w:tcPr>
            <w:tcW w:w="72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16,327</w:t>
            </w:r>
          </w:p>
        </w:tc>
        <w:tc>
          <w:tcPr>
            <w:tcW w:w="0" w:type="dxa"/>
            <w:vAlign w:val="bottom"/>
          </w:tcPr>
          <w:p>
            <w:pPr>
              <w:spacing w:after="0"/>
              <w:rPr>
                <w:sz w:val="1"/>
                <w:szCs w:val="1"/>
                <w:color w:val="auto"/>
              </w:rPr>
            </w:pPr>
          </w:p>
        </w:tc>
      </w:tr>
      <w:tr>
        <w:trPr>
          <w:trHeight w:val="149"/>
        </w:trPr>
        <w:tc>
          <w:tcPr>
            <w:tcW w:w="72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4,155</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4"/>
                <w:szCs w:val="14"/>
                <w:color w:val="auto"/>
              </w:rPr>
              <w:t>Security deposits and other non-current assets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62"/>
        </w:trPr>
        <w:tc>
          <w:tcPr>
            <w:tcW w:w="7220" w:type="dxa"/>
            <w:vAlign w:val="bottom"/>
          </w:tcPr>
          <w:p>
            <w:pPr>
              <w:ind w:left="360"/>
              <w:spacing w:after="0" w:line="150" w:lineRule="exact"/>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81,352</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410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2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2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6,766</w:t>
            </w: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c>
          <w:tcPr>
            <w:tcW w:w="0" w:type="dxa"/>
            <w:vAlign w:val="bottom"/>
          </w:tcPr>
          <w:p>
            <w:pPr>
              <w:spacing w:after="0"/>
              <w:rPr>
                <w:sz w:val="1"/>
                <w:szCs w:val="1"/>
                <w:color w:val="auto"/>
              </w:rPr>
            </w:pPr>
          </w:p>
        </w:tc>
      </w:tr>
      <w:tr>
        <w:trPr>
          <w:trHeight w:val="149"/>
        </w:trPr>
        <w:tc>
          <w:tcPr>
            <w:tcW w:w="7220" w:type="dxa"/>
            <w:vAlign w:val="bottom"/>
          </w:tcPr>
          <w:p>
            <w:pPr>
              <w:ind w:left="1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181"/>
        </w:trPr>
        <w:tc>
          <w:tcPr>
            <w:tcW w:w="7220" w:type="dxa"/>
            <w:vAlign w:val="bottom"/>
          </w:tcPr>
          <w:p>
            <w:pPr>
              <w:ind w:left="14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23"/>
        </w:trPr>
        <w:tc>
          <w:tcPr>
            <w:tcW w:w="7220" w:type="dxa"/>
            <w:vAlign w:val="bottom"/>
          </w:tcPr>
          <w:p>
            <w:pPr>
              <w:ind w:left="400"/>
              <w:spacing w:after="0" w:line="123" w:lineRule="exact"/>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0"/>
                <w:szCs w:val="10"/>
                <w:color w:val="auto"/>
              </w:rPr>
            </w:pPr>
          </w:p>
        </w:tc>
        <w:tc>
          <w:tcPr>
            <w:tcW w:w="1300" w:type="dxa"/>
            <w:vAlign w:val="bottom"/>
          </w:tcPr>
          <w:p>
            <w:pPr>
              <w:jc w:val="right"/>
              <w:spacing w:after="0" w:line="123" w:lineRule="exact"/>
              <w:rPr>
                <w:sz w:val="20"/>
                <w:szCs w:val="20"/>
                <w:color w:val="auto"/>
              </w:rPr>
            </w:pPr>
            <w:r>
              <w:rPr>
                <w:rFonts w:ascii="Arial" w:cs="Arial" w:eastAsia="Arial" w:hAnsi="Arial"/>
                <w:sz w:val="14"/>
                <w:szCs w:val="14"/>
                <w:color w:val="auto"/>
              </w:rPr>
              <w:t>11,498</w:t>
            </w:r>
          </w:p>
        </w:tc>
        <w:tc>
          <w:tcPr>
            <w:tcW w:w="0" w:type="dxa"/>
            <w:vAlign w:val="bottom"/>
          </w:tcPr>
          <w:p>
            <w:pPr>
              <w:spacing w:after="0"/>
              <w:rPr>
                <w:sz w:val="1"/>
                <w:szCs w:val="1"/>
                <w:color w:val="auto"/>
              </w:rPr>
            </w:pPr>
          </w:p>
        </w:tc>
      </w:tr>
      <w:tr>
        <w:trPr>
          <w:trHeight w:val="149"/>
        </w:trPr>
        <w:tc>
          <w:tcPr>
            <w:tcW w:w="72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4,623</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7220" w:type="dxa"/>
            <w:vAlign w:val="bottom"/>
          </w:tcPr>
          <w:p>
            <w:pPr>
              <w:ind w:left="400"/>
              <w:spacing w:after="0" w:line="149" w:lineRule="exact"/>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-2769235</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-2580640</wp:posOffset>
            </wp:positionV>
            <wp:extent cx="72466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-2374900</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-2186305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-1809115</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72466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31" w:lineRule="exact"/>
        <w:rPr>
          <w:sz w:val="20"/>
          <w:szCs w:val="20"/>
          <w:color w:val="auto"/>
        </w:rPr>
      </w:pPr>
    </w:p>
    <w:p>
      <w:pPr>
        <w:ind w:left="1080" w:hanging="1080"/>
        <w:spacing w:after="0"/>
        <w:tabs>
          <w:tab w:leader="none" w:pos="1080" w:val="left"/>
        </w:tabs>
        <w:numPr>
          <w:ilvl w:val="0"/>
          <w:numId w:val="3"/>
        </w:numPr>
        <w:rPr>
          <w:rFonts w:ascii="Arial" w:cs="Arial" w:eastAsia="Arial" w:hAnsi="Arial"/>
          <w:sz w:val="13"/>
          <w:szCs w:val="13"/>
          <w:color w:val="auto"/>
        </w:rPr>
      </w:pPr>
      <w:r>
        <w:rPr>
          <w:rFonts w:ascii="Arial" w:cs="Arial" w:eastAsia="Arial" w:hAnsi="Arial"/>
          <w:sz w:val="13"/>
          <w:szCs w:val="13"/>
          <w:color w:val="auto"/>
        </w:rPr>
        <w:t>17,711</w:t>
      </w:r>
    </w:p>
    <w:p>
      <w:pPr>
        <w:spacing w:after="0" w:line="11" w:lineRule="exact"/>
        <w:rPr>
          <w:rFonts w:ascii="Arial" w:cs="Arial" w:eastAsia="Arial" w:hAnsi="Arial"/>
          <w:sz w:val="13"/>
          <w:szCs w:val="13"/>
          <w:color w:val="auto"/>
        </w:rPr>
      </w:pPr>
    </w:p>
    <w:p>
      <w:pPr>
        <w:ind w:left="1260"/>
        <w:spacing w:after="0"/>
        <w:rPr>
          <w:rFonts w:ascii="Arial" w:cs="Arial" w:eastAsia="Arial" w:hAnsi="Arial"/>
          <w:sz w:val="13"/>
          <w:szCs w:val="13"/>
          <w:color w:val="auto"/>
        </w:rPr>
      </w:pPr>
      <w:r>
        <w:rPr>
          <w:rFonts w:ascii="Arial" w:cs="Arial" w:eastAsia="Arial" w:hAnsi="Arial"/>
          <w:sz w:val="13"/>
          <w:szCs w:val="13"/>
          <w:color w:val="auto"/>
        </w:rPr>
        <w:t>155</w:t>
      </w:r>
    </w:p>
    <w:p>
      <w:pPr>
        <w:jc w:val="right"/>
        <w:ind w:right="100"/>
        <w:spacing w:after="0" w:line="221" w:lineRule="auto"/>
        <w:rPr>
          <w:sz w:val="20"/>
          <w:szCs w:val="20"/>
          <w:color w:val="auto"/>
        </w:rPr>
      </w:pPr>
      <w:r>
        <w:rPr>
          <w:rFonts w:ascii="Arial" w:cs="Arial" w:eastAsia="Arial" w:hAnsi="Arial"/>
          <w:sz w:val="14"/>
          <w:szCs w:val="14"/>
          <w:color w:val="auto"/>
        </w:rPr>
        <w:t>11,295</w:t>
      </w:r>
    </w:p>
    <w:p>
      <w:pPr>
        <w:jc w:val="right"/>
        <w:ind w:right="100"/>
        <w:spacing w:after="0" w:line="221" w:lineRule="auto"/>
        <w:rPr>
          <w:sz w:val="20"/>
          <w:szCs w:val="20"/>
          <w:color w:val="auto"/>
        </w:rPr>
      </w:pPr>
      <w:r>
        <w:rPr>
          <w:rFonts w:ascii="Arial" w:cs="Arial" w:eastAsia="Arial" w:hAnsi="Arial"/>
          <w:sz w:val="14"/>
          <w:szCs w:val="14"/>
          <w:color w:val="auto"/>
        </w:rPr>
        <w:t>26,086</w:t>
      </w:r>
    </w:p>
    <w:p>
      <w:pPr>
        <w:jc w:val="right"/>
        <w:ind w:right="100"/>
        <w:spacing w:after="0" w:line="222" w:lineRule="auto"/>
        <w:rPr>
          <w:sz w:val="20"/>
          <w:szCs w:val="20"/>
          <w:color w:val="auto"/>
        </w:rPr>
      </w:pPr>
      <w:r>
        <w:rPr>
          <w:rFonts w:ascii="Arial" w:cs="Arial" w:eastAsia="Arial" w:hAnsi="Arial"/>
          <w:sz w:val="14"/>
          <w:szCs w:val="14"/>
          <w:color w:val="auto"/>
        </w:rPr>
        <w:t>1,313</w:t>
      </w:r>
    </w:p>
    <w:p>
      <w:pPr>
        <w:jc w:val="right"/>
        <w:ind w:right="100"/>
        <w:spacing w:after="0"/>
        <w:rPr>
          <w:sz w:val="20"/>
          <w:szCs w:val="20"/>
          <w:color w:val="auto"/>
        </w:rPr>
      </w:pPr>
      <w:r>
        <w:rPr>
          <w:rFonts w:ascii="Arial" w:cs="Arial" w:eastAsia="Arial" w:hAnsi="Arial"/>
          <w:sz w:val="14"/>
          <w:szCs w:val="14"/>
          <w:color w:val="auto"/>
        </w:rPr>
        <w:t>184</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3"/>
          <w:szCs w:val="13"/>
          <w:color w:val="auto"/>
        </w:rPr>
        <w:t>56,850</w:t>
      </w:r>
    </w:p>
    <w:p>
      <w:pPr>
        <w:jc w:val="right"/>
        <w:ind w:right="100"/>
        <w:spacing w:after="0" w:line="221" w:lineRule="auto"/>
        <w:rPr>
          <w:sz w:val="20"/>
          <w:szCs w:val="20"/>
          <w:color w:val="auto"/>
        </w:rPr>
      </w:pPr>
      <w:r>
        <w:rPr>
          <w:rFonts w:ascii="Arial" w:cs="Arial" w:eastAsia="Arial" w:hAnsi="Arial"/>
          <w:sz w:val="14"/>
          <w:szCs w:val="14"/>
          <w:color w:val="auto"/>
        </w:rPr>
        <w:t>9,812</w:t>
      </w:r>
    </w:p>
    <w:p>
      <w:pPr>
        <w:jc w:val="right"/>
        <w:ind w:right="100"/>
        <w:spacing w:after="0" w:line="221" w:lineRule="auto"/>
        <w:rPr>
          <w:sz w:val="20"/>
          <w:szCs w:val="20"/>
          <w:color w:val="auto"/>
        </w:rPr>
      </w:pPr>
      <w:r>
        <w:rPr>
          <w:rFonts w:ascii="Arial" w:cs="Arial" w:eastAsia="Arial" w:hAnsi="Arial"/>
          <w:sz w:val="14"/>
          <w:szCs w:val="14"/>
          <w:color w:val="auto"/>
        </w:rPr>
        <w:t>16,407</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4,338</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235</w:t>
      </w:r>
    </w:p>
    <w:p>
      <w:pPr>
        <w:spacing w:after="0" w:line="21" w:lineRule="exact"/>
        <w:rPr>
          <w:sz w:val="20"/>
          <w:szCs w:val="20"/>
          <w:color w:val="auto"/>
        </w:rPr>
      </w:pPr>
    </w:p>
    <w:p>
      <w:pPr>
        <w:ind w:left="1080" w:hanging="1080"/>
        <w:spacing w:after="0"/>
        <w:tabs>
          <w:tab w:leader="none" w:pos="1080" w:val="left"/>
        </w:tabs>
        <w:numPr>
          <w:ilvl w:val="0"/>
          <w:numId w:val="4"/>
        </w:numPr>
        <w:rPr>
          <w:rFonts w:ascii="Arial" w:cs="Arial" w:eastAsia="Arial" w:hAnsi="Arial"/>
          <w:sz w:val="13"/>
          <w:szCs w:val="13"/>
          <w:color w:val="auto"/>
        </w:rPr>
      </w:pPr>
      <w:r>
        <w:rPr>
          <w:rFonts w:ascii="Arial" w:cs="Arial" w:eastAsia="Arial" w:hAnsi="Arial"/>
          <w:sz w:val="13"/>
          <w:szCs w:val="13"/>
          <w:color w:val="auto"/>
        </w:rPr>
        <w:t>87,642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934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140" w:hanging="1140"/>
        <w:spacing w:after="0"/>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color w:val="auto"/>
        </w:rPr>
        <w:t>6,996</w:t>
      </w:r>
    </w:p>
    <w:p>
      <w:pPr>
        <w:spacing w:after="0" w:line="11" w:lineRule="exact"/>
        <w:rPr>
          <w:rFonts w:ascii="Arial" w:cs="Arial" w:eastAsia="Arial" w:hAnsi="Arial"/>
          <w:sz w:val="13"/>
          <w:szCs w:val="13"/>
          <w:color w:val="auto"/>
        </w:rPr>
      </w:pPr>
    </w:p>
    <w:p>
      <w:pPr>
        <w:ind w:left="1140"/>
        <w:spacing w:after="0"/>
        <w:rPr>
          <w:rFonts w:ascii="Arial" w:cs="Arial" w:eastAsia="Arial" w:hAnsi="Arial"/>
          <w:sz w:val="13"/>
          <w:szCs w:val="13"/>
          <w:color w:val="auto"/>
        </w:rPr>
      </w:pPr>
      <w:r>
        <w:rPr>
          <w:rFonts w:ascii="Arial" w:cs="Arial" w:eastAsia="Arial" w:hAnsi="Arial"/>
          <w:sz w:val="13"/>
          <w:szCs w:val="13"/>
          <w:color w:val="auto"/>
        </w:rPr>
        <w:t>1,725</w:t>
      </w:r>
    </w:p>
    <w:p>
      <w:pPr>
        <w:ind w:left="1140"/>
        <w:spacing w:after="0"/>
        <w:rPr>
          <w:rFonts w:ascii="Arial" w:cs="Arial" w:eastAsia="Arial" w:hAnsi="Arial"/>
          <w:sz w:val="13"/>
          <w:szCs w:val="13"/>
          <w:color w:val="auto"/>
        </w:rPr>
      </w:pPr>
      <w:r>
        <w:rPr>
          <w:rFonts w:ascii="Arial" w:cs="Arial" w:eastAsia="Arial" w:hAnsi="Arial"/>
          <w:sz w:val="13"/>
          <w:szCs w:val="13"/>
          <w:color w:val="auto"/>
        </w:rPr>
        <w:t>2,421</w:t>
      </w:r>
    </w:p>
    <w:p>
      <w:pPr>
        <w:spacing w:after="0" w:line="12" w:lineRule="exact"/>
        <w:rPr>
          <w:rFonts w:ascii="Arial" w:cs="Arial" w:eastAsia="Arial" w:hAnsi="Arial"/>
          <w:sz w:val="13"/>
          <w:szCs w:val="13"/>
          <w:color w:val="auto"/>
        </w:rPr>
      </w:pPr>
    </w:p>
    <w:p>
      <w:pPr>
        <w:ind w:left="1320"/>
        <w:spacing w:after="0"/>
        <w:rPr>
          <w:rFonts w:ascii="Arial" w:cs="Arial" w:eastAsia="Arial" w:hAnsi="Arial"/>
          <w:sz w:val="13"/>
          <w:szCs w:val="13"/>
          <w:color w:val="auto"/>
        </w:rPr>
      </w:pPr>
      <w:r>
        <w:rPr>
          <w:rFonts w:ascii="Arial" w:cs="Arial" w:eastAsia="Arial" w:hAnsi="Arial"/>
          <w:sz w:val="14"/>
          <w:szCs w:val="14"/>
          <w:color w:val="auto"/>
        </w:rPr>
        <w:t>69</w:t>
      </w:r>
    </w:p>
    <w:p>
      <w:pPr>
        <w:jc w:val="right"/>
        <w:ind w:right="100"/>
        <w:spacing w:after="0" w:line="223" w:lineRule="auto"/>
        <w:rPr>
          <w:sz w:val="20"/>
          <w:szCs w:val="20"/>
          <w:color w:val="auto"/>
        </w:rPr>
      </w:pPr>
      <w:r>
        <w:rPr>
          <w:rFonts w:ascii="Arial" w:cs="Arial" w:eastAsia="Arial" w:hAnsi="Arial"/>
          <w:sz w:val="14"/>
          <w:szCs w:val="14"/>
          <w:color w:val="auto"/>
        </w:rPr>
        <w:t>11,211</w:t>
      </w:r>
    </w:p>
    <w:p>
      <w:pPr>
        <w:jc w:val="right"/>
        <w:ind w:right="100"/>
        <w:spacing w:after="0"/>
        <w:rPr>
          <w:sz w:val="20"/>
          <w:szCs w:val="20"/>
          <w:color w:val="auto"/>
        </w:rPr>
      </w:pPr>
      <w:r>
        <w:rPr>
          <w:rFonts w:ascii="Arial" w:cs="Arial" w:eastAsia="Arial" w:hAnsi="Arial"/>
          <w:sz w:val="14"/>
          <w:szCs w:val="14"/>
          <w:color w:val="auto"/>
        </w:rPr>
        <w:t>4,462</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4"/>
          <w:szCs w:val="14"/>
          <w:color w:val="auto"/>
        </w:rPr>
        <w:t>15,729</w:t>
      </w:r>
    </w:p>
    <w:p>
      <w:pPr>
        <w:spacing w:after="0" w:line="324" w:lineRule="exact"/>
        <w:rPr>
          <w:sz w:val="20"/>
          <w:szCs w:val="20"/>
          <w:color w:val="auto"/>
        </w:rPr>
      </w:pPr>
    </w:p>
    <w:p>
      <w:pPr>
        <w:sectPr>
          <w:pgSz w:w="11900" w:h="16838" w:orient="portrait"/>
          <w:cols w:equalWidth="0" w:num="2">
            <w:col w:w="9120" w:space="720"/>
            <w:col w:w="158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6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6760" w:type="dxa"/>
            <w:vAlign w:val="bottom"/>
          </w:tcPr>
          <w:p>
            <w:pPr>
              <w:ind w:left="100"/>
              <w:spacing w:after="0" w:line="149" w:lineRule="exact"/>
              <w:rPr>
                <w:sz w:val="20"/>
                <w:szCs w:val="20"/>
                <w:color w:val="auto"/>
              </w:rPr>
            </w:pPr>
            <w:r>
              <w:rPr>
                <w:rFonts w:ascii="Arial" w:cs="Arial" w:eastAsia="Arial" w:hAnsi="Arial"/>
                <w:sz w:val="14"/>
                <w:szCs w:val="14"/>
                <w:color w:val="auto"/>
              </w:rPr>
              <w:t>Shareholders' equity:</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r>
      <w:tr>
        <w:trPr>
          <w:trHeight w:val="130"/>
        </w:trPr>
        <w:tc>
          <w:tcPr>
            <w:tcW w:w="6760" w:type="dxa"/>
            <w:vAlign w:val="bottom"/>
          </w:tcPr>
          <w:p>
            <w:pPr>
              <w:ind w:left="160"/>
              <w:spacing w:after="0" w:line="130" w:lineRule="exact"/>
              <w:rPr>
                <w:sz w:val="20"/>
                <w:szCs w:val="20"/>
                <w:color w:val="auto"/>
              </w:rPr>
            </w:pPr>
            <w:r>
              <w:rPr>
                <w:rFonts w:ascii="Arial" w:cs="Arial" w:eastAsia="Arial" w:hAnsi="Arial"/>
                <w:sz w:val="14"/>
                <w:szCs w:val="14"/>
                <w:color w:val="auto"/>
              </w:rPr>
              <w:t>Common stock – par value $.10 per share; authorized 40,000,000 shares; issued – 18,992,380 shares at</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6760" w:type="dxa"/>
            <w:vAlign w:val="bottom"/>
          </w:tcPr>
          <w:p>
            <w:pPr>
              <w:ind w:left="320"/>
              <w:spacing w:after="0" w:line="149" w:lineRule="exact"/>
              <w:rPr>
                <w:sz w:val="20"/>
                <w:szCs w:val="20"/>
                <w:color w:val="auto"/>
              </w:rPr>
            </w:pPr>
            <w:r>
              <w:rPr>
                <w:rFonts w:ascii="Arial" w:cs="Arial" w:eastAsia="Arial" w:hAnsi="Arial"/>
                <w:sz w:val="14"/>
                <w:szCs w:val="14"/>
                <w:color w:val="auto"/>
                <w:w w:val="99"/>
              </w:rPr>
              <w:t>September 27, 2015 and 18,941,544 shares at December 31, 2014; outstanding – 15,153,573 shares at</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6760" w:type="dxa"/>
            <w:vAlign w:val="bottom"/>
          </w:tcPr>
          <w:p>
            <w:pPr>
              <w:ind w:left="320"/>
              <w:spacing w:after="0"/>
              <w:rPr>
                <w:sz w:val="20"/>
                <w:szCs w:val="20"/>
                <w:color w:val="auto"/>
              </w:rPr>
            </w:pPr>
            <w:r>
              <w:rPr>
                <w:rFonts w:ascii="Arial" w:cs="Arial" w:eastAsia="Arial" w:hAnsi="Arial"/>
                <w:sz w:val="14"/>
                <w:szCs w:val="14"/>
                <w:color w:val="auto"/>
              </w:rPr>
              <w:t>September 27, 2015 and 17,340,813 shares at December 31, 2014</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gridSpan w:val="2"/>
          </w:tcPr>
          <w:p>
            <w:pPr>
              <w:jc w:val="right"/>
              <w:ind w:right="1020"/>
              <w:spacing w:after="0"/>
              <w:rPr>
                <w:sz w:val="20"/>
                <w:szCs w:val="20"/>
                <w:color w:val="auto"/>
              </w:rPr>
            </w:pPr>
            <w:r>
              <w:rPr>
                <w:rFonts w:ascii="Arial" w:cs="Arial" w:eastAsia="Arial" w:hAnsi="Arial"/>
                <w:sz w:val="14"/>
                <w:szCs w:val="14"/>
                <w:color w:val="auto"/>
              </w:rPr>
              <w:t>1,899</w:t>
            </w:r>
          </w:p>
        </w:tc>
        <w:tc>
          <w:tcPr>
            <w:tcW w:w="5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1,894</w:t>
            </w:r>
          </w:p>
        </w:tc>
        <w:tc>
          <w:tcPr>
            <w:tcW w:w="80" w:type="dxa"/>
            <w:vAlign w:val="bottom"/>
          </w:tcPr>
          <w:p>
            <w:pPr>
              <w:spacing w:after="0"/>
              <w:rPr>
                <w:sz w:val="14"/>
                <w:szCs w:val="14"/>
                <w:color w:val="auto"/>
              </w:rPr>
            </w:pPr>
          </w:p>
        </w:tc>
      </w:tr>
      <w:tr>
        <w:trPr>
          <w:trHeight w:val="149"/>
        </w:trPr>
        <w:tc>
          <w:tcPr>
            <w:tcW w:w="67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Capital in excess of par value</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1020"/>
              <w:spacing w:after="0" w:line="149" w:lineRule="exact"/>
              <w:rPr>
                <w:sz w:val="20"/>
                <w:szCs w:val="20"/>
                <w:color w:val="auto"/>
              </w:rPr>
            </w:pPr>
            <w:r>
              <w:rPr>
                <w:rFonts w:ascii="Arial" w:cs="Arial" w:eastAsia="Arial" w:hAnsi="Arial"/>
                <w:sz w:val="14"/>
                <w:szCs w:val="14"/>
                <w:color w:val="auto"/>
              </w:rPr>
              <w:t>176,402</w:t>
            </w:r>
          </w:p>
        </w:tc>
        <w:tc>
          <w:tcPr>
            <w:tcW w:w="5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175,940</w:t>
            </w:r>
          </w:p>
        </w:tc>
        <w:tc>
          <w:tcPr>
            <w:tcW w:w="80" w:type="dxa"/>
            <w:vAlign w:val="bottom"/>
            <w:shd w:val="clear" w:color="auto" w:fill="CCEEFF"/>
          </w:tcPr>
          <w:p>
            <w:pPr>
              <w:spacing w:after="0"/>
              <w:rPr>
                <w:sz w:val="12"/>
                <w:szCs w:val="12"/>
                <w:color w:val="auto"/>
              </w:rPr>
            </w:pPr>
          </w:p>
        </w:tc>
      </w:tr>
      <w:tr>
        <w:trPr>
          <w:trHeight w:val="149"/>
        </w:trPr>
        <w:tc>
          <w:tcPr>
            <w:tcW w:w="6760" w:type="dxa"/>
            <w:vAlign w:val="bottom"/>
          </w:tcPr>
          <w:p>
            <w:pPr>
              <w:ind w:left="160"/>
              <w:spacing w:after="0" w:line="149" w:lineRule="exact"/>
              <w:rPr>
                <w:sz w:val="20"/>
                <w:szCs w:val="20"/>
                <w:color w:val="auto"/>
              </w:rPr>
            </w:pPr>
            <w:r>
              <w:rPr>
                <w:rFonts w:ascii="Arial" w:cs="Arial" w:eastAsia="Arial" w:hAnsi="Arial"/>
                <w:sz w:val="14"/>
                <w:szCs w:val="14"/>
                <w:color w:val="auto"/>
              </w:rPr>
              <w:t>Accumulated deficit</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(94,553)</w:t>
            </w:r>
          </w:p>
        </w:tc>
        <w:tc>
          <w:tcPr>
            <w:tcW w:w="54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(96,920)</w:t>
            </w:r>
          </w:p>
        </w:tc>
      </w:tr>
      <w:tr>
        <w:trPr>
          <w:trHeight w:val="149"/>
        </w:trPr>
        <w:tc>
          <w:tcPr>
            <w:tcW w:w="67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Accumulated other comprehensive loss</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(750)</w:t>
            </w:r>
          </w:p>
        </w:tc>
        <w:tc>
          <w:tcPr>
            <w:tcW w:w="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(467)</w:t>
            </w:r>
          </w:p>
        </w:tc>
      </w:tr>
      <w:tr>
        <w:trPr>
          <w:trHeight w:val="149"/>
        </w:trPr>
        <w:tc>
          <w:tcPr>
            <w:tcW w:w="6760" w:type="dxa"/>
            <w:vAlign w:val="bottom"/>
          </w:tcPr>
          <w:p>
            <w:pPr>
              <w:ind w:left="140"/>
              <w:spacing w:after="0" w:line="149" w:lineRule="exact"/>
              <w:rPr>
                <w:sz w:val="20"/>
                <w:szCs w:val="20"/>
                <w:color w:val="auto"/>
              </w:rPr>
            </w:pPr>
            <w:r>
              <w:rPr>
                <w:rFonts w:ascii="Arial" w:cs="Arial" w:eastAsia="Arial" w:hAnsi="Arial"/>
                <w:sz w:val="14"/>
                <w:szCs w:val="14"/>
                <w:color w:val="auto"/>
              </w:rPr>
              <w:t>Treasury stock - at cost; 3,838,807 shares at September 27, 2015 and</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1,600,731 shares at December 31, 2014</w:t>
            </w: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(17,686)</w:t>
            </w:r>
          </w:p>
        </w:tc>
        <w:tc>
          <w:tcPr>
            <w:tcW w:w="5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(8,420)</w:t>
            </w:r>
          </w:p>
        </w:tc>
      </w:tr>
      <w:tr>
        <w:trPr>
          <w:trHeight w:val="142"/>
        </w:trPr>
        <w:tc>
          <w:tcPr>
            <w:tcW w:w="6760" w:type="dxa"/>
            <w:vAlign w:val="bottom"/>
          </w:tcPr>
          <w:p>
            <w:pPr>
              <w:ind w:left="460"/>
              <w:spacing w:after="0" w:line="142" w:lineRule="exact"/>
              <w:rPr>
                <w:sz w:val="20"/>
                <w:szCs w:val="20"/>
                <w:color w:val="auto"/>
              </w:rPr>
            </w:pPr>
            <w:r>
              <w:rPr>
                <w:rFonts w:ascii="Arial" w:cs="Arial" w:eastAsia="Arial" w:hAnsi="Arial"/>
                <w:sz w:val="14"/>
                <w:szCs w:val="14"/>
                <w:color w:val="auto"/>
              </w:rPr>
              <w:t>Total Ultralife equity</w:t>
            </w:r>
          </w:p>
        </w:tc>
        <w:tc>
          <w:tcPr>
            <w:tcW w:w="5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65,312</w:t>
            </w:r>
          </w:p>
        </w:tc>
        <w:tc>
          <w:tcPr>
            <w:tcW w:w="10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72,027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Noncontrolling interest</w:t>
            </w: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(137)</w:t>
            </w:r>
          </w:p>
        </w:tc>
        <w:tc>
          <w:tcPr>
            <w:tcW w:w="5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(114)</w:t>
            </w:r>
          </w:p>
        </w:tc>
      </w:tr>
      <w:tr>
        <w:trPr>
          <w:trHeight w:val="142"/>
        </w:trPr>
        <w:tc>
          <w:tcPr>
            <w:tcW w:w="6760" w:type="dxa"/>
            <w:vAlign w:val="bottom"/>
            <w:tcBorders>
              <w:bottom w:val="single" w:sz="8" w:color="CCEEFF"/>
            </w:tcBorders>
          </w:tcPr>
          <w:p>
            <w:pPr>
              <w:ind w:left="460"/>
              <w:spacing w:after="0" w:line="142" w:lineRule="exact"/>
              <w:rPr>
                <w:sz w:val="20"/>
                <w:szCs w:val="20"/>
                <w:color w:val="auto"/>
              </w:rPr>
            </w:pPr>
            <w:r>
              <w:rPr>
                <w:rFonts w:ascii="Arial" w:cs="Arial" w:eastAsia="Arial" w:hAnsi="Arial"/>
                <w:sz w:val="14"/>
                <w:szCs w:val="14"/>
                <w:color w:val="auto"/>
              </w:rPr>
              <w:t>Total shareholders’ equity</w:t>
            </w:r>
          </w:p>
        </w:tc>
        <w:tc>
          <w:tcPr>
            <w:tcW w:w="5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65,175</w:t>
            </w:r>
          </w:p>
        </w:tc>
        <w:tc>
          <w:tcPr>
            <w:tcW w:w="10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71,913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67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6"/>
        </w:trPr>
        <w:tc>
          <w:tcPr>
            <w:tcW w:w="6760" w:type="dxa"/>
            <w:vAlign w:val="bottom"/>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960" w:type="dxa"/>
            <w:vAlign w:val="bottom"/>
            <w:gridSpan w:val="2"/>
          </w:tcPr>
          <w:p>
            <w:pPr>
              <w:jc w:val="right"/>
              <w:ind w:right="1020"/>
              <w:spacing w:after="0"/>
              <w:rPr>
                <w:sz w:val="20"/>
                <w:szCs w:val="20"/>
                <w:color w:val="auto"/>
              </w:rPr>
            </w:pPr>
            <w:r>
              <w:rPr>
                <w:rFonts w:ascii="Arial" w:cs="Arial" w:eastAsia="Arial" w:hAnsi="Arial"/>
                <w:sz w:val="14"/>
                <w:szCs w:val="14"/>
                <w:color w:val="auto"/>
              </w:rPr>
              <w:t>81,352</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87,642</w:t>
            </w:r>
          </w:p>
        </w:tc>
        <w:tc>
          <w:tcPr>
            <w:tcW w:w="80" w:type="dxa"/>
            <w:vAlign w:val="bottom"/>
          </w:tcPr>
          <w:p>
            <w:pPr>
              <w:spacing w:after="0"/>
              <w:rPr>
                <w:sz w:val="15"/>
                <w:szCs w:val="15"/>
                <w:color w:val="auto"/>
              </w:rPr>
            </w:pPr>
          </w:p>
        </w:tc>
      </w:tr>
      <w:tr>
        <w:trPr>
          <w:trHeight w:val="20"/>
        </w:trPr>
        <w:tc>
          <w:tcPr>
            <w:tcW w:w="6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type w:val="continuous"/>
        </w:sectPr>
      </w:pPr>
    </w:p>
    <w:bookmarkStart w:id="3" w:name="page4"/>
    <w:bookmarkEnd w:id="3"/>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 AND</w:t>
      </w:r>
    </w:p>
    <w:p>
      <w:pPr>
        <w:jc w:val="center"/>
        <w:spacing w:after="0" w:line="222" w:lineRule="auto"/>
        <w:rPr>
          <w:sz w:val="20"/>
          <w:szCs w:val="20"/>
          <w:color w:val="auto"/>
        </w:rPr>
      </w:pPr>
      <w:r>
        <w:rPr>
          <w:rFonts w:ascii="Arial" w:cs="Arial" w:eastAsia="Arial" w:hAnsi="Arial"/>
          <w:sz w:val="14"/>
          <w:szCs w:val="14"/>
          <w:b w:val="1"/>
          <w:bCs w:val="1"/>
          <w:color w:val="auto"/>
        </w:rPr>
        <w:t>COMPREHENSIVE INCOME (LOSS)</w:t>
      </w:r>
    </w:p>
    <w:p>
      <w:pPr>
        <w:jc w:val="center"/>
        <w:spacing w:after="0" w:line="221" w:lineRule="auto"/>
        <w:rPr>
          <w:sz w:val="20"/>
          <w:szCs w:val="20"/>
          <w:color w:val="auto"/>
        </w:rPr>
      </w:pPr>
      <w:r>
        <w:rPr>
          <w:rFonts w:ascii="Arial" w:cs="Arial" w:eastAsia="Arial" w:hAnsi="Arial"/>
          <w:sz w:val="14"/>
          <w:szCs w:val="14"/>
          <w:b w:val="1"/>
          <w:bCs w:val="1"/>
          <w:color w:val="auto"/>
        </w:rPr>
        <w:t>(In Thousands except per share amounts)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7"/>
          </w:tcPr>
          <w:p>
            <w:pPr>
              <w:jc w:val="right"/>
              <w:ind w:right="659"/>
              <w:spacing w:after="0"/>
              <w:rPr>
                <w:sz w:val="20"/>
                <w:szCs w:val="20"/>
                <w:color w:val="auto"/>
              </w:rPr>
            </w:pPr>
            <w:r>
              <w:rPr>
                <w:rFonts w:ascii="Arial" w:cs="Arial" w:eastAsia="Arial" w:hAnsi="Arial"/>
                <w:sz w:val="14"/>
                <w:szCs w:val="14"/>
                <w:b w:val="1"/>
                <w:bCs w:val="1"/>
                <w:color w:val="auto"/>
              </w:rPr>
              <w:t>Three month periods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tcPr>
          <w:p>
            <w:pPr>
              <w:jc w:val="right"/>
              <w:ind w:right="659"/>
              <w:spacing w:after="0"/>
              <w:rPr>
                <w:sz w:val="20"/>
                <w:szCs w:val="20"/>
                <w:color w:val="auto"/>
              </w:rPr>
            </w:pPr>
            <w:r>
              <w:rPr>
                <w:rFonts w:ascii="Arial" w:cs="Arial" w:eastAsia="Arial" w:hAnsi="Arial"/>
                <w:sz w:val="14"/>
                <w:szCs w:val="14"/>
                <w:b w:val="1"/>
                <w:bCs w:val="1"/>
                <w:color w:val="auto"/>
              </w:rPr>
              <w:t>Nine month periods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September 27,</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w w:val="98"/>
              </w:rPr>
              <w:t>September 28,</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September 27,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Revenues</w:t>
            </w:r>
          </w:p>
        </w:tc>
        <w:tc>
          <w:tcPr>
            <w:tcW w:w="1060" w:type="dxa"/>
            <w:vAlign w:val="bottom"/>
            <w:gridSpan w:val="2"/>
            <w:shd w:val="clear" w:color="auto" w:fill="CCEEFF"/>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19,044</w:t>
            </w:r>
          </w:p>
        </w:tc>
        <w:tc>
          <w:tcPr>
            <w:tcW w:w="5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16,062</w:t>
            </w:r>
          </w:p>
        </w:tc>
        <w:tc>
          <w:tcPr>
            <w:tcW w:w="5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57,176</w:t>
            </w:r>
          </w:p>
        </w:tc>
        <w:tc>
          <w:tcPr>
            <w:tcW w:w="4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46,546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Cost of products sold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88"/>
              </w:rPr>
              <w:t>13,144</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39,410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4"/>
                <w:szCs w:val="14"/>
                <w:color w:val="auto"/>
              </w:rPr>
              <w:t>33,513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Gross profit</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5,900</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4,486</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17,766</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13,033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Operating expenses:</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1,224</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1,014</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3,503</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3,527</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11,037</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11,498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ind w:left="260"/>
              <w:spacing w:after="0" w:line="142" w:lineRule="exact"/>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4,727</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4,541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14,954</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1,173</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2,812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(expense) income: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financing expense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Miscellaneous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(158)</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Income (loss) from continuing operations before income taxes</w:t>
            </w: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1,178</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2,656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 tax provision</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312</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income (loss) from continuing operations</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1,048</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(326)</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rPr>
              <w:t>Loss from discontinued operations, net of tax</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income (loss)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1,048</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(326)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rPr>
              <w:t>Net (income) loss attributable to non-controlling interest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income (loss) attributable to Ultralife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(323)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comprehensive income: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(349)</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(283)</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Comprehensive income (loss) attributable to Ultralife</w:t>
            </w:r>
          </w:p>
        </w:tc>
        <w:tc>
          <w:tcPr>
            <w:tcW w:w="1060" w:type="dxa"/>
            <w:vAlign w:val="bottom"/>
            <w:gridSpan w:val="2"/>
            <w:shd w:val="clear" w:color="auto" w:fill="CCEEFF"/>
          </w:tcPr>
          <w:p>
            <w:pPr>
              <w:jc w:val="right"/>
              <w:ind w:right="73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698</w:t>
            </w: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2"/>
                <w:szCs w:val="12"/>
                <w:color w:val="auto"/>
              </w:rPr>
              <w:t>(294</w:t>
            </w:r>
            <w:r>
              <w:rPr>
                <w:rFonts w:ascii="Arial" w:cs="Arial" w:eastAsia="Arial" w:hAnsi="Arial"/>
                <w:sz w:val="20"/>
                <w:szCs w:val="20"/>
                <w:color w:val="auto"/>
                <w:vertAlign w:val="superscript"/>
              </w:rPr>
              <w:t>)</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2,084</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2"/>
                <w:szCs w:val="12"/>
                <w:color w:val="auto"/>
              </w:rPr>
              <w:t>(2,805</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7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Net income (loss) per share attributable to Ultralife common shareholders</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 basic:</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340"/>
              <w:spacing w:after="0" w:line="149" w:lineRule="exact"/>
              <w:rPr>
                <w:sz w:val="20"/>
                <w:szCs w:val="20"/>
                <w:color w:val="auto"/>
              </w:rPr>
            </w:pPr>
            <w:r>
              <w:rPr>
                <w:rFonts w:ascii="Arial" w:cs="Arial" w:eastAsia="Arial" w:hAnsi="Arial"/>
                <w:sz w:val="14"/>
                <w:szCs w:val="14"/>
                <w:color w:val="auto"/>
              </w:rPr>
              <w:t>Continuing operations</w:t>
            </w:r>
          </w:p>
        </w:tc>
        <w:tc>
          <w:tcPr>
            <w:tcW w:w="1060" w:type="dxa"/>
            <w:vAlign w:val="bottom"/>
            <w:gridSpan w:val="2"/>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5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(.02)</w:t>
            </w:r>
          </w:p>
        </w:tc>
        <w:tc>
          <w:tcPr>
            <w:tcW w:w="5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4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3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720" w:type="dxa"/>
            <w:vAlign w:val="bottom"/>
          </w:tcPr>
          <w:p>
            <w:pPr>
              <w:spacing w:after="0" w:line="126" w:lineRule="exact"/>
              <w:rPr>
                <w:sz w:val="20"/>
                <w:szCs w:val="20"/>
                <w:color w:val="auto"/>
              </w:rPr>
            </w:pPr>
            <w:r>
              <w:rPr>
                <w:rFonts w:ascii="Arial" w:cs="Arial" w:eastAsia="Arial" w:hAnsi="Arial"/>
                <w:sz w:val="14"/>
                <w:szCs w:val="14"/>
                <w:b w:val="1"/>
                <w:bCs w:val="1"/>
                <w:color w:val="auto"/>
              </w:rPr>
              <w:t>Net income per share attributable to Ultralife common shareholders –</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ind w:left="160"/>
              <w:spacing w:after="0"/>
              <w:rPr>
                <w:sz w:val="20"/>
                <w:szCs w:val="20"/>
                <w:color w:val="auto"/>
              </w:rPr>
            </w:pPr>
            <w:r>
              <w:rPr>
                <w:rFonts w:ascii="Arial" w:cs="Arial" w:eastAsia="Arial" w:hAnsi="Arial"/>
                <w:sz w:val="14"/>
                <w:szCs w:val="14"/>
                <w:b w:val="1"/>
                <w:bCs w:val="1"/>
                <w:color w:val="auto"/>
              </w:rPr>
              <w:t>diluted: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Continuing operations</w:t>
            </w:r>
          </w:p>
        </w:tc>
        <w:tc>
          <w:tcPr>
            <w:tcW w:w="1060" w:type="dxa"/>
            <w:vAlign w:val="bottom"/>
            <w:gridSpan w:val="2"/>
            <w:shd w:val="clear" w:color="auto" w:fill="CCEEFF"/>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380"/>
              <w:spacing w:after="0"/>
              <w:rPr>
                <w:sz w:val="20"/>
                <w:szCs w:val="20"/>
                <w:color w:val="auto"/>
              </w:rPr>
            </w:pPr>
            <w:r>
              <w:rPr>
                <w:rFonts w:ascii="Arial" w:cs="Arial" w:eastAsia="Arial" w:hAnsi="Arial"/>
                <w:sz w:val="14"/>
                <w:szCs w:val="14"/>
                <w:color w:val="auto"/>
              </w:rPr>
              <w:t>Discontinued operations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top w:val="single" w:sz="8" w:color="CCEEFF"/>
              <w:bottom w:val="single" w:sz="8" w:color="CCEEFF"/>
            </w:tcBorders>
            <w:shd w:val="clear" w:color="auto" w:fill="CCEEFF"/>
          </w:tcPr>
          <w:p>
            <w:pPr>
              <w:ind w:left="380"/>
              <w:spacing w:after="0" w:line="155" w:lineRule="exact"/>
              <w:rPr>
                <w:sz w:val="20"/>
                <w:szCs w:val="20"/>
                <w:color w:val="auto"/>
              </w:rPr>
            </w:pPr>
            <w:r>
              <w:rPr>
                <w:rFonts w:ascii="Arial" w:cs="Arial" w:eastAsia="Arial" w:hAnsi="Arial"/>
                <w:sz w:val="14"/>
                <w:szCs w:val="14"/>
                <w:color w:val="auto"/>
              </w:rPr>
              <w:t>Total</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Weighted average shares outstanding – basic</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15,633</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17,490</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16,503</w:t>
            </w: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4"/>
                <w:szCs w:val="14"/>
                <w:color w:val="auto"/>
              </w:rPr>
              <w:t>Potential common shares</w:t>
            </w: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4"/>
                <w:szCs w:val="14"/>
                <w:color w:val="auto"/>
              </w:rPr>
              <w:t>107</w:t>
            </w: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4"/>
                <w:szCs w:val="14"/>
                <w:color w:val="auto"/>
              </w:rPr>
              <w:t>47</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top w:val="single" w:sz="8" w:color="CCEEFF"/>
              <w:bottom w:val="single" w:sz="8" w:color="CCEEFF"/>
            </w:tcBorders>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Weighted average shares outstanding – diluted</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8"/>
              </w:rPr>
              <w:t>15,740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16,550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ULTRALIFE CORPORATION AND SUBSIDIARIES</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37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CONSOLIDATED STATEMENTS OF CASH FLOWS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3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26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Nine month periods ended</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8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2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9"/>
              </w:rPr>
              <w:t>September 28,</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27,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OPERATING ACTIVITIES:</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Net income (loss)</w:t>
            </w:r>
          </w:p>
        </w:tc>
        <w:tc>
          <w:tcPr>
            <w:tcW w:w="3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2,344</w:t>
            </w:r>
          </w:p>
        </w:tc>
        <w:tc>
          <w:tcPr>
            <w:tcW w:w="900" w:type="dxa"/>
            <w:vAlign w:val="bottom"/>
          </w:tcPr>
          <w:p>
            <w:pPr>
              <w:spacing w:after="0"/>
              <w:rPr>
                <w:sz w:val="12"/>
                <w:szCs w:val="12"/>
                <w:color w:val="auto"/>
              </w:rPr>
            </w:pPr>
          </w:p>
        </w:tc>
        <w:tc>
          <w:tcPr>
            <w:tcW w:w="340" w:type="dxa"/>
            <w:vAlign w:val="bottom"/>
            <w:gridSpan w:val="2"/>
          </w:tcPr>
          <w:p>
            <w:pPr>
              <w:jc w:val="right"/>
              <w:ind w:right="209"/>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00" w:type="dxa"/>
            <w:vAlign w:val="bottom"/>
            <w:gridSpan w:val="3"/>
            <w:shd w:val="clear" w:color="auto" w:fill="CCEEFF"/>
          </w:tcPr>
          <w:p>
            <w:pPr>
              <w:ind w:left="10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54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Adjustments to reconcile net income (loss) from continuing operations to net cash provided by operating</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40" w:type="dxa"/>
            <w:vAlign w:val="bottom"/>
          </w:tcPr>
          <w:p>
            <w:pPr>
              <w:ind w:left="320"/>
              <w:spacing w:after="0"/>
              <w:rPr>
                <w:sz w:val="20"/>
                <w:szCs w:val="20"/>
                <w:color w:val="auto"/>
              </w:rPr>
            </w:pPr>
            <w:r>
              <w:rPr>
                <w:rFonts w:ascii="Arial" w:cs="Arial" w:eastAsia="Arial" w:hAnsi="Arial"/>
                <w:sz w:val="14"/>
                <w:szCs w:val="14"/>
                <w:color w:val="auto"/>
              </w:rPr>
              <w:t>activities:</w:t>
            </w: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Depreciation and amortization of financing fees</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1,848</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380"/>
              <w:spacing w:after="0" w:line="149" w:lineRule="exact"/>
              <w:rPr>
                <w:sz w:val="20"/>
                <w:szCs w:val="20"/>
                <w:color w:val="auto"/>
              </w:rPr>
            </w:pPr>
            <w:r>
              <w:rPr>
                <w:rFonts w:ascii="Arial" w:cs="Arial" w:eastAsia="Arial" w:hAnsi="Arial"/>
                <w:sz w:val="14"/>
                <w:szCs w:val="14"/>
                <w:color w:val="auto"/>
              </w:rPr>
              <w:t>Amortization of intangible assets</w:t>
            </w: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180</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439</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400"/>
              <w:spacing w:after="0" w:line="149" w:lineRule="exact"/>
              <w:rPr>
                <w:sz w:val="20"/>
                <w:szCs w:val="20"/>
                <w:color w:val="auto"/>
              </w:rPr>
            </w:pPr>
            <w:r>
              <w:rPr>
                <w:rFonts w:ascii="Arial" w:cs="Arial" w:eastAsia="Arial" w:hAnsi="Arial"/>
                <w:sz w:val="14"/>
                <w:szCs w:val="14"/>
                <w:color w:val="auto"/>
              </w:rPr>
              <w:t>Loss on long-lived asset disposals</w:t>
            </w: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Changes in deferred income taxes</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165</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4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Accounts receivable</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500"/>
              <w:spacing w:after="0" w:line="149" w:lineRule="exact"/>
              <w:rPr>
                <w:sz w:val="20"/>
                <w:szCs w:val="20"/>
                <w:color w:val="auto"/>
              </w:rPr>
            </w:pPr>
            <w:r>
              <w:rPr>
                <w:rFonts w:ascii="Arial" w:cs="Arial" w:eastAsia="Arial" w:hAnsi="Arial"/>
                <w:sz w:val="14"/>
                <w:szCs w:val="14"/>
                <w:color w:val="auto"/>
              </w:rPr>
              <w:t>Inventories</w:t>
            </w: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2,621</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Prepaid expenses and other assets</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2"/>
        </w:trPr>
        <w:tc>
          <w:tcPr>
            <w:tcW w:w="3840" w:type="dxa"/>
            <w:vAlign w:val="bottom"/>
          </w:tcPr>
          <w:p>
            <w:pPr>
              <w:ind w:left="500"/>
              <w:spacing w:after="0"/>
              <w:rPr>
                <w:sz w:val="20"/>
                <w:szCs w:val="20"/>
                <w:color w:val="auto"/>
              </w:rPr>
            </w:pPr>
            <w:r>
              <w:rPr>
                <w:rFonts w:ascii="Arial" w:cs="Arial" w:eastAsia="Arial" w:hAnsi="Arial"/>
                <w:sz w:val="14"/>
                <w:szCs w:val="14"/>
                <w:color w:val="auto"/>
              </w:rPr>
              <w:t>Accounts payable and other liabilities</w:t>
            </w: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455</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7,428</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INVESTING ACTIVITIES:</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(1,310)</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restricted cash</w:t>
            </w:r>
          </w:p>
        </w:tc>
        <w:tc>
          <w:tcPr>
            <w:tcW w:w="3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used in investing activities</w:t>
            </w:r>
          </w:p>
        </w:tc>
        <w:tc>
          <w:tcPr>
            <w:tcW w:w="3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(1,298</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(968</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8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FINANCING ACTIVITIES:</w:t>
            </w: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to repurchase treasury stock</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(9,266)</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49"/>
        </w:trPr>
        <w:tc>
          <w:tcPr>
            <w:tcW w:w="3840" w:type="dxa"/>
            <w:vAlign w:val="bottom"/>
          </w:tcPr>
          <w:p>
            <w:pPr>
              <w:ind w:left="180"/>
              <w:spacing w:after="0" w:line="149" w:lineRule="exact"/>
              <w:rPr>
                <w:sz w:val="20"/>
                <w:szCs w:val="20"/>
                <w:color w:val="auto"/>
              </w:rPr>
            </w:pPr>
            <w:r>
              <w:rPr>
                <w:rFonts w:ascii="Arial" w:cs="Arial" w:eastAsia="Arial" w:hAnsi="Arial"/>
                <w:sz w:val="14"/>
                <w:szCs w:val="14"/>
                <w:color w:val="auto"/>
              </w:rPr>
              <w:t>Return of security deposit</w:t>
            </w: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3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used in financing activities</w:t>
            </w:r>
          </w:p>
        </w:tc>
        <w:tc>
          <w:tcPr>
            <w:tcW w:w="3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(9,189</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(578</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8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00"/>
              <w:spacing w:after="0"/>
              <w:rPr>
                <w:sz w:val="20"/>
                <w:szCs w:val="20"/>
                <w:color w:val="auto"/>
              </w:rPr>
            </w:pPr>
            <w:r>
              <w:rPr>
                <w:rFonts w:ascii="Arial" w:cs="Arial" w:eastAsia="Arial" w:hAnsi="Arial"/>
                <w:sz w:val="14"/>
                <w:szCs w:val="14"/>
                <w:color w:val="auto"/>
                <w:w w:val="95"/>
              </w:rPr>
              <w:t>Effect of exchange rate changes on cash and cash equivalents</w:t>
            </w: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(DECREASE) INCREASE IN CASH AND CASH EQUIVALENTS</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(3,126)</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48"/>
              <w:spacing w:after="0"/>
              <w:rPr>
                <w:sz w:val="20"/>
                <w:szCs w:val="20"/>
                <w:color w:val="auto"/>
              </w:rPr>
            </w:pPr>
            <w:r>
              <w:rPr>
                <w:rFonts w:ascii="Arial" w:cs="Arial" w:eastAsia="Arial" w:hAnsi="Arial"/>
                <w:sz w:val="14"/>
                <w:szCs w:val="14"/>
                <w:color w:val="auto"/>
              </w:rPr>
              <w:t>17,711</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16,489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top w:val="single" w:sz="8" w:color="CCEEFF"/>
              <w:bottom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Cash and cash equivalents, end of period</w:t>
            </w:r>
          </w:p>
        </w:tc>
        <w:tc>
          <w:tcPr>
            <w:tcW w:w="34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14,585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15,571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NON-CASH ITEMS:</w:t>
            </w:r>
          </w:p>
        </w:tc>
        <w:tc>
          <w:tcPr>
            <w:tcW w:w="3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40"/>
              <w:spacing w:after="0"/>
              <w:rPr>
                <w:sz w:val="20"/>
                <w:szCs w:val="20"/>
                <w:color w:val="auto"/>
              </w:rPr>
            </w:pPr>
            <w:r>
              <w:rPr>
                <w:rFonts w:ascii="Arial" w:cs="Arial" w:eastAsia="Arial" w:hAnsi="Arial"/>
                <w:sz w:val="14"/>
                <w:szCs w:val="14"/>
                <w:color w:val="auto"/>
              </w:rPr>
              <w:t>Construction in progress in accounts payable</w:t>
            </w:r>
          </w:p>
        </w:tc>
        <w:tc>
          <w:tcPr>
            <w:tcW w:w="37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300" w:type="dxa"/>
            <w:vAlign w:val="bottom"/>
            <w:gridSpan w:val="3"/>
          </w:tcPr>
          <w:p>
            <w:pPr>
              <w:ind w:left="108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33" w:right="239" w:bottom="1440" w:gutter="0" w:footer="0" w:header="0"/>
        </w:sectPr>
      </w:pPr>
    </w:p>
    <w:bookmarkStart w:id="5" w:name="page6"/>
    <w:bookmarkEnd w:id="5"/>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ULTRALIFE CORPORATION</w:t>
      </w:r>
    </w:p>
    <w:p>
      <w:pPr>
        <w:jc w:val="center"/>
        <w:ind w:right="20"/>
        <w:spacing w:after="0" w:line="233" w:lineRule="auto"/>
        <w:rPr>
          <w:sz w:val="20"/>
          <w:szCs w:val="20"/>
          <w:color w:val="auto"/>
        </w:rPr>
      </w:pPr>
      <w:r>
        <w:rPr>
          <w:rFonts w:ascii="Arial" w:cs="Arial" w:eastAsia="Arial" w:hAnsi="Arial"/>
          <w:sz w:val="20"/>
          <w:szCs w:val="20"/>
          <w:b w:val="1"/>
          <w:bCs w:val="1"/>
          <w:color w:val="auto"/>
        </w:rPr>
        <w:t>NOTES TO CONDENSED CONSOLIDATED FINANCIAL STATEMENTS</w:t>
      </w:r>
    </w:p>
    <w:p>
      <w:pPr>
        <w:jc w:val="center"/>
        <w:spacing w:after="0" w:line="226" w:lineRule="auto"/>
        <w:rPr>
          <w:sz w:val="20"/>
          <w:szCs w:val="20"/>
          <w:color w:val="auto"/>
        </w:rPr>
      </w:pPr>
      <w:r>
        <w:rPr>
          <w:rFonts w:ascii="Arial" w:cs="Arial" w:eastAsia="Arial" w:hAnsi="Arial"/>
          <w:sz w:val="20"/>
          <w:szCs w:val="20"/>
          <w:color w:val="auto"/>
        </w:rPr>
        <w:t>(Dollar amounts in thousands –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1.</w:t>
      </w:r>
      <w:r>
        <w:rPr>
          <w:sz w:val="20"/>
          <w:szCs w:val="20"/>
          <w:color w:val="auto"/>
        </w:rPr>
        <w:tab/>
      </w:r>
      <w:r>
        <w:rPr>
          <w:rFonts w:ascii="Arial" w:cs="Arial" w:eastAsia="Arial" w:hAnsi="Arial"/>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The accompanying unaudited Condensed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2014.</w:t>
      </w:r>
    </w:p>
    <w:p>
      <w:pPr>
        <w:spacing w:after="0" w:line="1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December 31, 2014 condensed consolidated balance sheet data was derived from audited financial statements, but does not include all disclosures required by GAAP.</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5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Our quarters end on the last Sunday of the third month in the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2.</w:t>
      </w:r>
      <w:r>
        <w:rPr>
          <w:sz w:val="20"/>
          <w:szCs w:val="20"/>
          <w:color w:val="auto"/>
        </w:rPr>
        <w:tab/>
      </w:r>
      <w:r>
        <w:rPr>
          <w:rFonts w:ascii="Arial" w:cs="Arial" w:eastAsia="Arial" w:hAnsi="Arial"/>
          <w:sz w:val="18"/>
          <w:szCs w:val="18"/>
          <w:b w:val="1"/>
          <w:bCs w:val="1"/>
          <w:i w:val="1"/>
          <w:iCs w:val="1"/>
          <w:color w:val="auto"/>
        </w:rPr>
        <w:t>SHARE REPURCHASE PROGRAM</w:t>
      </w:r>
    </w:p>
    <w:p>
      <w:pPr>
        <w:spacing w:after="0" w:line="20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was authorized to repurchase up to 1.8 million shares of its outstanding common stock over a period not to exceed twelve months. The Share Repurchase Program has been extended through April 30, 2016, and the maximum number of shares authorized to be repurchased under the program has been increased to 3.4 million shares.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repurchases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three month period ended September 27, 2015, the Company repurchased 748,582 shares under this program for a total cost (excluding fees and commissions) of $3,357.</w:t>
      </w:r>
    </w:p>
    <w:p>
      <w:pPr>
        <w:spacing w:after="0" w:line="19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During the nine month period ended September 27, 2015, the Company repurchased 2,225,437 shares under this program for a total cost (excluding fees and commissions) of $9,162.</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3" w:right="239" w:bottom="1440" w:gutter="0" w:footer="0" w:header="0"/>
        </w:sectPr>
      </w:pPr>
    </w:p>
    <w:bookmarkStart w:id="6" w:name="page7"/>
    <w:bookmarkEnd w:id="6"/>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From the inception of the Share Repurchase Program on May 1, 2014 through October 28, 2015, the Company has repurchased 2,442,191 shares for an aggregate cost (excluding fees and commissions) of $9,877. The total remaining balance of shares authorized for repurchase under the Share Repurchase Program is 957,809 shares as of October 28, 2015.</w:t>
      </w:r>
    </w:p>
    <w:p>
      <w:pPr>
        <w:spacing w:after="0" w:line="200" w:lineRule="exact"/>
        <w:rPr>
          <w:sz w:val="20"/>
          <w:szCs w:val="20"/>
          <w:color w:val="auto"/>
        </w:rPr>
      </w:pP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3.</w:t>
      </w:r>
      <w:r>
        <w:rPr>
          <w:sz w:val="20"/>
          <w:szCs w:val="20"/>
          <w:color w:val="auto"/>
        </w:rPr>
        <w:tab/>
      </w:r>
      <w:r>
        <w:rPr>
          <w:rFonts w:ascii="Arial" w:cs="Arial" w:eastAsia="Arial" w:hAnsi="Arial"/>
          <w:sz w:val="19"/>
          <w:szCs w:val="19"/>
          <w:b w:val="1"/>
          <w:bCs w:val="1"/>
          <w:i w:val="1"/>
          <w:iCs w:val="1"/>
          <w:color w:val="auto"/>
        </w:rPr>
        <w:t>INVENTORIES</w:t>
      </w:r>
    </w:p>
    <w:p>
      <w:pPr>
        <w:spacing w:after="0" w:line="20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0"/>
          <w:szCs w:val="20"/>
          <w:color w:val="auto"/>
        </w:rPr>
        <w:t>Inventories are stated at the lower of cost or market with cost determined under the first-in, first-out (FIFO) method. The composition of inventories was: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20"/>
          <w:szCs w:val="20"/>
          <w:color w:val="auto"/>
        </w:rPr>
        <w:t>Work in process</w:t>
      </w:r>
    </w:p>
    <w:p>
      <w:pPr>
        <w:ind w:left="100"/>
        <w:spacing w:after="0"/>
        <w:rPr>
          <w:sz w:val="20"/>
          <w:szCs w:val="20"/>
          <w:color w:val="auto"/>
        </w:rPr>
      </w:pPr>
      <w:r>
        <w:rPr>
          <w:rFonts w:ascii="Arial" w:cs="Arial" w:eastAsia="Arial" w:hAnsi="Arial"/>
          <w:sz w:val="20"/>
          <w:szCs w:val="20"/>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Total</w:t>
      </w:r>
    </w:p>
    <w:p>
      <w:pPr>
        <w:spacing w:after="0" w:line="200" w:lineRule="exact"/>
        <w:rPr>
          <w:sz w:val="20"/>
          <w:szCs w:val="20"/>
          <w:color w:val="auto"/>
        </w:rPr>
      </w:pPr>
    </w:p>
    <w:p>
      <w:pPr>
        <w:spacing w:after="0" w:line="29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PROPERTY, EQUIPMENT AND IMPROVEMENTS</w:t>
      </w:r>
    </w:p>
    <w:p>
      <w:pPr>
        <w:spacing w:after="0" w:line="202"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18"/>
          <w:szCs w:val="18"/>
          <w:color w:val="auto"/>
        </w:rPr>
        <w:t>Major classes of property, equipment and improvements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3"/>
          </w:tcPr>
          <w:p>
            <w:pPr>
              <w:jc w:val="center"/>
              <w:ind w:right="1060"/>
              <w:spacing w:after="0" w:line="223" w:lineRule="exact"/>
              <w:rPr>
                <w:sz w:val="20"/>
                <w:szCs w:val="20"/>
                <w:color w:val="auto"/>
              </w:rPr>
            </w:pPr>
            <w:r>
              <w:rPr>
                <w:rFonts w:ascii="Arial" w:cs="Arial" w:eastAsia="Arial" w:hAnsi="Arial"/>
                <w:sz w:val="20"/>
                <w:szCs w:val="20"/>
                <w:b w:val="1"/>
                <w:bCs w:val="1"/>
                <w:color w:val="auto"/>
                <w:w w:val="89"/>
              </w:rPr>
              <w:t>September 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1"/>
              <w:spacing w:after="0" w:line="223" w:lineRule="exact"/>
              <w:rPr>
                <w:sz w:val="20"/>
                <w:szCs w:val="20"/>
                <w:color w:val="auto"/>
              </w:rPr>
            </w:pPr>
            <w:r>
              <w:rPr>
                <w:rFonts w:ascii="Arial" w:cs="Arial" w:eastAsia="Arial" w:hAnsi="Arial"/>
                <w:sz w:val="20"/>
                <w:szCs w:val="20"/>
                <w:b w:val="1"/>
                <w:bCs w:val="1"/>
                <w:color w:val="auto"/>
                <w:w w:val="90"/>
              </w:rPr>
              <w:t>December 31,</w:t>
            </w:r>
          </w:p>
        </w:tc>
        <w:tc>
          <w:tcPr>
            <w:tcW w:w="10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2015</w:t>
            </w:r>
          </w:p>
        </w:tc>
        <w:tc>
          <w:tcPr>
            <w:tcW w:w="120" w:type="dxa"/>
            <w:vAlign w:val="bottom"/>
            <w:tcBorders>
              <w:bottom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2014</w:t>
            </w:r>
          </w:p>
        </w:tc>
        <w:tc>
          <w:tcPr>
            <w:tcW w:w="100" w:type="dxa"/>
            <w:vAlign w:val="bottom"/>
            <w:tcBorders>
              <w:bottom w:val="single" w:sz="8" w:color="auto"/>
            </w:tcBorders>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line="207" w:lineRule="exact"/>
              <w:rPr>
                <w:sz w:val="20"/>
                <w:szCs w:val="20"/>
                <w:color w:val="auto"/>
              </w:rPr>
            </w:pPr>
            <w:r>
              <w:rPr>
                <w:rFonts w:ascii="Arial" w:cs="Arial" w:eastAsia="Arial" w:hAnsi="Arial"/>
                <w:sz w:val="20"/>
                <w:szCs w:val="20"/>
                <w:color w:val="auto"/>
              </w:rPr>
              <w:t>12,601</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207" w:lineRule="exact"/>
              <w:rPr>
                <w:sz w:val="20"/>
                <w:szCs w:val="20"/>
                <w:color w:val="auto"/>
              </w:rPr>
            </w:pPr>
            <w:r>
              <w:rPr>
                <w:rFonts w:ascii="Arial" w:cs="Arial" w:eastAsia="Arial" w:hAnsi="Arial"/>
                <w:sz w:val="20"/>
                <w:szCs w:val="20"/>
                <w:color w:val="auto"/>
              </w:rPr>
              <w:t>15,100</w:t>
            </w: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1,874</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1,489</w:t>
            </w:r>
          </w:p>
        </w:tc>
        <w:tc>
          <w:tcPr>
            <w:tcW w:w="10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8,877</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9,497</w:t>
            </w: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23,352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26,086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4" w:lineRule="exact"/>
        <w:rPr>
          <w:sz w:val="20"/>
          <w:szCs w:val="20"/>
          <w:color w:val="auto"/>
        </w:rPr>
      </w:pPr>
    </w:p>
    <w:p>
      <w:pPr>
        <w:sectPr>
          <w:pgSz w:w="11900" w:h="16838" w:orient="portrait"/>
          <w:cols w:equalWidth="0" w:num="2">
            <w:col w:w="6960" w:space="360"/>
            <w:col w:w="410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Arial" w:cs="Arial" w:eastAsia="Arial" w:hAnsi="Arial"/>
                <w:sz w:val="20"/>
                <w:szCs w:val="20"/>
                <w:b w:val="1"/>
                <w:bCs w:val="1"/>
                <w:color w:val="auto"/>
                <w:w w:val="89"/>
              </w:rPr>
              <w:t>September 27,</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ind w:left="22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20"/>
                <w:szCs w:val="20"/>
                <w:b w:val="1"/>
                <w:bCs w:val="1"/>
                <w:color w:val="auto"/>
              </w:rPr>
              <w:t>2015</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402"/>
              <w:spacing w:after="0"/>
              <w:rPr>
                <w:sz w:val="20"/>
                <w:szCs w:val="20"/>
                <w:color w:val="auto"/>
              </w:rPr>
            </w:pPr>
            <w:r>
              <w:rPr>
                <w:rFonts w:ascii="Arial" w:cs="Arial" w:eastAsia="Arial" w:hAnsi="Arial"/>
                <w:sz w:val="20"/>
                <w:szCs w:val="20"/>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Land</w:t>
            </w:r>
          </w:p>
        </w:tc>
        <w:tc>
          <w:tcPr>
            <w:tcW w:w="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ind w:right="521"/>
              <w:spacing w:after="0" w:line="223" w:lineRule="exact"/>
              <w:rPr>
                <w:sz w:val="20"/>
                <w:szCs w:val="20"/>
                <w:color w:val="auto"/>
              </w:rPr>
            </w:pPr>
            <w:r>
              <w:rPr>
                <w:rFonts w:ascii="Arial" w:cs="Arial" w:eastAsia="Arial" w:hAnsi="Arial"/>
                <w:sz w:val="20"/>
                <w:szCs w:val="20"/>
                <w:color w:val="auto"/>
                <w:w w:val="89"/>
              </w:rPr>
              <w:t>$</w:t>
            </w:r>
          </w:p>
        </w:tc>
        <w:tc>
          <w:tcPr>
            <w:tcW w:w="820" w:type="dxa"/>
            <w:vAlign w:val="bottom"/>
            <w:tcBorders>
              <w:top w:val="single" w:sz="8" w:color="auto"/>
            </w:tcBorders>
            <w:gridSpan w:val="3"/>
            <w:shd w:val="clear" w:color="auto" w:fill="CCEEFF"/>
          </w:tcPr>
          <w:p>
            <w:pPr>
              <w:jc w:val="right"/>
              <w:ind w:right="40"/>
              <w:spacing w:after="0" w:line="223" w:lineRule="exact"/>
              <w:rPr>
                <w:sz w:val="20"/>
                <w:szCs w:val="20"/>
                <w:color w:val="auto"/>
              </w:rPr>
            </w:pPr>
            <w:r>
              <w:rPr>
                <w:rFonts w:ascii="Arial" w:cs="Arial" w:eastAsia="Arial" w:hAnsi="Arial"/>
                <w:sz w:val="20"/>
                <w:szCs w:val="20"/>
                <w:color w:val="auto"/>
              </w:rPr>
              <w:t>123</w:t>
            </w: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ind w:right="21"/>
              <w:spacing w:after="0" w:line="223" w:lineRule="exact"/>
              <w:rPr>
                <w:sz w:val="20"/>
                <w:szCs w:val="20"/>
                <w:color w:val="auto"/>
              </w:rPr>
            </w:pPr>
            <w:r>
              <w:rPr>
                <w:rFonts w:ascii="Arial" w:cs="Arial" w:eastAsia="Arial" w:hAnsi="Arial"/>
                <w:sz w:val="20"/>
                <w:szCs w:val="20"/>
                <w:color w:val="auto"/>
                <w:w w:val="89"/>
              </w:rPr>
              <w:t>$</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123</w:t>
            </w:r>
          </w:p>
        </w:tc>
        <w:tc>
          <w:tcPr>
            <w:tcW w:w="0" w:type="dxa"/>
            <w:vAlign w:val="bottom"/>
          </w:tcPr>
          <w:p>
            <w:pPr>
              <w:spacing w:after="0"/>
              <w:rPr>
                <w:sz w:val="1"/>
                <w:szCs w:val="1"/>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Buildings and leasehold improvements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20"/>
                <w:szCs w:val="20"/>
                <w:color w:val="auto"/>
              </w:rPr>
              <w:t>7,441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7,437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Machinery and equipment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49,357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48,054</w:t>
            </w:r>
          </w:p>
        </w:tc>
        <w:tc>
          <w:tcPr>
            <w:tcW w:w="0" w:type="dxa"/>
            <w:vAlign w:val="bottom"/>
          </w:tcPr>
          <w:p>
            <w:pPr>
              <w:spacing w:after="0"/>
              <w:rPr>
                <w:sz w:val="1"/>
                <w:szCs w:val="1"/>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Furniture and fixtures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20"/>
                <w:szCs w:val="20"/>
                <w:color w:val="auto"/>
              </w:rPr>
              <w:t>1,976</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1,811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Computer hardware and software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4,562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4,452</w:t>
            </w:r>
          </w:p>
        </w:tc>
        <w:tc>
          <w:tcPr>
            <w:tcW w:w="0" w:type="dxa"/>
            <w:vAlign w:val="bottom"/>
          </w:tcPr>
          <w:p>
            <w:pPr>
              <w:spacing w:after="0"/>
              <w:rPr>
                <w:sz w:val="1"/>
                <w:szCs w:val="1"/>
                <w:color w:val="auto"/>
              </w:rPr>
            </w:pPr>
          </w:p>
        </w:tc>
      </w:tr>
      <w:tr>
        <w:trPr>
          <w:trHeight w:val="243"/>
        </w:trPr>
        <w:tc>
          <w:tcPr>
            <w:tcW w:w="4240" w:type="dxa"/>
            <w:vAlign w:val="bottom"/>
          </w:tcPr>
          <w:p>
            <w:pPr>
              <w:ind w:left="100"/>
              <w:spacing w:after="0"/>
              <w:rPr>
                <w:sz w:val="20"/>
                <w:szCs w:val="20"/>
                <w:color w:val="auto"/>
              </w:rPr>
            </w:pPr>
            <w:r>
              <w:rPr>
                <w:rFonts w:ascii="Arial" w:cs="Arial" w:eastAsia="Arial" w:hAnsi="Arial"/>
                <w:sz w:val="20"/>
                <w:szCs w:val="20"/>
                <w:color w:val="auto"/>
              </w:rPr>
              <w:t>Construction in process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20"/>
                <w:szCs w:val="20"/>
                <w:color w:val="auto"/>
              </w:rPr>
              <w:t>679</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1,351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64,138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63,228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00"/>
              <w:spacing w:after="0"/>
              <w:rPr>
                <w:sz w:val="20"/>
                <w:szCs w:val="20"/>
                <w:color w:val="auto"/>
              </w:rPr>
            </w:pPr>
            <w:r>
              <w:rPr>
                <w:rFonts w:ascii="Arial" w:cs="Arial" w:eastAsia="Arial" w:hAnsi="Arial"/>
                <w:sz w:val="20"/>
                <w:szCs w:val="20"/>
                <w:color w:val="auto"/>
              </w:rPr>
              <w:t>Less-accumulated depreciation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(54,947)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(53,416)</w:t>
            </w:r>
          </w:p>
        </w:tc>
        <w:tc>
          <w:tcPr>
            <w:tcW w:w="0" w:type="dxa"/>
            <w:vAlign w:val="bottom"/>
          </w:tcPr>
          <w:p>
            <w:pPr>
              <w:spacing w:after="0"/>
              <w:rPr>
                <w:sz w:val="1"/>
                <w:szCs w:val="1"/>
                <w:color w:val="auto"/>
              </w:rPr>
            </w:pPr>
          </w:p>
        </w:tc>
      </w:tr>
      <w:tr>
        <w:trPr>
          <w:trHeight w:val="237"/>
        </w:trPr>
        <w:tc>
          <w:tcPr>
            <w:tcW w:w="4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Net property, equipment and improvements</w:t>
            </w: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center"/>
              <w:ind w:right="521"/>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9,191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center"/>
              <w:ind w:right="21"/>
              <w:spacing w:after="0"/>
              <w:rPr>
                <w:sz w:val="20"/>
                <w:szCs w:val="20"/>
                <w:color w:val="auto"/>
              </w:rPr>
            </w:pPr>
            <w:r>
              <w:rPr>
                <w:rFonts w:ascii="Arial" w:cs="Arial" w:eastAsia="Arial" w:hAnsi="Arial"/>
                <w:sz w:val="20"/>
                <w:szCs w:val="20"/>
                <w:color w:val="auto"/>
                <w:w w:val="89"/>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gridSpan w:val="5"/>
            <w:vMerge w:val="restart"/>
          </w:tcPr>
          <w:p>
            <w:pPr>
              <w:ind w:left="260"/>
              <w:spacing w:after="0"/>
              <w:rPr>
                <w:sz w:val="20"/>
                <w:szCs w:val="20"/>
                <w:color w:val="auto"/>
              </w:rPr>
            </w:pPr>
            <w:r>
              <w:rPr>
                <w:rFonts w:ascii="Arial" w:cs="Arial" w:eastAsia="Arial" w:hAnsi="Arial"/>
                <w:sz w:val="20"/>
                <w:szCs w:val="20"/>
                <w:color w:val="auto"/>
                <w:w w:val="88"/>
              </w:rPr>
              <w:t>Depreciation expense for property, equipment and improvements was as follows:</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0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4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89"/>
              </w:rPr>
              <w:t>Nine-month periods ended</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
              <w:spacing w:after="0"/>
              <w:rPr>
                <w:sz w:val="20"/>
                <w:szCs w:val="20"/>
                <w:color w:val="auto"/>
              </w:rPr>
            </w:pPr>
            <w:r>
              <w:rPr>
                <w:rFonts w:ascii="Arial" w:cs="Arial" w:eastAsia="Arial" w:hAnsi="Arial"/>
                <w:sz w:val="18"/>
                <w:szCs w:val="18"/>
                <w:b w:val="1"/>
                <w:bCs w:val="1"/>
                <w:color w:val="auto"/>
                <w:w w:val="89"/>
              </w:rPr>
              <w:t>September 28,</w:t>
            </w:r>
          </w:p>
        </w:tc>
        <w:tc>
          <w:tcPr>
            <w:tcW w:w="340" w:type="dxa"/>
            <w:vAlign w:val="bottom"/>
          </w:tcPr>
          <w:p>
            <w:pPr>
              <w:spacing w:after="0"/>
              <w:rPr>
                <w:sz w:val="19"/>
                <w:szCs w:val="19"/>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September 28,</w:t>
            </w:r>
          </w:p>
        </w:tc>
        <w:tc>
          <w:tcPr>
            <w:tcW w:w="0" w:type="dxa"/>
            <w:vAlign w:val="bottom"/>
          </w:tcPr>
          <w:p>
            <w:pPr>
              <w:spacing w:after="0"/>
              <w:rPr>
                <w:sz w:val="1"/>
                <w:szCs w:val="1"/>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18"/>
                <w:szCs w:val="18"/>
                <w:b w:val="1"/>
                <w:bCs w:val="1"/>
                <w:color w:val="auto"/>
                <w:w w:val="89"/>
              </w:rPr>
              <w:t>2014</w:t>
            </w: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Depreciation expense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ind w:right="28"/>
              <w:spacing w:after="0" w:line="223" w:lineRule="exact"/>
              <w:rPr>
                <w:sz w:val="20"/>
                <w:szCs w:val="20"/>
                <w:color w:val="auto"/>
              </w:rPr>
            </w:pPr>
            <w:r>
              <w:rPr>
                <w:rFonts w:ascii="Arial" w:cs="Arial" w:eastAsia="Arial" w:hAnsi="Arial"/>
                <w:sz w:val="20"/>
                <w:szCs w:val="20"/>
                <w:color w:val="auto"/>
              </w:rPr>
              <w:t>617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709</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45"/>
              <w:spacing w:after="0" w:line="223" w:lineRule="exact"/>
              <w:rPr>
                <w:sz w:val="20"/>
                <w:szCs w:val="20"/>
                <w:color w:val="auto"/>
              </w:rPr>
            </w:pPr>
            <w:r>
              <w:rPr>
                <w:rFonts w:ascii="Arial" w:cs="Arial" w:eastAsia="Arial" w:hAnsi="Arial"/>
                <w:sz w:val="20"/>
                <w:szCs w:val="20"/>
                <w:color w:val="auto"/>
                <w:w w:val="71"/>
              </w:rPr>
              <w:t>$</w:t>
            </w:r>
          </w:p>
        </w:tc>
        <w:tc>
          <w:tcPr>
            <w:tcW w:w="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20"/>
                <w:szCs w:val="20"/>
                <w:color w:val="auto"/>
              </w:rPr>
              <w:t>1,795</w:t>
            </w:r>
          </w:p>
        </w:tc>
        <w:tc>
          <w:tcPr>
            <w:tcW w:w="32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124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2,174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left="340" w:right="5500" w:hanging="332"/>
        <w:spacing w:after="0" w:line="450" w:lineRule="auto"/>
        <w:tabs>
          <w:tab w:leader="none" w:pos="340" w:val="left"/>
        </w:tabs>
        <w:numPr>
          <w:ilvl w:val="0"/>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GOODWILL, INTANGIBLE ASSETS AND LONG TERM ASSETS </w:t>
      </w:r>
      <w:r>
        <w:rPr>
          <w:rFonts w:ascii="Arial" w:cs="Arial" w:eastAsia="Arial" w:hAnsi="Arial"/>
          <w:sz w:val="20"/>
          <w:szCs w:val="20"/>
          <w:color w:val="auto"/>
        </w:rPr>
        <w:t>a. Goodwill</w:t>
      </w:r>
    </w:p>
    <w:p>
      <w:pPr>
        <w:spacing w:after="0" w:line="2" w:lineRule="exact"/>
        <w:rPr>
          <w:sz w:val="20"/>
          <w:szCs w:val="20"/>
          <w:color w:val="auto"/>
        </w:rPr>
      </w:pPr>
    </w:p>
    <w:p>
      <w:pPr>
        <w:ind w:firstLine="243"/>
        <w:spacing w:after="0" w:line="260" w:lineRule="auto"/>
        <w:rPr>
          <w:sz w:val="20"/>
          <w:szCs w:val="20"/>
          <w:color w:val="auto"/>
        </w:rPr>
      </w:pPr>
      <w:r>
        <w:rPr>
          <w:rFonts w:ascii="Arial" w:cs="Arial" w:eastAsia="Arial" w:hAnsi="Arial"/>
          <w:sz w:val="20"/>
          <w:szCs w:val="20"/>
          <w:color w:val="auto"/>
        </w:rPr>
        <w:t>The following table summarizes the goodwill activity by segment for the nine-month periods ended September 27, 2015 and September 28, 2014:</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33"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5"/>
          </w:tcPr>
          <w:p>
            <w:pPr>
              <w:jc w:val="cente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gridSpan w:val="7"/>
          </w:tcPr>
          <w:p>
            <w:pPr>
              <w:jc w:val="center"/>
              <w:ind w:right="280"/>
              <w:spacing w:after="0"/>
              <w:rPr>
                <w:sz w:val="20"/>
                <w:szCs w:val="20"/>
                <w:color w:val="auto"/>
              </w:rPr>
            </w:pPr>
            <w:r>
              <w:rPr>
                <w:rFonts w:ascii="Arial" w:cs="Arial" w:eastAsia="Arial" w:hAnsi="Arial"/>
                <w:sz w:val="20"/>
                <w:szCs w:val="20"/>
                <w:b w:val="1"/>
                <w:bCs w:val="1"/>
                <w:color w:val="auto"/>
                <w:w w:val="96"/>
              </w:rPr>
              <w:t>Battery &amp;</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7"/>
          </w:tcPr>
          <w:p>
            <w:pPr>
              <w:jc w:val="center"/>
              <w:ind w:right="680"/>
              <w:spacing w:after="0"/>
              <w:rPr>
                <w:sz w:val="20"/>
                <w:szCs w:val="20"/>
                <w:color w:val="auto"/>
              </w:rPr>
            </w:pPr>
            <w:r>
              <w:rPr>
                <w:rFonts w:ascii="Arial" w:cs="Arial" w:eastAsia="Arial" w:hAnsi="Arial"/>
                <w:sz w:val="20"/>
                <w:szCs w:val="20"/>
                <w:b w:val="1"/>
                <w:bCs w:val="1"/>
                <w:color w:val="auto"/>
                <w:w w:val="92"/>
              </w:rPr>
              <w:t>Communi-</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5"/>
          </w:tcPr>
          <w:p>
            <w:pPr>
              <w:jc w:val="center"/>
              <w:ind w:right="660"/>
              <w:spacing w:after="0"/>
              <w:rPr>
                <w:sz w:val="20"/>
                <w:szCs w:val="20"/>
                <w:color w:val="auto"/>
              </w:rPr>
            </w:pPr>
            <w:r>
              <w:rPr>
                <w:rFonts w:ascii="Arial" w:cs="Arial" w:eastAsia="Arial" w:hAnsi="Arial"/>
                <w:sz w:val="20"/>
                <w:szCs w:val="20"/>
                <w:b w:val="1"/>
                <w:bCs w:val="1"/>
                <w:color w:val="auto"/>
                <w:w w:val="91"/>
              </w:rPr>
              <w:t>Energy</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center"/>
              <w:ind w:right="680"/>
              <w:spacing w:after="0"/>
              <w:rPr>
                <w:sz w:val="20"/>
                <w:szCs w:val="20"/>
                <w:color w:val="auto"/>
              </w:rPr>
            </w:pPr>
            <w:r>
              <w:rPr>
                <w:rFonts w:ascii="Arial" w:cs="Arial" w:eastAsia="Arial" w:hAnsi="Arial"/>
                <w:sz w:val="20"/>
                <w:szCs w:val="20"/>
                <w:b w:val="1"/>
                <w:bCs w:val="1"/>
                <w:color w:val="auto"/>
                <w:w w:val="85"/>
              </w:rPr>
              <w:t>cations</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5"/>
          </w:tcPr>
          <w:p>
            <w:pPr>
              <w:jc w:val="center"/>
              <w:ind w:right="660"/>
              <w:spacing w:after="0"/>
              <w:rPr>
                <w:sz w:val="20"/>
                <w:szCs w:val="20"/>
                <w:color w:val="auto"/>
              </w:rPr>
            </w:pPr>
            <w:r>
              <w:rPr>
                <w:rFonts w:ascii="Arial" w:cs="Arial" w:eastAsia="Arial" w:hAnsi="Arial"/>
                <w:sz w:val="20"/>
                <w:szCs w:val="20"/>
                <w:b w:val="1"/>
                <w:bCs w:val="1"/>
                <w:color w:val="auto"/>
                <w:w w:val="85"/>
              </w:rPr>
              <w:t>Products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center"/>
              <w:ind w:right="680"/>
              <w:spacing w:after="0"/>
              <w:rPr>
                <w:sz w:val="20"/>
                <w:szCs w:val="20"/>
                <w:color w:val="auto"/>
              </w:rPr>
            </w:pPr>
            <w:r>
              <w:rPr>
                <w:rFonts w:ascii="Arial" w:cs="Arial" w:eastAsia="Arial" w:hAnsi="Arial"/>
                <w:sz w:val="20"/>
                <w:szCs w:val="20"/>
                <w:b w:val="1"/>
                <w:bCs w:val="1"/>
                <w:color w:val="auto"/>
                <w:w w:val="82"/>
              </w:rPr>
              <w:t>Systems</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ind w:left="30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Balance - December 31, 2013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4,926</w:t>
            </w:r>
          </w:p>
        </w:tc>
        <w:tc>
          <w:tcPr>
            <w:tcW w:w="2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11,493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16,419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40"/>
              <w:spacing w:after="0"/>
              <w:rPr>
                <w:sz w:val="20"/>
                <w:szCs w:val="20"/>
                <w:color w:val="auto"/>
              </w:rPr>
            </w:pPr>
            <w:r>
              <w:rPr>
                <w:rFonts w:ascii="Arial" w:cs="Arial" w:eastAsia="Arial" w:hAnsi="Arial"/>
                <w:sz w:val="20"/>
                <w:szCs w:val="20"/>
                <w:color w:val="auto"/>
              </w:rPr>
              <w:t>Effect of foreign currency translation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20"/>
                <w:szCs w:val="20"/>
                <w:color w:val="auto"/>
              </w:rPr>
              <w:t>(12)</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5"/>
          </w:tcPr>
          <w:p>
            <w:pPr>
              <w:ind w:left="4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 September 28, 2014</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spacing w:after="0" w:line="223" w:lineRule="exact"/>
              <w:rPr>
                <w:sz w:val="20"/>
                <w:szCs w:val="20"/>
                <w:color w:val="auto"/>
              </w:rPr>
            </w:pPr>
            <w:r>
              <w:rPr>
                <w:rFonts w:ascii="Arial" w:cs="Arial" w:eastAsia="Arial" w:hAnsi="Arial"/>
                <w:sz w:val="20"/>
                <w:szCs w:val="20"/>
                <w:color w:val="auto"/>
              </w:rPr>
              <w:t>4,914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11,493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16,407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40"/>
              <w:spacing w:after="0"/>
              <w:rPr>
                <w:sz w:val="20"/>
                <w:szCs w:val="20"/>
                <w:color w:val="auto"/>
              </w:rPr>
            </w:pPr>
            <w:r>
              <w:rPr>
                <w:rFonts w:ascii="Arial" w:cs="Arial" w:eastAsia="Arial" w:hAnsi="Arial"/>
                <w:sz w:val="20"/>
                <w:szCs w:val="20"/>
                <w:color w:val="auto"/>
              </w:rPr>
              <w:t>Effect of foreign currency translation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ind w:left="24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5"/>
          </w:tcPr>
          <w:p>
            <w:pPr>
              <w:ind w:left="4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ind w:left="8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 December 31, 2014</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spacing w:after="0" w:line="223" w:lineRule="exact"/>
              <w:rPr>
                <w:sz w:val="20"/>
                <w:szCs w:val="20"/>
                <w:color w:val="auto"/>
              </w:rPr>
            </w:pPr>
            <w:r>
              <w:rPr>
                <w:rFonts w:ascii="Arial" w:cs="Arial" w:eastAsia="Arial" w:hAnsi="Arial"/>
                <w:sz w:val="20"/>
                <w:szCs w:val="20"/>
                <w:color w:val="auto"/>
              </w:rPr>
              <w:t>4,914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11,493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16,407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40"/>
              <w:spacing w:after="0"/>
              <w:rPr>
                <w:sz w:val="20"/>
                <w:szCs w:val="20"/>
                <w:color w:val="auto"/>
              </w:rPr>
            </w:pPr>
            <w:r>
              <w:rPr>
                <w:rFonts w:ascii="Arial" w:cs="Arial" w:eastAsia="Arial" w:hAnsi="Arial"/>
                <w:sz w:val="20"/>
                <w:szCs w:val="20"/>
                <w:color w:val="auto"/>
              </w:rPr>
              <w:t>Effect of foreign currency translation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20"/>
                <w:szCs w:val="20"/>
                <w:color w:val="auto"/>
              </w:rPr>
              <w:t>(80)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5"/>
          </w:tcPr>
          <w:p>
            <w:pPr>
              <w:ind w:left="4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Balance – September 27, 2015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20"/>
                <w:szCs w:val="20"/>
                <w:color w:val="auto"/>
              </w:rPr>
              <w:t>4,834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71"/>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16,327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20"/>
              <w:spacing w:after="0"/>
              <w:rPr>
                <w:sz w:val="20"/>
                <w:szCs w:val="20"/>
                <w:color w:val="auto"/>
              </w:rPr>
            </w:pPr>
            <w:r>
              <w:rPr>
                <w:rFonts w:ascii="Arial" w:cs="Arial" w:eastAsia="Arial" w:hAnsi="Arial"/>
                <w:sz w:val="20"/>
                <w:szCs w:val="20"/>
                <w:color w:val="auto"/>
              </w:rPr>
              <w:t>b. Intangible Assets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80" w:type="dxa"/>
            <w:vAlign w:val="bottom"/>
          </w:tcPr>
          <w:p>
            <w:pPr>
              <w:ind w:left="240"/>
              <w:spacing w:after="0"/>
              <w:rPr>
                <w:sz w:val="20"/>
                <w:szCs w:val="20"/>
                <w:color w:val="auto"/>
              </w:rPr>
            </w:pPr>
            <w:r>
              <w:rPr>
                <w:rFonts w:ascii="Arial" w:cs="Arial" w:eastAsia="Arial" w:hAnsi="Arial"/>
                <w:sz w:val="20"/>
                <w:szCs w:val="20"/>
                <w:color w:val="auto"/>
              </w:rPr>
              <w:t>The composition of intangible assets was: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0"/>
          </w:tcPr>
          <w:p>
            <w:pPr>
              <w:ind w:left="80"/>
              <w:spacing w:after="0"/>
              <w:rPr>
                <w:sz w:val="20"/>
                <w:szCs w:val="20"/>
                <w:color w:val="auto"/>
              </w:rPr>
            </w:pPr>
            <w:r>
              <w:rPr>
                <w:rFonts w:ascii="Arial" w:cs="Arial" w:eastAsia="Arial" w:hAnsi="Arial"/>
                <w:sz w:val="20"/>
                <w:szCs w:val="20"/>
                <w:b w:val="1"/>
                <w:bCs w:val="1"/>
                <w:color w:val="auto"/>
              </w:rPr>
              <w:t>at September 27, 2015</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7"/>
          </w:tcPr>
          <w:p>
            <w:pPr>
              <w:jc w:val="center"/>
              <w:ind w:right="680"/>
              <w:spacing w:after="0" w:line="214" w:lineRule="exact"/>
              <w:rPr>
                <w:sz w:val="20"/>
                <w:szCs w:val="20"/>
                <w:color w:val="auto"/>
              </w:rPr>
            </w:pPr>
            <w:r>
              <w:rPr>
                <w:rFonts w:ascii="Arial" w:cs="Arial" w:eastAsia="Arial" w:hAnsi="Arial"/>
                <w:sz w:val="20"/>
                <w:szCs w:val="20"/>
                <w:b w:val="1"/>
                <w:bCs w:val="1"/>
                <w:color w:val="auto"/>
                <w:w w:val="89"/>
              </w:rPr>
              <w:t>Accumulated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jc w:val="center"/>
              <w:ind w:right="760"/>
              <w:spacing w:after="0"/>
              <w:rPr>
                <w:sz w:val="20"/>
                <w:szCs w:val="20"/>
                <w:color w:val="auto"/>
              </w:rPr>
            </w:pPr>
            <w:r>
              <w:rPr>
                <w:rFonts w:ascii="Arial" w:cs="Arial" w:eastAsia="Arial" w:hAnsi="Arial"/>
                <w:sz w:val="20"/>
                <w:szCs w:val="20"/>
                <w:b w:val="1"/>
                <w:bCs w:val="1"/>
                <w:color w:val="auto"/>
                <w:w w:val="85"/>
              </w:rPr>
              <w:t>Cost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center"/>
              <w:ind w:right="680"/>
              <w:spacing w:after="0"/>
              <w:rPr>
                <w:sz w:val="20"/>
                <w:szCs w:val="20"/>
                <w:color w:val="auto"/>
              </w:rPr>
            </w:pPr>
            <w:r>
              <w:rPr>
                <w:rFonts w:ascii="Arial" w:cs="Arial" w:eastAsia="Arial" w:hAnsi="Arial"/>
                <w:sz w:val="20"/>
                <w:szCs w:val="20"/>
                <w:b w:val="1"/>
                <w:bCs w:val="1"/>
                <w:color w:val="auto"/>
                <w:w w:val="90"/>
              </w:rPr>
              <w:t>amortization</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ind w:left="360"/>
              <w:spacing w:after="0"/>
              <w:rPr>
                <w:sz w:val="20"/>
                <w:szCs w:val="20"/>
                <w:color w:val="auto"/>
              </w:rPr>
            </w:pPr>
            <w:r>
              <w:rPr>
                <w:rFonts w:ascii="Arial" w:cs="Arial" w:eastAsia="Arial" w:hAnsi="Arial"/>
                <w:sz w:val="20"/>
                <w:szCs w:val="20"/>
                <w:b w:val="1"/>
                <w:bCs w:val="1"/>
                <w:color w:val="auto"/>
              </w:rPr>
              <w:t>Net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Trademarks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3,563</w:t>
            </w:r>
          </w:p>
        </w:tc>
        <w:tc>
          <w:tcPr>
            <w:tcW w:w="2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3,563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Patents and technology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20"/>
                <w:szCs w:val="20"/>
                <w:color w:val="auto"/>
              </w:rPr>
              <w:t>4,491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(4,193)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20"/>
                <w:szCs w:val="20"/>
                <w:color w:val="auto"/>
              </w:rPr>
              <w:t>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Customer relationships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3,991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(3,715)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Distributor relationships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377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(359)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intangible assets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20"/>
                <w:szCs w:val="20"/>
                <w:color w:val="auto"/>
              </w:rPr>
              <w:t>12,422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71"/>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(8,267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4,155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0"/>
          </w:tcPr>
          <w:p>
            <w:pPr>
              <w:ind w:left="160"/>
              <w:spacing w:after="0"/>
              <w:rPr>
                <w:sz w:val="20"/>
                <w:szCs w:val="20"/>
                <w:color w:val="auto"/>
              </w:rPr>
            </w:pPr>
            <w:r>
              <w:rPr>
                <w:rFonts w:ascii="Arial" w:cs="Arial" w:eastAsia="Arial" w:hAnsi="Arial"/>
                <w:sz w:val="20"/>
                <w:szCs w:val="20"/>
                <w:b w:val="1"/>
                <w:bCs w:val="1"/>
                <w:color w:val="auto"/>
              </w:rPr>
              <w:t>at December 31, 2014</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7"/>
          </w:tcPr>
          <w:p>
            <w:pPr>
              <w:spacing w:after="0" w:line="205" w:lineRule="exact"/>
              <w:rPr>
                <w:sz w:val="20"/>
                <w:szCs w:val="20"/>
                <w:color w:val="auto"/>
              </w:rPr>
            </w:pPr>
            <w:r>
              <w:rPr>
                <w:rFonts w:ascii="Arial" w:cs="Arial" w:eastAsia="Arial" w:hAnsi="Arial"/>
                <w:sz w:val="20"/>
                <w:szCs w:val="20"/>
                <w:b w:val="1"/>
                <w:bCs w:val="1"/>
                <w:color w:val="auto"/>
              </w:rPr>
              <w:t>Accumulated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gridSpan w:val="3"/>
          </w:tcPr>
          <w:p>
            <w:pPr>
              <w:ind w:left="160"/>
              <w:spacing w:after="0"/>
              <w:rPr>
                <w:sz w:val="20"/>
                <w:szCs w:val="20"/>
                <w:color w:val="auto"/>
              </w:rPr>
            </w:pPr>
            <w:r>
              <w:rPr>
                <w:rFonts w:ascii="Arial" w:cs="Arial" w:eastAsia="Arial" w:hAnsi="Arial"/>
                <w:sz w:val="20"/>
                <w:szCs w:val="20"/>
                <w:b w:val="1"/>
                <w:bCs w:val="1"/>
                <w:color w:val="auto"/>
              </w:rPr>
              <w:t>Cost</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7"/>
          </w:tcPr>
          <w:p>
            <w:pPr>
              <w:ind w:left="20"/>
              <w:spacing w:after="0"/>
              <w:rPr>
                <w:sz w:val="20"/>
                <w:szCs w:val="20"/>
                <w:color w:val="auto"/>
              </w:rPr>
            </w:pPr>
            <w:r>
              <w:rPr>
                <w:rFonts w:ascii="Arial" w:cs="Arial" w:eastAsia="Arial" w:hAnsi="Arial"/>
                <w:sz w:val="20"/>
                <w:szCs w:val="20"/>
                <w:b w:val="1"/>
                <w:bCs w:val="1"/>
                <w:color w:val="auto"/>
              </w:rPr>
              <w:t>amortization</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3"/>
          </w:tcPr>
          <w:p>
            <w:pPr>
              <w:ind w:left="360"/>
              <w:spacing w:after="0"/>
              <w:rPr>
                <w:sz w:val="20"/>
                <w:szCs w:val="20"/>
                <w:color w:val="auto"/>
              </w:rPr>
            </w:pPr>
            <w:r>
              <w:rPr>
                <w:rFonts w:ascii="Arial" w:cs="Arial" w:eastAsia="Arial" w:hAnsi="Arial"/>
                <w:sz w:val="20"/>
                <w:szCs w:val="20"/>
                <w:b w:val="1"/>
                <w:bCs w:val="1"/>
                <w:color w:val="auto"/>
              </w:rPr>
              <w:t>Net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Trademarks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3,567</w:t>
            </w:r>
          </w:p>
        </w:tc>
        <w:tc>
          <w:tcPr>
            <w:tcW w:w="2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3,567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Patents and technology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20"/>
                <w:szCs w:val="20"/>
                <w:color w:val="auto"/>
              </w:rPr>
              <w:t>4,509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(4,114)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20"/>
                <w:szCs w:val="20"/>
                <w:color w:val="auto"/>
              </w:rPr>
              <w:t>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20"/>
                <w:szCs w:val="20"/>
                <w:color w:val="auto"/>
              </w:rPr>
              <w:t>Customer relationships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4,029</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(3,679)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350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Arial" w:cs="Arial" w:eastAsia="Arial" w:hAnsi="Arial"/>
                <w:sz w:val="20"/>
                <w:szCs w:val="20"/>
                <w:color w:val="auto"/>
              </w:rPr>
              <w:t>Distributor relationships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(365)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20"/>
                <w:szCs w:val="20"/>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intangible assets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20"/>
                <w:szCs w:val="20"/>
                <w:color w:val="auto"/>
              </w:rPr>
              <w:t>12,496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71"/>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(8,158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4,338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320"/>
              <w:spacing w:after="0"/>
              <w:rPr>
                <w:sz w:val="20"/>
                <w:szCs w:val="20"/>
                <w:color w:val="auto"/>
              </w:rPr>
            </w:pPr>
            <w:r>
              <w:rPr>
                <w:rFonts w:ascii="Arial" w:cs="Arial" w:eastAsia="Arial" w:hAnsi="Arial"/>
                <w:sz w:val="20"/>
                <w:szCs w:val="20"/>
                <w:color w:val="auto"/>
                <w:w w:val="88"/>
              </w:rPr>
              <w:t>Amortization expense for intangible assets was as follows: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rPr>
              <w:t>Three-month periods ended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1"/>
          </w:tcPr>
          <w:p>
            <w:pPr>
              <w:ind w:left="380"/>
              <w:spacing w:after="0"/>
              <w:rPr>
                <w:sz w:val="20"/>
                <w:szCs w:val="20"/>
                <w:color w:val="auto"/>
              </w:rPr>
            </w:pPr>
            <w:r>
              <w:rPr>
                <w:rFonts w:ascii="Arial" w:cs="Arial" w:eastAsia="Arial" w:hAnsi="Arial"/>
                <w:sz w:val="18"/>
                <w:szCs w:val="18"/>
                <w:b w:val="1"/>
                <w:bCs w:val="1"/>
                <w:color w:val="auto"/>
              </w:rPr>
              <w:t>Nine-month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6"/>
          </w:tcPr>
          <w:p>
            <w:pPr>
              <w:ind w:left="140"/>
              <w:spacing w:after="0"/>
              <w:rPr>
                <w:sz w:val="20"/>
                <w:szCs w:val="20"/>
                <w:color w:val="auto"/>
              </w:rPr>
            </w:pPr>
            <w:r>
              <w:rPr>
                <w:rFonts w:ascii="Arial" w:cs="Arial" w:eastAsia="Arial" w:hAnsi="Arial"/>
                <w:sz w:val="18"/>
                <w:szCs w:val="18"/>
                <w:b w:val="1"/>
                <w:bCs w:val="1"/>
                <w:color w:val="auto"/>
                <w:w w:val="97"/>
              </w:rPr>
              <w:t>September 28,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rPr>
              <w:t>September 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80"/>
              <w:spacing w:after="0" w:line="223" w:lineRule="exact"/>
              <w:rPr>
                <w:sz w:val="20"/>
                <w:szCs w:val="20"/>
                <w:color w:val="auto"/>
              </w:rPr>
            </w:pPr>
            <w:r>
              <w:rPr>
                <w:rFonts w:ascii="Arial" w:cs="Arial" w:eastAsia="Arial" w:hAnsi="Arial"/>
                <w:sz w:val="20"/>
                <w:szCs w:val="20"/>
                <w:color w:val="auto"/>
              </w:rPr>
              <w:t>Amortization included in:</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20"/>
                <w:szCs w:val="20"/>
                <w:color w:val="auto"/>
              </w:rPr>
              <w:t>Research and development</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3"/>
          </w:tcPr>
          <w:p>
            <w:pPr>
              <w:ind w:left="940"/>
              <w:spacing w:after="0"/>
              <w:rPr>
                <w:sz w:val="20"/>
                <w:szCs w:val="20"/>
                <w:color w:val="auto"/>
              </w:rPr>
            </w:pPr>
            <w:r>
              <w:rPr>
                <w:rFonts w:ascii="Arial" w:cs="Arial" w:eastAsia="Arial" w:hAnsi="Arial"/>
                <w:sz w:val="20"/>
                <w:szCs w:val="20"/>
                <w:color w:val="auto"/>
                <w:w w:val="89"/>
              </w:rPr>
              <w:t>32</w:t>
            </w:r>
          </w:p>
        </w:tc>
        <w:tc>
          <w:tcPr>
            <w:tcW w:w="1000" w:type="dxa"/>
            <w:vAlign w:val="bottom"/>
            <w:gridSpan w:val="3"/>
          </w:tcPr>
          <w:p>
            <w:pPr>
              <w:jc w:val="right"/>
              <w:ind w:right="343"/>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4"/>
          </w:tcPr>
          <w:p>
            <w:pPr>
              <w:jc w:val="right"/>
              <w:ind w:right="120"/>
              <w:spacing w:after="0"/>
              <w:rPr>
                <w:sz w:val="20"/>
                <w:szCs w:val="20"/>
                <w:color w:val="auto"/>
              </w:rPr>
            </w:pPr>
            <w:r>
              <w:rPr>
                <w:rFonts w:ascii="Arial" w:cs="Arial" w:eastAsia="Arial" w:hAnsi="Arial"/>
                <w:sz w:val="20"/>
                <w:szCs w:val="20"/>
                <w:color w:val="auto"/>
              </w:rPr>
              <w:t>97</w:t>
            </w:r>
          </w:p>
        </w:tc>
        <w:tc>
          <w:tcPr>
            <w:tcW w:w="220" w:type="dxa"/>
            <w:vAlign w:val="bottom"/>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20"/>
                <w:szCs w:val="20"/>
                <w:color w:val="auto"/>
              </w:rPr>
              <w:t>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Selling, general and administrative</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ind w:left="940"/>
              <w:spacing w:after="0"/>
              <w:rPr>
                <w:sz w:val="20"/>
                <w:szCs w:val="20"/>
                <w:color w:val="auto"/>
              </w:rPr>
            </w:pPr>
            <w:r>
              <w:rPr>
                <w:rFonts w:ascii="Arial" w:cs="Arial" w:eastAsia="Arial" w:hAnsi="Arial"/>
                <w:sz w:val="20"/>
                <w:szCs w:val="20"/>
                <w:color w:val="auto"/>
                <w:w w:val="89"/>
              </w:rPr>
              <w:t>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83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101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20"/>
                <w:szCs w:val="20"/>
                <w:color w:val="auto"/>
              </w:rPr>
              <w:t>Total amortization expense</w:t>
            </w:r>
          </w:p>
        </w:tc>
        <w:tc>
          <w:tcPr>
            <w:tcW w:w="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20"/>
                <w:szCs w:val="20"/>
                <w:color w:val="auto"/>
                <w:w w:val="80"/>
              </w:rPr>
              <w:t>61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20"/>
                <w:szCs w:val="20"/>
                <w:color w:val="auto"/>
                <w:w w:val="71"/>
              </w:rPr>
              <w:t>$</w:t>
            </w: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180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232</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change in the cost value of total intangible assets from December 31, 2014 to September 27, 2015 is a result of the effect of foreign currency translations.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16" w:right="239" w:bottom="1440" w:gutter="0" w:footer="0" w:header="0"/>
        </w:sectPr>
      </w:pPr>
    </w:p>
    <w:bookmarkStart w:id="8" w:name="page9"/>
    <w:bookmarkEnd w:id="8"/>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13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REVOLVING CREDIT AGREEMENT</w:t>
      </w:r>
    </w:p>
    <w:p>
      <w:pPr>
        <w:spacing w:after="0" w:line="20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have financing through a Revolving Credit, Guaranty and Security Agreement, dated as of May 24, 2013 (the “Credit Agreement”), and related security agreements with PNC Bank, National Association (“PNC”), which provides a $20 million secured asset-based revolving credit facility that includes a $1 million letter of credit sub-facility (the “Credit Facility”). The Credit Agreement provides that the Credit Facility may be increased with PNC’s concurrence to an amount not to exceed $35 million, provided such increase must occur prior to the last six months of the term, which expires on May 24, 2017.</w:t>
      </w:r>
    </w:p>
    <w:p>
      <w:pPr>
        <w:spacing w:after="0" w:line="20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205"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auto"/>
        </w:rPr>
        <w:t>As of September 27, 2015, we had approximately $9,666 of borrowing capacity in addition to our cash on hand of $14,585, and we had no outstanding borrowings or outstanding letters of credit under the Credit Facility at either September 27, 2015 or December 31, 2014.</w:t>
      </w:r>
    </w:p>
    <w:p>
      <w:pPr>
        <w:spacing w:after="0" w:line="37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SHAREHOLDERS’ EQUITY</w:t>
      </w:r>
    </w:p>
    <w:p>
      <w:pPr>
        <w:spacing w:after="0" w:line="202" w:lineRule="exact"/>
        <w:rPr>
          <w:rFonts w:ascii="Arial" w:cs="Arial" w:eastAsia="Arial" w:hAnsi="Arial"/>
          <w:sz w:val="20"/>
          <w:szCs w:val="20"/>
          <w:b w:val="1"/>
          <w:bCs w:val="1"/>
          <w:i w:val="1"/>
          <w:iCs w:val="1"/>
          <w:color w:val="auto"/>
        </w:rPr>
      </w:pPr>
    </w:p>
    <w:p>
      <w:pPr>
        <w:ind w:left="34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We recorded non-cash stock compensation expense in each period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jc w:val="right"/>
              <w:ind w:right="284"/>
              <w:spacing w:after="0"/>
              <w:rPr>
                <w:sz w:val="20"/>
                <w:szCs w:val="20"/>
                <w:color w:val="auto"/>
              </w:rPr>
            </w:pPr>
            <w:r>
              <w:rPr>
                <w:rFonts w:ascii="Arial" w:cs="Arial" w:eastAsia="Arial" w:hAnsi="Arial"/>
                <w:sz w:val="18"/>
                <w:szCs w:val="18"/>
                <w:b w:val="1"/>
                <w:bCs w:val="1"/>
                <w:color w:val="auto"/>
              </w:rPr>
              <w:t>Three-month periods ended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6"/>
          </w:tcPr>
          <w:p>
            <w:pPr>
              <w:ind w:left="380"/>
              <w:spacing w:after="0"/>
              <w:rPr>
                <w:sz w:val="20"/>
                <w:szCs w:val="20"/>
                <w:color w:val="auto"/>
              </w:rPr>
            </w:pPr>
            <w:r>
              <w:rPr>
                <w:rFonts w:ascii="Arial" w:cs="Arial" w:eastAsia="Arial" w:hAnsi="Arial"/>
                <w:sz w:val="18"/>
                <w:szCs w:val="18"/>
                <w:b w:val="1"/>
                <w:bCs w:val="1"/>
                <w:color w:val="auto"/>
              </w:rPr>
              <w:t>Nine-month periods ended</w:t>
            </w:r>
          </w:p>
        </w:tc>
      </w:tr>
      <w:tr>
        <w:trPr>
          <w:trHeight w:val="230"/>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27,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9"/>
              </w:rPr>
              <w:t>September 27,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28,</w:t>
            </w:r>
          </w:p>
        </w:tc>
      </w:tr>
      <w:tr>
        <w:trPr>
          <w:trHeight w:val="234"/>
        </w:trPr>
        <w:tc>
          <w:tcPr>
            <w:tcW w:w="4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r>
      <w:tr>
        <w:trPr>
          <w:trHeight w:val="223"/>
        </w:trPr>
        <w:tc>
          <w:tcPr>
            <w:tcW w:w="494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Stock options</w:t>
            </w: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20"/>
                <w:szCs w:val="20"/>
                <w:color w:val="auto"/>
              </w:rPr>
              <w:t>112</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ind w:left="820"/>
              <w:spacing w:after="0" w:line="223" w:lineRule="exact"/>
              <w:rPr>
                <w:sz w:val="20"/>
                <w:szCs w:val="20"/>
                <w:color w:val="auto"/>
              </w:rPr>
            </w:pPr>
            <w:r>
              <w:rPr>
                <w:rFonts w:ascii="Arial" w:cs="Arial" w:eastAsia="Arial" w:hAnsi="Arial"/>
                <w:sz w:val="20"/>
                <w:szCs w:val="20"/>
                <w:color w:val="auto"/>
              </w:rPr>
              <w:t>368</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430</w:t>
            </w:r>
          </w:p>
        </w:tc>
      </w:tr>
      <w:tr>
        <w:trPr>
          <w:trHeight w:val="230"/>
        </w:trPr>
        <w:tc>
          <w:tcPr>
            <w:tcW w:w="4940" w:type="dxa"/>
            <w:vAlign w:val="bottom"/>
          </w:tcPr>
          <w:p>
            <w:pPr>
              <w:ind w:left="100"/>
              <w:spacing w:after="0"/>
              <w:rPr>
                <w:sz w:val="20"/>
                <w:szCs w:val="20"/>
                <w:color w:val="auto"/>
              </w:rPr>
            </w:pPr>
            <w:r>
              <w:rPr>
                <w:rFonts w:ascii="Arial" w:cs="Arial" w:eastAsia="Arial" w:hAnsi="Arial"/>
                <w:sz w:val="20"/>
                <w:szCs w:val="20"/>
                <w:color w:val="auto"/>
              </w:rPr>
              <w:t>Restricted stock grants: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Employee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23</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20"/>
                <w:szCs w:val="20"/>
                <w:color w:val="auto"/>
              </w:rPr>
              <w:t>71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w:t>
            </w:r>
          </w:p>
        </w:tc>
      </w:tr>
      <w:tr>
        <w:trPr>
          <w:trHeight w:val="230"/>
        </w:trPr>
        <w:tc>
          <w:tcPr>
            <w:tcW w:w="4940" w:type="dxa"/>
            <w:vAlign w:val="bottom"/>
          </w:tcPr>
          <w:p>
            <w:pPr>
              <w:ind w:left="260"/>
              <w:spacing w:after="0"/>
              <w:rPr>
                <w:sz w:val="20"/>
                <w:szCs w:val="20"/>
                <w:color w:val="auto"/>
              </w:rPr>
            </w:pPr>
            <w:r>
              <w:rPr>
                <w:rFonts w:ascii="Arial" w:cs="Arial" w:eastAsia="Arial" w:hAnsi="Arial"/>
                <w:sz w:val="20"/>
                <w:szCs w:val="20"/>
                <w:color w:val="auto"/>
              </w:rPr>
              <w:t>President and CEO</w:t>
            </w:r>
          </w:p>
        </w:tc>
        <w:tc>
          <w:tcPr>
            <w:tcW w:w="120" w:type="dxa"/>
            <w:vAlign w:val="bottom"/>
          </w:tcPr>
          <w:p>
            <w:pPr>
              <w:spacing w:after="0"/>
              <w:rPr>
                <w:sz w:val="19"/>
                <w:szCs w:val="19"/>
                <w:color w:val="auto"/>
              </w:rPr>
            </w:pPr>
          </w:p>
        </w:tc>
        <w:tc>
          <w:tcPr>
            <w:tcW w:w="1260" w:type="dxa"/>
            <w:vAlign w:val="bottom"/>
            <w:gridSpan w:val="2"/>
          </w:tcPr>
          <w:p>
            <w:pPr>
              <w:ind w:left="8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117</w:t>
            </w:r>
          </w:p>
        </w:tc>
      </w:tr>
      <w:tr>
        <w:trPr>
          <w:trHeight w:val="230"/>
        </w:trPr>
        <w:tc>
          <w:tcPr>
            <w:tcW w:w="49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Board of Directors compensation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20"/>
                <w:szCs w:val="20"/>
                <w:color w:val="auto"/>
              </w:rPr>
              <w:t>stock grant</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170</w:t>
            </w:r>
          </w:p>
        </w:tc>
      </w:tr>
      <w:tr>
        <w:trPr>
          <w:trHeight w:val="237"/>
        </w:trPr>
        <w:tc>
          <w:tcPr>
            <w:tcW w:w="4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20"/>
                <w:szCs w:val="20"/>
                <w:color w:val="auto"/>
                <w:w w:val="77"/>
              </w:rPr>
              <w:t>135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20"/>
                <w:szCs w:val="20"/>
                <w:color w:val="auto"/>
                <w:w w:val="83"/>
              </w:rPr>
              <w:t>439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These are more fully discussed as follows: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Stock Options</w:t>
      </w:r>
    </w:p>
    <w:p>
      <w:pPr>
        <w:spacing w:after="0" w:line="202"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expense relating to share-based payment transactions in our financial statements. As of September 27, 2015, there was $414 of total unrecognized compensation expense related to outstanding stock options, which is expected to be recognized over a weighted average period of 1.1 years.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summarizes stock option activity for the nine-month period ended September 27, 2015:</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5"/>
          </w:tcPr>
          <w:p>
            <w:pPr>
              <w:jc w:val="cente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0" w:type="dxa"/>
            <w:vAlign w:val="bottom"/>
          </w:tcPr>
          <w:p>
            <w:pPr>
              <w:spacing w:after="0"/>
              <w:rPr>
                <w:sz w:val="1"/>
                <w:szCs w:val="1"/>
                <w:color w:val="auto"/>
              </w:rPr>
            </w:pPr>
          </w:p>
        </w:tc>
      </w:tr>
      <w:tr>
        <w:trPr>
          <w:trHeight w:val="556"/>
        </w:trPr>
        <w:tc>
          <w:tcPr>
            <w:tcW w:w="4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Average Exercise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2015</w:t>
            </w:r>
          </w:p>
        </w:tc>
        <w:tc>
          <w:tcPr>
            <w:tcW w:w="13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2,056,122</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311,250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00"/>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(68,166)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September 27,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100"/>
              <w:spacing w:after="0"/>
              <w:rPr>
                <w:sz w:val="20"/>
                <w:szCs w:val="20"/>
                <w:color w:val="auto"/>
              </w:rPr>
            </w:pPr>
            <w:r>
              <w:rPr>
                <w:rFonts w:ascii="Arial" w:cs="Arial" w:eastAsia="Arial" w:hAnsi="Arial"/>
                <w:sz w:val="18"/>
                <w:szCs w:val="18"/>
                <w:color w:val="auto"/>
              </w:rPr>
              <w:t>Vested and expected to vest at September 27, 2015</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2,151,104</w:t>
            </w: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w:t>
            </w:r>
          </w:p>
        </w:tc>
        <w:tc>
          <w:tcPr>
            <w:tcW w:w="6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4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Exercisable at September 27, 2015</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1,387,971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1,184</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Cash received from stock option exercises under our stock-based compensation plans for the three-month periods ended September 27, 2015 and September 28, 2014 was $19 and $0, respectively. Cash received from stock option exercises for the nine-month periods ended September 27, 2015 and September 28, 2014 was $28 and $11,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Restricted Stock Awards</w:t>
      </w:r>
    </w:p>
    <w:p>
      <w:pPr>
        <w:spacing w:after="0" w:line="20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At September 27, 2015, our President and Chief Executive Officer held 60,000 unearned, unvested restricted stock units. These units vested subsequent to September 27, 2015 upon the satisfaction of the condition of our common stock having closed at a price of $5.00 per share or greater for 15 trading days in a 30 trading day period.</w:t>
      </w:r>
    </w:p>
    <w:p>
      <w:pPr>
        <w:spacing w:after="0" w:line="200" w:lineRule="exact"/>
        <w:rPr>
          <w:sz w:val="20"/>
          <w:szCs w:val="20"/>
          <w:color w:val="auto"/>
        </w:rPr>
      </w:pPr>
    </w:p>
    <w:p>
      <w:pPr>
        <w:jc w:val="both"/>
        <w:ind w:right="20" w:firstLine="324"/>
        <w:spacing w:after="0" w:line="386" w:lineRule="auto"/>
        <w:rPr>
          <w:sz w:val="20"/>
          <w:szCs w:val="20"/>
          <w:color w:val="auto"/>
        </w:rPr>
      </w:pPr>
      <w:r>
        <w:rPr>
          <w:rFonts w:ascii="Arial" w:cs="Arial" w:eastAsia="Arial" w:hAnsi="Arial"/>
          <w:sz w:val="16"/>
          <w:szCs w:val="16"/>
          <w:color w:val="auto"/>
        </w:rPr>
        <w:t>In addition, 49,200 shares of restricted stock were awarded to certain of our employees in September, 2014. 16,400 shares of these awards vested in September 2015. There is $60 of unrecognized compensation expense related to these restricted shares at September 27, 2015.</w:t>
      </w:r>
    </w:p>
    <w:p>
      <w:pPr>
        <w:spacing w:after="0" w:line="32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INCOME TAXES</w:t>
      </w:r>
    </w:p>
    <w:p>
      <w:pPr>
        <w:spacing w:after="0" w:line="2"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18"/>
          <w:szCs w:val="18"/>
          <w:color w:val="auto"/>
        </w:rPr>
        <w:t>We use the asset and liability method in accounting for income taxes. Under this method, deferred tax assets and liabilities are determined</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based on differences between financial reporting and tax basis of assets and liabilities and are measured using the enacted tax rates and laws that are expected to be in effect when the differences are expected to reverse.</w:t>
      </w:r>
    </w:p>
    <w:p>
      <w:pPr>
        <w:spacing w:after="0" w:line="20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For the three-month periods ended September 27, 2015 and September 28, 2014, we recorded $130 and $60, respectively, in income tax expense. For the nine-month periods ended September 27, 2015 and September 28, 2014, we recorded $312 and $177, respectively, in income tax expense. These are detailed as follows:</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1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bottom w:val="single" w:sz="8" w:color="0000EE"/>
            </w:tcBorders>
            <w:gridSpan w:val="3"/>
          </w:tcPr>
          <w:p>
            <w:pPr>
              <w:jc w:val="cente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0" w:type="dxa"/>
            <w:vAlign w:val="bottom"/>
          </w:tcPr>
          <w:p>
            <w:pPr>
              <w:spacing w:after="0"/>
              <w:rPr>
                <w:sz w:val="17"/>
                <w:szCs w:val="17"/>
                <w:color w:val="auto"/>
              </w:rPr>
            </w:pPr>
          </w:p>
        </w:tc>
      </w:tr>
      <w:tr>
        <w:trPr>
          <w:trHeight w:val="583"/>
        </w:trPr>
        <w:tc>
          <w:tcPr>
            <w:tcW w:w="3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right"/>
              <w:ind w:right="284"/>
              <w:spacing w:after="0"/>
              <w:rPr>
                <w:sz w:val="20"/>
                <w:szCs w:val="20"/>
                <w:color w:val="auto"/>
              </w:rPr>
            </w:pPr>
            <w:r>
              <w:rPr>
                <w:rFonts w:ascii="Arial" w:cs="Arial" w:eastAsia="Arial" w:hAnsi="Arial"/>
                <w:sz w:val="18"/>
                <w:szCs w:val="18"/>
                <w:b w:val="1"/>
                <w:bCs w:val="1"/>
                <w:color w:val="auto"/>
              </w:rPr>
              <w:t>Three-month periods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8"/>
          </w:tcPr>
          <w:p>
            <w:pPr>
              <w:ind w:left="380"/>
              <w:spacing w:after="0"/>
              <w:rPr>
                <w:sz w:val="20"/>
                <w:szCs w:val="20"/>
                <w:color w:val="auto"/>
              </w:rPr>
            </w:pPr>
            <w:r>
              <w:rPr>
                <w:rFonts w:ascii="Arial" w:cs="Arial" w:eastAsia="Arial" w:hAnsi="Arial"/>
                <w:sz w:val="18"/>
                <w:szCs w:val="18"/>
                <w:b w:val="1"/>
                <w:bCs w:val="1"/>
                <w:color w:val="auto"/>
              </w:rPr>
              <w:t>Nine-month periods ended</w:t>
            </w:r>
          </w:p>
        </w:tc>
      </w:tr>
      <w:tr>
        <w:trPr>
          <w:trHeight w:val="230"/>
        </w:trPr>
        <w:tc>
          <w:tcPr>
            <w:tcW w:w="3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27,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September 27,</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28,</w:t>
            </w:r>
          </w:p>
        </w:tc>
      </w:tr>
      <w:tr>
        <w:trPr>
          <w:trHeight w:val="234"/>
        </w:trPr>
        <w:tc>
          <w:tcPr>
            <w:tcW w:w="374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23"/>
        </w:trPr>
        <w:tc>
          <w:tcPr>
            <w:tcW w:w="374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Current income tax provision:</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20"/>
                <w:szCs w:val="20"/>
                <w:color w:val="auto"/>
              </w:rPr>
              <w:t>Foreign</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44</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
              <w:spacing w:after="0"/>
              <w:rPr>
                <w:sz w:val="20"/>
                <w:szCs w:val="20"/>
                <w:color w:val="auto"/>
              </w:rPr>
            </w:pPr>
            <w:r>
              <w:rPr>
                <w:rFonts w:ascii="Arial" w:cs="Arial" w:eastAsia="Arial" w:hAnsi="Arial"/>
                <w:sz w:val="20"/>
                <w:szCs w:val="20"/>
                <w:color w:val="auto"/>
              </w:rPr>
              <w:t>—</w:t>
            </w:r>
          </w:p>
        </w:tc>
        <w:tc>
          <w:tcPr>
            <w:tcW w:w="5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87</w:t>
            </w:r>
          </w:p>
        </w:tc>
        <w:tc>
          <w:tcPr>
            <w:tcW w:w="4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3"/>
          </w:tcPr>
          <w:p>
            <w:pPr>
              <w:ind w:left="840"/>
              <w:spacing w:after="0"/>
              <w:rPr>
                <w:sz w:val="20"/>
                <w:szCs w:val="20"/>
                <w:color w:val="auto"/>
              </w:rPr>
            </w:pPr>
            <w:r>
              <w:rPr>
                <w:rFonts w:ascii="Arial" w:cs="Arial" w:eastAsia="Arial" w:hAnsi="Arial"/>
                <w:sz w:val="20"/>
                <w:szCs w:val="20"/>
                <w:color w:val="auto"/>
              </w:rPr>
              <w:t>—</w:t>
            </w:r>
          </w:p>
        </w:tc>
      </w:tr>
      <w:tr>
        <w:trPr>
          <w:trHeight w:val="230"/>
        </w:trPr>
        <w:tc>
          <w:tcPr>
            <w:tcW w:w="3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Federal</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26</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48</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40"/>
              <w:spacing w:after="0"/>
              <w:rPr>
                <w:sz w:val="20"/>
                <w:szCs w:val="20"/>
                <w:color w:val="auto"/>
              </w:rPr>
            </w:pPr>
            <w:r>
              <w:rPr>
                <w:rFonts w:ascii="Arial" w:cs="Arial" w:eastAsia="Arial" w:hAnsi="Arial"/>
                <w:sz w:val="20"/>
                <w:szCs w:val="20"/>
                <w:color w:val="auto"/>
              </w:rPr>
              <w:t>—</w:t>
            </w:r>
          </w:p>
        </w:tc>
      </w:tr>
      <w:tr>
        <w:trPr>
          <w:trHeight w:val="230"/>
        </w:trPr>
        <w:tc>
          <w:tcPr>
            <w:tcW w:w="3740" w:type="dxa"/>
            <w:vAlign w:val="bottom"/>
          </w:tcPr>
          <w:p>
            <w:pPr>
              <w:ind w:left="260"/>
              <w:spacing w:after="0"/>
              <w:rPr>
                <w:sz w:val="20"/>
                <w:szCs w:val="20"/>
                <w:color w:val="auto"/>
              </w:rPr>
            </w:pPr>
            <w:r>
              <w:rPr>
                <w:rFonts w:ascii="Arial" w:cs="Arial" w:eastAsia="Arial" w:hAnsi="Arial"/>
                <w:sz w:val="20"/>
                <w:szCs w:val="20"/>
                <w:color w:val="auto"/>
              </w:rPr>
              <w:t>State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12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20"/>
                <w:szCs w:val="20"/>
                <w:color w:val="auto"/>
              </w:rPr>
              <w:t>12</w:t>
            </w:r>
          </w:p>
        </w:tc>
        <w:tc>
          <w:tcPr>
            <w:tcW w:w="40" w:type="dxa"/>
            <w:vAlign w:val="bottom"/>
          </w:tcPr>
          <w:p>
            <w:pPr>
              <w:spacing w:after="0"/>
              <w:rPr>
                <w:sz w:val="19"/>
                <w:szCs w:val="19"/>
                <w:color w:val="auto"/>
              </w:rPr>
            </w:pPr>
          </w:p>
        </w:tc>
      </w:tr>
      <w:tr>
        <w:trPr>
          <w:trHeight w:val="243"/>
        </w:trPr>
        <w:tc>
          <w:tcPr>
            <w:tcW w:w="37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Deferred income tax provision</w:t>
            </w: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55</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165</w:t>
            </w: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20"/>
                <w:szCs w:val="20"/>
                <w:color w:val="auto"/>
              </w:rPr>
              <w:t>165</w:t>
            </w:r>
          </w:p>
        </w:tc>
        <w:tc>
          <w:tcPr>
            <w:tcW w:w="40" w:type="dxa"/>
            <w:vAlign w:val="bottom"/>
            <w:shd w:val="clear" w:color="auto" w:fill="CCEEFF"/>
          </w:tcPr>
          <w:p>
            <w:pPr>
              <w:spacing w:after="0"/>
              <w:rPr>
                <w:sz w:val="21"/>
                <w:szCs w:val="21"/>
                <w:color w:val="auto"/>
              </w:rPr>
            </w:pPr>
          </w:p>
        </w:tc>
      </w:tr>
      <w:tr>
        <w:trPr>
          <w:trHeight w:val="277"/>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20"/>
                <w:szCs w:val="20"/>
                <w:color w:val="auto"/>
              </w:rPr>
              <w:t>Total</w:t>
            </w:r>
          </w:p>
        </w:tc>
        <w:tc>
          <w:tcPr>
            <w:tcW w:w="12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312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20"/>
                <w:szCs w:val="20"/>
                <w:color w:val="auto"/>
                <w:w w:val="83"/>
              </w:rPr>
              <w:t>177</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r>
      <w:tr>
        <w:trPr>
          <w:trHeight w:val="129"/>
        </w:trPr>
        <w:tc>
          <w:tcPr>
            <w:tcW w:w="37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bl>
    <w:p>
      <w:pPr>
        <w:spacing w:after="0" w:line="21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Deferred income tax provision is primarily due to the recognition of deferred tax liabilities generated from goodwill and certain intangible assets that cannot be predicted to reverse for book purposes during our loss carryforward periods. The remaining expense in 2015 was primarily due to the income reported for our China operations during the period and estimated U.S. federal alternative minimum taxes, while the remaining expense in 2014 was primarily due to state income taxes.</w:t>
      </w:r>
    </w:p>
    <w:p>
      <w:pPr>
        <w:spacing w:after="0" w:line="20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Our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our U.K. subsidiary, as management does not believe, at this time, that it is more likely than not that we will realize the benefit of these losses. Our tax rate for the nine-month period ended September 27, 2015 was 11.7%, which was different from the federal statutory rate due to the effect of the utilization of fully reserved net operating loss carryforwards (“NOL”) as well as the effect of differing foreign income tax rates, principally in China. Our tax rate for the nine-month period ended September 28, 2014 was (6.5%), which was different from the federal statutory rate due to the loss incurred and our full reserve against our NOLs, and the effect of differing foreign income tax rates, principally in China.</w:t>
      </w:r>
    </w:p>
    <w:p>
      <w:pPr>
        <w:spacing w:after="0" w:line="21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We have substantial NOLs available to offset taxable income in the United States. However, we remain subject to the alternative minimum tax in the United States. The alternative minimum tax limits the amount of NOL available to offset taxable income to 90% of the current year income. We recorded a provision of $26 and $48 for U.S. alternative minimum tax for the three and nine months ended September 27, 2015, respectively, and no alternative minimum tax in either the three or nine months ended September 28, 2014. The payment of the alternative minimum tax normally results in the establishment of a deferred tax asset; however, we have established a full valuation allowance for this related deferred tax asset.</w:t>
      </w:r>
    </w:p>
    <w:p>
      <w:pPr>
        <w:spacing w:after="0" w:line="2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As of September 27, 2015, we have foreign and domestic NOL and credit carryforwards totaling approximately $85,200 and $1,400 available to reduce future taxable income. Included in our NOL carryforwards are foreign loss carryforwards of approximately $12,400 that can be carried forward indefinitely. The domestic NOL carryforward of $72,800 expires from 2019 through 2035. The domestic NOL carryforward includes approximately $2,900 for which a benefit will be recorded in capital in excess of par value when realized.</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Our unrecognized tax benefits related to uncertain tax positions at September 27, 2015 pertain to foreign tax jurisdictions. The following table summarizes the activity related to our unrecognized tax benefits: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1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c>
          <w:tcPr>
            <w:tcW w:w="40" w:type="dxa"/>
            <w:vAlign w:val="bottom"/>
          </w:tcPr>
          <w:p>
            <w:pPr>
              <w:spacing w:after="0"/>
              <w:rPr>
                <w:sz w:val="17"/>
                <w:szCs w:val="17"/>
                <w:color w:val="auto"/>
              </w:rPr>
            </w:pPr>
          </w:p>
        </w:tc>
      </w:tr>
      <w:tr>
        <w:trPr>
          <w:trHeight w:val="565"/>
        </w:trPr>
        <w:tc>
          <w:tcPr>
            <w:tcW w:w="6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8"/>
          </w:tcPr>
          <w:p>
            <w:pPr>
              <w:ind w:left="780"/>
              <w:spacing w:after="0"/>
              <w:rPr>
                <w:sz w:val="20"/>
                <w:szCs w:val="20"/>
                <w:color w:val="auto"/>
              </w:rPr>
            </w:pPr>
            <w:r>
              <w:rPr>
                <w:rFonts w:ascii="Arial" w:cs="Arial" w:eastAsia="Arial" w:hAnsi="Arial"/>
                <w:sz w:val="20"/>
                <w:szCs w:val="20"/>
                <w:b w:val="1"/>
                <w:bCs w:val="1"/>
                <w:color w:val="auto"/>
              </w:rPr>
              <w:t>Nine month periods ended</w:t>
            </w:r>
          </w:p>
        </w:tc>
      </w:tr>
      <w:tr>
        <w:trPr>
          <w:trHeight w:val="243"/>
        </w:trPr>
        <w:tc>
          <w:tcPr>
            <w:tcW w:w="6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w w:val="90"/>
              </w:rPr>
              <w:t>September 27,</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20"/>
                <w:szCs w:val="20"/>
                <w:b w:val="1"/>
                <w:bCs w:val="1"/>
                <w:color w:val="auto"/>
                <w:w w:val="89"/>
              </w:rPr>
              <w:t>September 28,</w:t>
            </w:r>
          </w:p>
        </w:tc>
      </w:tr>
      <w:tr>
        <w:trPr>
          <w:trHeight w:val="252"/>
        </w:trPr>
        <w:tc>
          <w:tcPr>
            <w:tcW w:w="6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2015</w:t>
            </w:r>
          </w:p>
        </w:tc>
        <w:tc>
          <w:tcPr>
            <w:tcW w:w="120" w:type="dxa"/>
            <w:vAlign w:val="bottom"/>
            <w:tcBorders>
              <w:bottom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20"/>
                <w:szCs w:val="20"/>
                <w:b w:val="1"/>
                <w:bCs w:val="1"/>
                <w:color w:val="auto"/>
              </w:rPr>
              <w:t>2014</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23"/>
        </w:trPr>
        <w:tc>
          <w:tcPr>
            <w:tcW w:w="6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Balance – beginning of period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7,296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0" w:type="dxa"/>
            <w:vAlign w:val="bottom"/>
            <w:gridSpan w:val="3"/>
            <w:shd w:val="clear" w:color="auto" w:fill="CCEEFF"/>
          </w:tcPr>
          <w:p>
            <w:pPr>
              <w:jc w:val="center"/>
              <w:ind w:left="721"/>
              <w:spacing w:after="0"/>
              <w:rPr>
                <w:sz w:val="20"/>
                <w:szCs w:val="20"/>
                <w:color w:val="auto"/>
              </w:rPr>
            </w:pPr>
            <w:r>
              <w:rPr>
                <w:rFonts w:ascii="Arial" w:cs="Arial" w:eastAsia="Arial" w:hAnsi="Arial"/>
                <w:sz w:val="20"/>
                <w:szCs w:val="20"/>
                <w:color w:val="auto"/>
                <w:w w:val="91"/>
              </w:rPr>
              <w:t>7,296</w:t>
            </w:r>
          </w:p>
        </w:tc>
        <w:tc>
          <w:tcPr>
            <w:tcW w:w="40" w:type="dxa"/>
            <w:vAlign w:val="bottom"/>
            <w:shd w:val="clear" w:color="auto" w:fill="CCEEFF"/>
          </w:tcPr>
          <w:p>
            <w:pPr>
              <w:spacing w:after="0"/>
              <w:rPr>
                <w:sz w:val="19"/>
                <w:szCs w:val="19"/>
                <w:color w:val="auto"/>
              </w:rPr>
            </w:pPr>
          </w:p>
        </w:tc>
      </w:tr>
      <w:tr>
        <w:trPr>
          <w:trHeight w:val="230"/>
        </w:trPr>
        <w:tc>
          <w:tcPr>
            <w:tcW w:w="6020" w:type="dxa"/>
            <w:vAlign w:val="bottom"/>
          </w:tcPr>
          <w:p>
            <w:pPr>
              <w:ind w:left="100"/>
              <w:spacing w:after="0"/>
              <w:rPr>
                <w:sz w:val="20"/>
                <w:szCs w:val="20"/>
                <w:color w:val="auto"/>
              </w:rPr>
            </w:pPr>
            <w:r>
              <w:rPr>
                <w:rFonts w:ascii="Arial" w:cs="Arial" w:eastAsia="Arial" w:hAnsi="Arial"/>
                <w:sz w:val="20"/>
                <w:szCs w:val="20"/>
                <w:color w:val="auto"/>
              </w:rPr>
              <w:t>Increases related to current year tax positions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center"/>
              <w:ind w:left="603"/>
              <w:spacing w:after="0"/>
              <w:rPr>
                <w:sz w:val="20"/>
                <w:szCs w:val="20"/>
                <w:color w:val="auto"/>
              </w:rPr>
            </w:pPr>
            <w:r>
              <w:rPr>
                <w:rFonts w:ascii="Arial" w:cs="Arial" w:eastAsia="Arial" w:hAnsi="Arial"/>
                <w:sz w:val="20"/>
                <w:szCs w:val="20"/>
                <w:color w:val="auto"/>
                <w:w w:val="99"/>
              </w:rPr>
              <w:t>—</w:t>
            </w:r>
          </w:p>
        </w:tc>
      </w:tr>
      <w:tr>
        <w:trPr>
          <w:trHeight w:val="230"/>
        </w:trPr>
        <w:tc>
          <w:tcPr>
            <w:tcW w:w="60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Increases related to prior year tax positions</w:t>
            </w: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603"/>
              <w:spacing w:after="0"/>
              <w:rPr>
                <w:sz w:val="20"/>
                <w:szCs w:val="20"/>
                <w:color w:val="auto"/>
              </w:rPr>
            </w:pPr>
            <w:r>
              <w:rPr>
                <w:rFonts w:ascii="Arial" w:cs="Arial" w:eastAsia="Arial" w:hAnsi="Arial"/>
                <w:sz w:val="20"/>
                <w:szCs w:val="20"/>
                <w:color w:val="auto"/>
                <w:w w:val="99"/>
              </w:rPr>
              <w:t>—</w:t>
            </w:r>
          </w:p>
        </w:tc>
      </w:tr>
      <w:tr>
        <w:trPr>
          <w:trHeight w:val="230"/>
        </w:trPr>
        <w:tc>
          <w:tcPr>
            <w:tcW w:w="6020" w:type="dxa"/>
            <w:vAlign w:val="bottom"/>
          </w:tcPr>
          <w:p>
            <w:pPr>
              <w:ind w:left="100"/>
              <w:spacing w:after="0"/>
              <w:rPr>
                <w:sz w:val="20"/>
                <w:szCs w:val="20"/>
                <w:color w:val="auto"/>
              </w:rPr>
            </w:pPr>
            <w:r>
              <w:rPr>
                <w:rFonts w:ascii="Arial" w:cs="Arial" w:eastAsia="Arial" w:hAnsi="Arial"/>
                <w:sz w:val="20"/>
                <w:szCs w:val="20"/>
                <w:color w:val="auto"/>
              </w:rPr>
              <w:t>Decreases related to prior year tax positions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center"/>
              <w:ind w:left="603"/>
              <w:spacing w:after="0"/>
              <w:rPr>
                <w:sz w:val="20"/>
                <w:szCs w:val="20"/>
                <w:color w:val="auto"/>
              </w:rPr>
            </w:pPr>
            <w:r>
              <w:rPr>
                <w:rFonts w:ascii="Arial" w:cs="Arial" w:eastAsia="Arial" w:hAnsi="Arial"/>
                <w:sz w:val="20"/>
                <w:szCs w:val="20"/>
                <w:color w:val="auto"/>
                <w:w w:val="99"/>
              </w:rPr>
              <w:t>—</w:t>
            </w:r>
          </w:p>
        </w:tc>
      </w:tr>
      <w:tr>
        <w:trPr>
          <w:trHeight w:val="230"/>
        </w:trPr>
        <w:tc>
          <w:tcPr>
            <w:tcW w:w="60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Expiration of statute of limitations for assessment of taxes</w:t>
            </w: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603"/>
              <w:spacing w:after="0"/>
              <w:rPr>
                <w:sz w:val="20"/>
                <w:szCs w:val="20"/>
                <w:color w:val="auto"/>
              </w:rPr>
            </w:pPr>
            <w:r>
              <w:rPr>
                <w:rFonts w:ascii="Arial" w:cs="Arial" w:eastAsia="Arial" w:hAnsi="Arial"/>
                <w:sz w:val="20"/>
                <w:szCs w:val="20"/>
                <w:color w:val="auto"/>
                <w:w w:val="99"/>
              </w:rPr>
              <w:t>—</w:t>
            </w:r>
          </w:p>
        </w:tc>
      </w:tr>
      <w:tr>
        <w:trPr>
          <w:trHeight w:val="243"/>
        </w:trPr>
        <w:tc>
          <w:tcPr>
            <w:tcW w:w="6020" w:type="dxa"/>
            <w:vAlign w:val="bottom"/>
          </w:tcPr>
          <w:p>
            <w:pPr>
              <w:ind w:left="100"/>
              <w:spacing w:after="0"/>
              <w:rPr>
                <w:sz w:val="20"/>
                <w:szCs w:val="20"/>
                <w:color w:val="auto"/>
              </w:rPr>
            </w:pPr>
            <w:r>
              <w:rPr>
                <w:rFonts w:ascii="Arial" w:cs="Arial" w:eastAsia="Arial" w:hAnsi="Arial"/>
                <w:sz w:val="20"/>
                <w:szCs w:val="20"/>
                <w:color w:val="auto"/>
              </w:rPr>
              <w:t>Settlements of examinations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20"/>
                <w:szCs w:val="20"/>
                <w:color w:val="auto"/>
              </w:rPr>
              <w:t>(7,296)</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left="603"/>
              <w:spacing w:after="0"/>
              <w:rPr>
                <w:sz w:val="20"/>
                <w:szCs w:val="20"/>
                <w:color w:val="auto"/>
              </w:rPr>
            </w:pPr>
            <w:r>
              <w:rPr>
                <w:rFonts w:ascii="Arial" w:cs="Arial" w:eastAsia="Arial" w:hAnsi="Arial"/>
                <w:sz w:val="20"/>
                <w:szCs w:val="20"/>
                <w:color w:val="auto"/>
                <w:w w:val="99"/>
              </w:rPr>
              <w:t>—</w:t>
            </w:r>
          </w:p>
        </w:tc>
      </w:tr>
      <w:tr>
        <w:trPr>
          <w:trHeight w:val="237"/>
        </w:trPr>
        <w:tc>
          <w:tcPr>
            <w:tcW w:w="6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Balance – end of period</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gridSpan w:val="2"/>
            <w:shd w:val="clear" w:color="auto" w:fill="CCEEFF"/>
          </w:tcPr>
          <w:p>
            <w:pPr>
              <w:jc w:val="center"/>
              <w:ind w:left="781"/>
              <w:spacing w:after="0"/>
              <w:rPr>
                <w:sz w:val="20"/>
                <w:szCs w:val="20"/>
                <w:color w:val="auto"/>
              </w:rPr>
            </w:pPr>
            <w:r>
              <w:rPr>
                <w:rFonts w:ascii="Arial" w:cs="Arial" w:eastAsia="Arial" w:hAnsi="Arial"/>
                <w:sz w:val="20"/>
                <w:szCs w:val="20"/>
                <w:color w:val="auto"/>
                <w:w w:val="91"/>
              </w:rPr>
              <w:t>7,296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release of uncertain tax positions in 2015 relates to the conclusion of a federal tax examination, resulting in a $21.4 million increase in the amount of our reported domestic NOL carryforward.</w:t>
      </w:r>
    </w:p>
    <w:p>
      <w:pPr>
        <w:spacing w:after="0" w:line="19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We file income tax returns in various jurisdictions including U.S. federal, U.S. state and foreign jurisdictions. We are routinely subject to examination by taxing authorities in these various jurisdictions. Our U.S. tax matters for the years 2000 through 2014 remain subject to examination by the Internal Revenue Service (“IRS”) and by various state and local tax jurisdictions due to our NOL carryforwards. Our tax matters for the years 2007 through 2014 remain subject to examination by the respective foreign tax jurisdiction authorities.</w:t>
      </w:r>
    </w:p>
    <w:p>
      <w:pPr>
        <w:spacing w:after="0" w:line="200" w:lineRule="exact"/>
        <w:rPr>
          <w:sz w:val="20"/>
          <w:szCs w:val="20"/>
          <w:color w:val="auto"/>
        </w:rPr>
      </w:pPr>
    </w:p>
    <w:p>
      <w:pPr>
        <w:spacing w:after="0" w:line="20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i w:val="1"/>
          <w:iCs w:val="1"/>
          <w:color w:val="auto"/>
        </w:rPr>
        <w:t>9.</w:t>
      </w:r>
      <w:r>
        <w:rPr>
          <w:sz w:val="20"/>
          <w:szCs w:val="20"/>
          <w:color w:val="auto"/>
        </w:rPr>
        <w:tab/>
      </w:r>
      <w:r>
        <w:rPr>
          <w:rFonts w:ascii="Arial" w:cs="Arial" w:eastAsia="Arial" w:hAnsi="Arial"/>
          <w:sz w:val="18"/>
          <w:szCs w:val="18"/>
          <w:b w:val="1"/>
          <w:bCs w:val="1"/>
          <w:i w:val="1"/>
          <w:iCs w:val="1"/>
          <w:color w:val="auto"/>
        </w:rPr>
        <w:t>EARNINGS PER SHARE</w:t>
      </w:r>
    </w:p>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September 27, 2015, 1,026,282 stock options and 34,200 restricted stock units were included in the calculation of Diluted EPS as such securities are dilutive. Inclusion of these securities resulted in 107,000 additional shares in the calculation of fully diluted earnings per share. For the nine-month period ended September 27, 2015, 431,532 stock options and 34,200 restricted stock units were included in the calculation of Diluted EPS as such securities are dilutive. Inclusion of these securities resulted in 47,000 additional shares in the calculation of fully diluted earnings per share. Due to our net losses in both the three-month and nine-month periods ended September 28, 2014, no dilutive securities were considered.</w:t>
      </w:r>
    </w:p>
    <w:p>
      <w:pPr>
        <w:spacing w:after="0" w:line="1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There were 1,264,422 and 2,020,588 outstanding stock options for the three-month periods ended September 27, 2015 and September 28, 2014, respectively, that were not included in EPS as the effect would be anti-dilutive. There were 1,859,172 and 2,020,588 outstanding stock options for the nine-month periods ended September 27, 2015 and September 28, 2014, respectively, that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16" w:right="239" w:bottom="1440" w:gutter="0" w:footer="0" w:header="0"/>
        </w:sectPr>
      </w:pPr>
    </w:p>
    <w:bookmarkStart w:id="12" w:name="page13"/>
    <w:bookmarkEnd w:id="12"/>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COMMITMENTS AND CONTINGENCIES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Purchase Commitments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As of September 27, 2015, we have made commitments to purchase approximately $358 of production machinery and equipment.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Product Warranties</w:t>
      </w:r>
    </w:p>
    <w:p>
      <w:pPr>
        <w:spacing w:after="0" w:line="20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nine months of 2015 and 2014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6"/>
          </w:tcPr>
          <w:p>
            <w:pPr>
              <w:jc w:val="right"/>
              <w:ind w:right="940"/>
              <w:spacing w:after="0"/>
              <w:rPr>
                <w:sz w:val="20"/>
                <w:szCs w:val="20"/>
                <w:color w:val="auto"/>
              </w:rPr>
            </w:pPr>
            <w:r>
              <w:rPr>
                <w:rFonts w:ascii="Arial" w:cs="Arial" w:eastAsia="Arial" w:hAnsi="Arial"/>
                <w:sz w:val="20"/>
                <w:szCs w:val="20"/>
                <w:b w:val="1"/>
                <w:bCs w:val="1"/>
                <w:color w:val="auto"/>
              </w:rPr>
              <w:t>Nine month periods ended</w:t>
            </w:r>
          </w:p>
        </w:tc>
      </w:tr>
      <w:tr>
        <w:trPr>
          <w:trHeight w:val="230"/>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89"/>
              </w:rPr>
              <w:t>September 27,</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w w:val="90"/>
              </w:rPr>
              <w:t>September 28,</w:t>
            </w:r>
          </w:p>
        </w:tc>
      </w:tr>
      <w:tr>
        <w:trPr>
          <w:trHeight w:val="252"/>
        </w:trPr>
        <w:tc>
          <w:tcPr>
            <w:tcW w:w="7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2015</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2014</w:t>
            </w:r>
          </w:p>
        </w:tc>
        <w:tc>
          <w:tcPr>
            <w:tcW w:w="100" w:type="dxa"/>
            <w:vAlign w:val="bottom"/>
            <w:tcBorders>
              <w:bottom w:val="single" w:sz="8" w:color="auto"/>
            </w:tcBorders>
          </w:tcPr>
          <w:p>
            <w:pPr>
              <w:spacing w:after="0"/>
              <w:rPr>
                <w:sz w:val="21"/>
                <w:szCs w:val="21"/>
                <w:color w:val="auto"/>
              </w:rPr>
            </w:pPr>
          </w:p>
        </w:tc>
      </w:tr>
      <w:tr>
        <w:trPr>
          <w:trHeight w:val="223"/>
        </w:trPr>
        <w:tc>
          <w:tcPr>
            <w:tcW w:w="732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Accrued warranty obligations – beginning</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20"/>
                <w:szCs w:val="20"/>
                <w:color w:val="auto"/>
              </w:rPr>
              <w:t>376</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44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513</w:t>
            </w:r>
          </w:p>
        </w:tc>
      </w:tr>
      <w:tr>
        <w:trPr>
          <w:trHeight w:val="230"/>
        </w:trPr>
        <w:tc>
          <w:tcPr>
            <w:tcW w:w="7320" w:type="dxa"/>
            <w:vAlign w:val="bottom"/>
          </w:tcPr>
          <w:p>
            <w:pPr>
              <w:ind w:left="100"/>
              <w:spacing w:after="0"/>
              <w:rPr>
                <w:sz w:val="20"/>
                <w:szCs w:val="20"/>
                <w:color w:val="auto"/>
              </w:rPr>
            </w:pPr>
            <w:r>
              <w:rPr>
                <w:rFonts w:ascii="Arial" w:cs="Arial" w:eastAsia="Arial" w:hAnsi="Arial"/>
                <w:sz w:val="20"/>
                <w:szCs w:val="20"/>
                <w:color w:val="auto"/>
              </w:rPr>
              <w:t>Accruals for warranties issued</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0"/>
                <w:szCs w:val="20"/>
                <w:color w:val="auto"/>
              </w:rPr>
              <w:t>16</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20"/>
                <w:szCs w:val="20"/>
                <w:color w:val="auto"/>
              </w:rPr>
              <w:t>77</w:t>
            </w: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Settlements made</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(29)</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(90)</w:t>
            </w:r>
          </w:p>
        </w:tc>
      </w:tr>
      <w:tr>
        <w:trPr>
          <w:trHeight w:val="243"/>
        </w:trPr>
        <w:tc>
          <w:tcPr>
            <w:tcW w:w="7320" w:type="dxa"/>
            <w:vAlign w:val="bottom"/>
          </w:tcPr>
          <w:p>
            <w:pPr>
              <w:ind w:left="100"/>
              <w:spacing w:after="0"/>
              <w:rPr>
                <w:sz w:val="20"/>
                <w:szCs w:val="20"/>
                <w:color w:val="auto"/>
              </w:rPr>
            </w:pPr>
            <w:r>
              <w:rPr>
                <w:rFonts w:ascii="Arial" w:cs="Arial" w:eastAsia="Arial" w:hAnsi="Arial"/>
                <w:sz w:val="20"/>
                <w:szCs w:val="20"/>
                <w:color w:val="auto"/>
              </w:rPr>
              <w:t>Effect of foreign currency translation</w:t>
            </w:r>
          </w:p>
        </w:tc>
        <w:tc>
          <w:tcPr>
            <w:tcW w:w="16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20"/>
                <w:szCs w:val="20"/>
                <w:color w:val="auto"/>
              </w:rPr>
              <w:t>(5)</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r>
      <w:tr>
        <w:trPr>
          <w:trHeight w:val="237"/>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Accrued warranty obligations – ending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 Contingencies and Legal Matters</w:t>
      </w:r>
    </w:p>
    <w:p>
      <w:pPr>
        <w:spacing w:after="0" w:line="20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Dreamliner Litigation</w:t>
      </w:r>
    </w:p>
    <w:p>
      <w:pPr>
        <w:spacing w:after="0" w:line="20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caused by circumstances related to the plane’s emergency locator transmitter (“ELT”) manufactured and installed by another company.</w:t>
      </w:r>
    </w:p>
    <w:p>
      <w:pPr>
        <w:spacing w:after="0" w:line="17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USD 42 million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33" w:right="239" w:bottom="1440" w:gutter="0" w:footer="0" w:header="0"/>
        </w:sectPr>
      </w:pPr>
    </w:p>
    <w:bookmarkStart w:id="13" w:name="page14"/>
    <w:bookmarkEnd w:id="13"/>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this time, we believe that there is not a reasonable possibility that this incident will result in a material financial exposure to the Company.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Arista Power Litigation</w:t>
      </w:r>
    </w:p>
    <w:p>
      <w:pPr>
        <w:spacing w:after="0" w:line="20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20"/>
          <w:szCs w:val="20"/>
          <w:color w:val="auto"/>
        </w:rPr>
        <w:t>In September 2011, we initiated an action against Arista Power, Inc. (“Arista”) and our former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As more fully disclosed in our Annual Report on Form 10-K for the year ended December 31, 2014, we allege that both Arista and Modeen breached agreements with us, that Arista’s employment of Modeen will inevitably lead to the disclosure and use of our trade secrets by Arista. We seek damages as determined at trial and preliminary and permanent injunctive relief. The defendants answered the allegations set forth in the Complaint and asserted claims against us</w:t>
      </w:r>
      <w:r>
        <w:rPr>
          <w:rFonts w:ascii="Arial" w:cs="Arial" w:eastAsia="Arial" w:hAnsi="Arial"/>
          <w:sz w:val="20"/>
          <w:szCs w:val="20"/>
          <w:color w:val="1F497D"/>
        </w:rPr>
        <w:t>,</w:t>
      </w:r>
      <w:r>
        <w:rPr>
          <w:rFonts w:ascii="Arial" w:cs="Arial" w:eastAsia="Arial" w:hAnsi="Arial"/>
          <w:sz w:val="20"/>
          <w:szCs w:val="20"/>
          <w:color w:val="auto"/>
        </w:rPr>
        <w:t xml:space="preserve"> which have since been dropped.</w:t>
      </w:r>
    </w:p>
    <w:p>
      <w:pPr>
        <w:spacing w:after="0" w:line="20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We initiated the September 2011 Complaint against Arista Power to protect our shareholders, customers and employees from the unauthorized use and theft of our investments in intellectual property, trade secrets and confidential information by Arista and its employees. Protecting our intellectual property and know-how, developed and obtained at great cost to us to form our competitive position in the marketplace and create value for our shareholders and stakeholders, is a fundamental responsibility of all our employees.</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Discovery in this action is ongoing, and we plan to continue to pursue our complaint against Arista. It is not possible to predict the outcome of this action, whether we will be granted the injunctive relief we seek, nor the monetary amount, if any, which we may be awarded should we prevail.</w:t>
      </w:r>
    </w:p>
    <w:p>
      <w:pPr>
        <w:spacing w:after="0" w:line="200" w:lineRule="exact"/>
        <w:rPr>
          <w:sz w:val="20"/>
          <w:szCs w:val="20"/>
          <w:color w:val="auto"/>
        </w:rPr>
      </w:pPr>
    </w:p>
    <w:p>
      <w:pPr>
        <w:spacing w:after="0" w:line="216"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BUSINESS SEGMENT INFORMATION</w:t>
      </w:r>
    </w:p>
    <w:p>
      <w:pPr>
        <w:spacing w:after="0" w:line="20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components of segment performance were as follows: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3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5"/>
          </w:tcPr>
          <w:p>
            <w:pPr>
              <w:ind w:left="160"/>
              <w:spacing w:after="0"/>
              <w:rPr>
                <w:rFonts w:ascii="Arial" w:cs="Arial" w:eastAsia="Arial" w:hAnsi="Arial"/>
                <w:sz w:val="18"/>
                <w:szCs w:val="18"/>
                <w:i w:val="1"/>
                <w:iCs w:val="1"/>
                <w:color w:val="0000EE"/>
                <w:w w:val="90"/>
              </w:rPr>
            </w:pPr>
            <w:hyperlink w:anchor="page2">
              <w:r>
                <w:rPr>
                  <w:rFonts w:ascii="Arial" w:cs="Arial" w:eastAsia="Arial" w:hAnsi="Arial"/>
                  <w:sz w:val="18"/>
                  <w:szCs w:val="18"/>
                  <w:i w:val="1"/>
                  <w:iCs w:val="1"/>
                  <w:color w:val="0000EE"/>
                  <w:w w:val="90"/>
                </w:rPr>
                <w:t>Table of Contents</w:t>
              </w:r>
            </w:hyperlink>
          </w:p>
        </w:tc>
      </w:tr>
      <w:tr>
        <w:trPr>
          <w:trHeight w:val="592"/>
        </w:trPr>
        <w:tc>
          <w:tcPr>
            <w:tcW w:w="4240" w:type="dxa"/>
            <w:vAlign w:val="bottom"/>
          </w:tcPr>
          <w:p>
            <w:pPr>
              <w:spacing w:after="0"/>
              <w:rPr>
                <w:sz w:val="20"/>
                <w:szCs w:val="20"/>
                <w:color w:val="auto"/>
              </w:rPr>
            </w:pPr>
            <w:r>
              <w:rPr>
                <w:rFonts w:ascii="Arial" w:cs="Arial" w:eastAsia="Arial" w:hAnsi="Arial"/>
                <w:sz w:val="20"/>
                <w:szCs w:val="20"/>
                <w:b w:val="1"/>
                <w:bCs w:val="1"/>
                <w:color w:val="auto"/>
                <w:w w:val="92"/>
              </w:rPr>
              <w:t>Three-Month Period Ended September 27, 2015: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94"/>
              </w:rPr>
              <w:t>Battery &amp;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Energy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6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8"/>
              </w:rPr>
              <w:t>Discontinued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87"/>
              </w:rPr>
              <w:t>Products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16,390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2,654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ind w:left="7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19,044</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4,774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1,126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(4,727)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1,173</w:t>
            </w: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and miscellaneous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Tax provision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(130)</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Discontinued operations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Net income attributable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3"/>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1,047</w:t>
            </w: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35,828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28,191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17,333</w:t>
            </w:r>
          </w:p>
        </w:tc>
        <w:tc>
          <w:tcPr>
            <w:tcW w:w="460" w:type="dxa"/>
            <w:vAlign w:val="bottom"/>
            <w:gridSpan w:val="3"/>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81,352</w:t>
            </w:r>
          </w:p>
        </w:tc>
        <w:tc>
          <w:tcPr>
            <w:tcW w:w="40" w:type="dxa"/>
            <w:vAlign w:val="bottom"/>
            <w:shd w:val="clear" w:color="auto" w:fill="CCEEFF"/>
          </w:tcPr>
          <w:p>
            <w:pPr>
              <w:spacing w:after="0"/>
              <w:rPr>
                <w:sz w:val="19"/>
                <w:szCs w:val="19"/>
                <w:color w:val="auto"/>
              </w:rPr>
            </w:pPr>
          </w:p>
        </w:tc>
      </w:tr>
      <w:tr>
        <w:trPr>
          <w:trHeight w:val="450"/>
        </w:trPr>
        <w:tc>
          <w:tcPr>
            <w:tcW w:w="4240" w:type="dxa"/>
            <w:vAlign w:val="bottom"/>
          </w:tcPr>
          <w:p>
            <w:pPr>
              <w:spacing w:after="0"/>
              <w:rPr>
                <w:sz w:val="20"/>
                <w:szCs w:val="20"/>
                <w:color w:val="auto"/>
              </w:rPr>
            </w:pPr>
            <w:r>
              <w:rPr>
                <w:rFonts w:ascii="Arial" w:cs="Arial" w:eastAsia="Arial" w:hAnsi="Arial"/>
                <w:sz w:val="20"/>
                <w:szCs w:val="20"/>
                <w:b w:val="1"/>
                <w:bCs w:val="1"/>
                <w:color w:val="auto"/>
                <w:w w:val="92"/>
              </w:rPr>
              <w:t>Three-Month Period Ended September 28, 2014: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94"/>
              </w:rPr>
              <w:t>Battery &amp;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Energy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6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8"/>
              </w:rPr>
              <w:t>Discontinued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87"/>
              </w:rPr>
              <w:t>Products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13,913</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2,149</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ind w:left="7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16,062</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3,812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674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(4,541)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and miscellaneous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(211)</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Tax provision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(60)</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Net loss attributable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(323)</w:t>
            </w:r>
          </w:p>
        </w:tc>
      </w:tr>
      <w:tr>
        <w:trPr>
          <w:trHeight w:val="250"/>
        </w:trPr>
        <w:tc>
          <w:tcPr>
            <w:tcW w:w="4240" w:type="dxa"/>
            <w:vAlign w:val="bottom"/>
          </w:tcPr>
          <w:p>
            <w:pPr>
              <w:ind w:left="100"/>
              <w:spacing w:after="0"/>
              <w:rPr>
                <w:sz w:val="20"/>
                <w:szCs w:val="20"/>
                <w:color w:val="auto"/>
              </w:rPr>
            </w:pPr>
            <w:r>
              <w:rPr>
                <w:rFonts w:ascii="Arial" w:cs="Arial" w:eastAsia="Arial" w:hAnsi="Arial"/>
                <w:sz w:val="20"/>
                <w:szCs w:val="20"/>
                <w:color w:val="auto"/>
              </w:rPr>
              <w:t>Total assets</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39,568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29,649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18,323</w:t>
            </w:r>
          </w:p>
        </w:tc>
        <w:tc>
          <w:tcPr>
            <w:tcW w:w="460" w:type="dxa"/>
            <w:vAlign w:val="bottom"/>
            <w:gridSpan w:val="3"/>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87,540</w:t>
            </w:r>
          </w:p>
        </w:tc>
        <w:tc>
          <w:tcPr>
            <w:tcW w:w="40" w:type="dxa"/>
            <w:vAlign w:val="bottom"/>
          </w:tcPr>
          <w:p>
            <w:pPr>
              <w:spacing w:after="0"/>
              <w:rPr>
                <w:sz w:val="21"/>
                <w:szCs w:val="21"/>
                <w:color w:val="auto"/>
              </w:rPr>
            </w:pPr>
          </w:p>
        </w:tc>
      </w:tr>
      <w:tr>
        <w:trPr>
          <w:trHeight w:val="429"/>
        </w:trPr>
        <w:tc>
          <w:tcPr>
            <w:tcW w:w="4240" w:type="dxa"/>
            <w:vAlign w:val="bottom"/>
          </w:tcPr>
          <w:p>
            <w:pPr>
              <w:spacing w:after="0"/>
              <w:rPr>
                <w:sz w:val="20"/>
                <w:szCs w:val="20"/>
                <w:color w:val="auto"/>
              </w:rPr>
            </w:pPr>
            <w:r>
              <w:rPr>
                <w:rFonts w:ascii="Arial" w:cs="Arial" w:eastAsia="Arial" w:hAnsi="Arial"/>
                <w:sz w:val="20"/>
                <w:szCs w:val="20"/>
                <w:b w:val="1"/>
                <w:bCs w:val="1"/>
                <w:color w:val="auto"/>
                <w:w w:val="95"/>
              </w:rPr>
              <w:t>Nine-Month Period Ended September 27, 2015: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94"/>
              </w:rPr>
              <w:t>Battery &amp;</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Energy</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6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8"/>
              </w:rPr>
              <w:t>Discontinued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61"/>
              <w:spacing w:after="0"/>
              <w:rPr>
                <w:sz w:val="20"/>
                <w:szCs w:val="20"/>
                <w:color w:val="auto"/>
              </w:rPr>
            </w:pPr>
            <w:r>
              <w:rPr>
                <w:rFonts w:ascii="Arial" w:cs="Arial" w:eastAsia="Arial" w:hAnsi="Arial"/>
                <w:sz w:val="20"/>
                <w:szCs w:val="20"/>
                <w:b w:val="1"/>
                <w:bCs w:val="1"/>
                <w:color w:val="auto"/>
                <w:w w:val="87"/>
              </w:rPr>
              <w:t>Products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48,638</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8,538</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ind w:left="7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57,176</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14,100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3,666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(14,954)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2,812</w:t>
            </w: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and miscellaneous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(156)</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Tax provision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(312)</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w:t>
            </w: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Net income attributable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2,367</w:t>
            </w:r>
          </w:p>
        </w:tc>
        <w:tc>
          <w:tcPr>
            <w:tcW w:w="40" w:type="dxa"/>
            <w:vAlign w:val="bottom"/>
            <w:shd w:val="clear" w:color="auto" w:fill="CCEEFF"/>
          </w:tcPr>
          <w:p>
            <w:pPr>
              <w:spacing w:after="0"/>
              <w:rPr>
                <w:sz w:val="19"/>
                <w:szCs w:val="19"/>
                <w:color w:val="auto"/>
              </w:rPr>
            </w:pPr>
          </w:p>
        </w:tc>
      </w:tr>
      <w:tr>
        <w:trPr>
          <w:trHeight w:val="756"/>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216"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5"/>
          </w:tcPr>
          <w:p>
            <w:pPr>
              <w:ind w:left="160"/>
              <w:spacing w:after="0"/>
              <w:rPr>
                <w:rFonts w:ascii="Arial" w:cs="Arial" w:eastAsia="Arial" w:hAnsi="Arial"/>
                <w:sz w:val="18"/>
                <w:szCs w:val="18"/>
                <w:i w:val="1"/>
                <w:iCs w:val="1"/>
                <w:color w:val="0000EE"/>
                <w:w w:val="90"/>
              </w:rPr>
            </w:pPr>
            <w:hyperlink w:anchor="page2">
              <w:r>
                <w:rPr>
                  <w:rFonts w:ascii="Arial" w:cs="Arial" w:eastAsia="Arial" w:hAnsi="Arial"/>
                  <w:sz w:val="18"/>
                  <w:szCs w:val="18"/>
                  <w:i w:val="1"/>
                  <w:iCs w:val="1"/>
                  <w:color w:val="0000EE"/>
                  <w:w w:val="90"/>
                </w:rPr>
                <w:t>Table of Contents</w:t>
              </w:r>
            </w:hyperlink>
          </w:p>
        </w:tc>
      </w:tr>
      <w:tr>
        <w:trPr>
          <w:trHeight w:val="362"/>
        </w:trPr>
        <w:tc>
          <w:tcPr>
            <w:tcW w:w="4240" w:type="dxa"/>
            <w:vAlign w:val="bottom"/>
          </w:tcPr>
          <w:p>
            <w:pPr>
              <w:spacing w:after="0"/>
              <w:rPr>
                <w:sz w:val="20"/>
                <w:szCs w:val="20"/>
                <w:color w:val="auto"/>
              </w:rPr>
            </w:pPr>
            <w:r>
              <w:rPr>
                <w:rFonts w:ascii="Arial" w:cs="Arial" w:eastAsia="Arial" w:hAnsi="Arial"/>
                <w:sz w:val="20"/>
                <w:szCs w:val="20"/>
                <w:b w:val="1"/>
                <w:bCs w:val="1"/>
                <w:color w:val="auto"/>
                <w:w w:val="95"/>
              </w:rPr>
              <w:t>Nine-Month Period Ended September 28, 2014: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4"/>
              </w:rPr>
              <w:t>Battery &amp;</w:t>
            </w:r>
          </w:p>
        </w:tc>
        <w:tc>
          <w:tcPr>
            <w:tcW w:w="1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0"/>
              </w:rPr>
              <w:t>Communi-</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1"/>
              </w:rPr>
              <w:t>Energy</w:t>
            </w: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cations</w:t>
            </w:r>
          </w:p>
        </w:tc>
        <w:tc>
          <w:tcPr>
            <w:tcW w:w="146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8"/>
              </w:rPr>
              <w:t>Discontinued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7"/>
              </w:rPr>
              <w:t>Products</w:t>
            </w:r>
          </w:p>
        </w:tc>
        <w:tc>
          <w:tcPr>
            <w:tcW w:w="1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2"/>
              </w:rPr>
              <w:t>systems</w:t>
            </w: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6"/>
              </w:rPr>
              <w:t>operations</w:t>
            </w:r>
          </w:p>
        </w:tc>
        <w:tc>
          <w:tcPr>
            <w:tcW w:w="1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Corporate</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Arial" w:cs="Arial" w:eastAsia="Arial" w:hAnsi="Arial"/>
                <w:sz w:val="20"/>
                <w:szCs w:val="20"/>
                <w:b w:val="1"/>
                <w:bCs w:val="1"/>
                <w:color w:val="auto"/>
              </w:rPr>
              <w:t>Total</w:t>
            </w:r>
          </w:p>
        </w:tc>
      </w:tr>
      <w:tr>
        <w:trPr>
          <w:trHeight w:val="223"/>
        </w:trPr>
        <w:tc>
          <w:tcPr>
            <w:tcW w:w="4240" w:type="dxa"/>
            <w:vAlign w:val="bottom"/>
            <w:tcBorders>
              <w:top w:val="single" w:sz="8" w:color="CCEEFF"/>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Revenues</w:t>
            </w: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40,000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6,546</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ind w:left="7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46,546</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Segment contribution</w:t>
            </w:r>
          </w:p>
        </w:tc>
        <w:tc>
          <w:tcPr>
            <w:tcW w:w="1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10,489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2,544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(15,508)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(2,475)</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Interest, financing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20"/>
                <w:szCs w:val="20"/>
                <w:color w:val="auto"/>
              </w:rPr>
              <w:t>and miscellaneous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expense,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(269)</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Tax provision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(177)</w:t>
            </w: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Discontinued operations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(61)</w:t>
            </w:r>
          </w:p>
        </w:tc>
      </w:tr>
      <w:tr>
        <w:trPr>
          <w:trHeight w:val="230"/>
        </w:trPr>
        <w:tc>
          <w:tcPr>
            <w:tcW w:w="4240" w:type="dxa"/>
            <w:vAlign w:val="bottom"/>
          </w:tcPr>
          <w:p>
            <w:pPr>
              <w:ind w:left="100"/>
              <w:spacing w:after="0"/>
              <w:rPr>
                <w:sz w:val="20"/>
                <w:szCs w:val="20"/>
                <w:color w:val="auto"/>
              </w:rPr>
            </w:pPr>
            <w:r>
              <w:rPr>
                <w:rFonts w:ascii="Arial" w:cs="Arial" w:eastAsia="Arial" w:hAnsi="Arial"/>
                <w:sz w:val="20"/>
                <w:szCs w:val="20"/>
                <w:color w:val="auto"/>
              </w:rPr>
              <w:t>Noncontrolling interest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w:t>
            </w: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Net loss attributable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50"/>
        </w:trPr>
        <w:tc>
          <w:tcPr>
            <w:tcW w:w="4240" w:type="dxa"/>
            <w:vAlign w:val="bottom"/>
          </w:tcPr>
          <w:p>
            <w:pPr>
              <w:ind w:left="260"/>
              <w:spacing w:after="0"/>
              <w:rPr>
                <w:sz w:val="20"/>
                <w:szCs w:val="20"/>
                <w:color w:val="auto"/>
              </w:rPr>
            </w:pPr>
            <w:r>
              <w:rPr>
                <w:rFonts w:ascii="Arial" w:cs="Arial" w:eastAsia="Arial" w:hAnsi="Arial"/>
                <w:sz w:val="20"/>
                <w:szCs w:val="20"/>
                <w:color w:val="auto"/>
              </w:rPr>
              <w:t>to Ultralife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gridSpan w:val="3"/>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(2,969)</w:t>
            </w:r>
          </w:p>
        </w:tc>
      </w:tr>
    </w:tbl>
    <w:p>
      <w:pPr>
        <w:spacing w:after="0" w:line="39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FAIR VALUE OF FINANCIAL INSTRUMENTS</w:t>
      </w:r>
    </w:p>
    <w:p>
      <w:pPr>
        <w:spacing w:after="0" w:line="20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September 27, 2015 and December 31, 2014. The fair value of cash, trade accounts receivable, trade accounts payable and accrued liabilities approximates carrying value due to the short-term nature of these instruments.</w:t>
      </w:r>
    </w:p>
    <w:p>
      <w:pPr>
        <w:spacing w:after="0" w:line="16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FIRE AT MANUFACTURING FACILITY</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In June 2011, we experienced a fire that damaged certain inventory and machinery and equipment at our facility in China. The total amount of the loss pertaining to assets and the related expenses was approximately $1,589. We have pursued a claim against our insurance policy, with the majority of our insurance claim related to the recovery of damaged inventory. We have received payments in June 2012 and April 2013 totaling approximately $1,286 as a partial payment on our insurance claim, which resulted in no gain or loss being recognized. As of September 27, 2015, we reflect a receivable from the insurance company relating to this claim of $177, which is net of our deductible of approximately $130, and represents additional proceeds expected to be received.</w:t>
      </w:r>
    </w:p>
    <w:p>
      <w:pPr>
        <w:spacing w:after="0" w:line="17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RECENT ACCOUNTING PRONOUNCEMENTS AND DEVELOPMENTS</w:t>
      </w:r>
    </w:p>
    <w:p>
      <w:pPr>
        <w:spacing w:after="0" w:line="20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In May 2014, the Financial Accounting Standards Board (FASB) issued Accounting Standards Update (ASU) 2014-09, “Revenue from Contracts with Customers.”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In April 2015, the FASB proposed a one year delay in the effective date of ASU 2014-09. This standard currently becomes effective for the Company on January 1, 2017, and the one-year delay, if promulgated as proposed, will make this standard effective for the Company on January 1, 2018. The Company is currently evaluating the potential impact of this new guidance as well as the available transition methods.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16" w:right="239" w:bottom="1440" w:gutter="0" w:footer="0" w:header="0"/>
        </w:sectPr>
      </w:pPr>
    </w:p>
    <w:bookmarkStart w:id="16" w:name="page17"/>
    <w:bookmarkEnd w:id="16"/>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possible reduced or further delayed U.S. and foreign defense spending, including the uncertainty of government budget approvals; possible delays or lack of success in our efforts to develop new commercial applications for our products; possible declines in demand for products using our batteries or communications systems; general domestic and global economic conditions; variability in our quarterly and annual results and price of our common stock; the unique risks associated with our Chinese operations; the possibility of impairment of our intangible assets; potential breaches in security and other disruptions; the possibility that our resources could be overwhelmed by our growth prospects; residual effects of negative news related to our industries; potential significant costs from our warranties; loss of top management; possible disruptions in our supply of raw materials and components; failure of customers to meet the volume expectations in our supply agreements; our inability to adequately protect our proprietary and intellectual property; the possibility that our ability to use our NOL carryforwards in the future may be limited; possible adverse effects from violations of the U.S. Foreign Corrupt Practices Act and other anti-corruption laws; variability of foreign currencies; the process of U.S. defense procurement; possible effects of audits of our contracts by the U.S. and foreign governments; our compliance with the regulations for the shipment of our products; business disruptions and other safety risks including those caused by fires; government and environmental regulations;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2014.</w:t>
      </w:r>
    </w:p>
    <w:p>
      <w:pPr>
        <w:spacing w:after="0" w:line="19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Undue reliance should not be placed on our forward-looking statements. Except as required by law, we disclaim any obligation to update any risk factors or to publicly announce any changes in any of the beliefs, assumptions or information underlying or affecting any of the forward-looking statements contained in this Quarterly Report on Form 10-Q or our Annual Report on Form 10-K for the year ended December 31, 2014 to reflect new information or risks, future events or other developments.</w:t>
      </w:r>
    </w:p>
    <w:p>
      <w:pPr>
        <w:spacing w:after="0" w:line="1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following discussion and analysis should be read in conjunction with the accompanying Condensed Consolidated Financial Statements and Notes thereto appearing elsewhere in this Form 10-Q and the Risk Factors and our Consolidated Financial Statements and Notes thereto contained in our Form 10-K for the year ended December 31, 2014.</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3" w:right="239" w:bottom="1440" w:gutter="0" w:footer="0" w:header="0"/>
        </w:sectPr>
      </w:pPr>
    </w:p>
    <w:bookmarkStart w:id="17" w:name="page18"/>
    <w:bookmarkEnd w:id="17"/>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9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systems kits and communications and electronics systems design. We believe that reporting performance at the gross profit level is the best indicator of segment performance. As such, we report segment performance at the gross profit level and operating expenses as corporate charges. (See Note 12 in the Notes to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Overview</w:t>
      </w:r>
    </w:p>
    <w:p>
      <w:pPr>
        <w:spacing w:after="0" w:line="22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Consolidated revenues of $19,044 for the three-month period ended September 27, 2015 increased by $2,982 or 18.6%, from $16,062 during the three-month period ended September 28, 2014, due primarily to increased orders from U.S. government and defense customers for our Battery &amp; Energy Products and Communications Systems businesses.</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Gross profit for the three-month period ended September 27, 2015 was $5,900, or 31.0% of revenues, compared to $4,486, or 27.9% of revenues, for the same quarter a year ago. The 310 basis points improvement is due primarily to favorable product mix, higher production volume increasing the absorption of factory overhead and continued productivity improvements.</w:t>
      </w:r>
    </w:p>
    <w:p>
      <w:pPr>
        <w:spacing w:after="0" w:line="20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Operating expenses increased to $4,725 during the three-month period ended September 27, 2015, compared to $4,541 during the three-month period ended September 28, 2014, resulting primarily from commissions related to the increased revenues and higher new product development costs.</w:t>
      </w:r>
    </w:p>
    <w:p>
      <w:pPr>
        <w:spacing w:after="0" w:line="20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increased revenue and resulting leverage on gross profit along with lower operating expenses resulted in an operating profit of $1,173 for the three-month period ended September 27, 2015, compared to an operating loss of $55 for the three-month period ended September 28, 2014. The year-over-year improvement in operating profit of $1,228 resulted from the 18.6% increase in sales that contributed $832 to the improvement of operating profit and the 310 basis point improvement in gross margin which contributed $583, partially offset by the higher operating expenses which reduced operating profit by $184.</w:t>
      </w:r>
    </w:p>
    <w:p>
      <w:pPr>
        <w:spacing w:after="0" w:line="20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Net income was $1,048, or $0.07 per diluted share, for the three-month period ended September 27, 2015, compared to a net loss of $(326), or $(0.02) per basic share, for the three-month period ended September 28, 2014.</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3" w:right="239" w:bottom="1440" w:gutter="0" w:footer="0" w:header="0"/>
        </w:sectPr>
      </w:pPr>
    </w:p>
    <w:bookmarkStart w:id="18" w:name="page19"/>
    <w:bookmarkEnd w:id="18"/>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Adjusted EBITDA from continuing operations, defined as net income (loss) attributable to Ultralife before net interest expense, provision (benefit) for income taxes, depreciation and amortization, amounted to $2,055 in the third quarter of 2015 compared to $815 in the third quarter of 2014. See the section “Adjusted EBITDA from continuing operations” beginning on Page 23 for a reconciliation of Adjusted EBITDA from continuing operations to net income (loss) attributable to Ultralife.</w:t>
      </w:r>
    </w:p>
    <w:p>
      <w:pPr>
        <w:spacing w:after="0" w:line="20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As a result of careful working capital management and cash generated from operations, our liquidity remains solid with no debt, and cash and cash equivalents of $14,585, a $3,126 or 17.7% decrease from our cash position of $17,711 at December 31, 2014. The decrease in cash and cash equivalents from year-end 2014 is primarily attributable to our purchases of stock under our Share Repurchase Program which totaled $9,228 inclusive of fees and commissions related to such purchases, partially offset by cash generated from our operating results and a 10.5% inventory reduction.</w:t>
      </w:r>
    </w:p>
    <w:p>
      <w:pPr>
        <w:spacing w:after="0" w:line="20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With our new products gaining traction and our opportunity set widening, we firmly believe our plans to produce revenue and earnings growth for 2015 are within reach.</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Three-month periods ended September 27, 2015 and September 28, 2014</w:t>
      </w:r>
    </w:p>
    <w:p>
      <w:pPr>
        <w:spacing w:after="0" w:line="22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Consolidated revenues for the three-month period ended September 27, 2015 amounted to $19,044, an increase of $2,982, or</w:t>
      </w:r>
      <w:r>
        <w:rPr>
          <w:rFonts w:ascii="Arial" w:cs="Arial" w:eastAsia="Arial" w:hAnsi="Arial"/>
          <w:sz w:val="20"/>
          <w:szCs w:val="20"/>
          <w:b w:val="1"/>
          <w:bCs w:val="1"/>
          <w:color w:val="auto"/>
        </w:rPr>
        <w:t xml:space="preserve"> </w:t>
      </w:r>
      <w:r>
        <w:rPr>
          <w:rFonts w:ascii="Arial" w:cs="Arial" w:eastAsia="Arial" w:hAnsi="Arial"/>
          <w:sz w:val="20"/>
          <w:szCs w:val="20"/>
          <w:color w:val="auto"/>
        </w:rPr>
        <w:t>18.6%, from the $16,062 reported for the three-month period ended September 28, 2014.</w:t>
      </w:r>
    </w:p>
    <w:p>
      <w:pPr>
        <w:spacing w:after="0" w:line="17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Battery &amp; Energy Products revenues increased $2,477, or 17.8%, from $13,913 for the three-month period ended September 28, 2014 to $16,390 for the three-month period ended September 27, 2015. The increase was primarily attributable to higher shipments of batteries to U.S. government and defense customers, which helped to increase government and defense shipments by 31.3% over the 2014 period, and now comprise 44% of total Battery &amp; Energy Products sales versus 39% for the third quarter of 2014. Commercial revenues for the third quarter of 2015 increased 9.1% over the year-earlier period due to higher shipments of 9-Volt batteries to large global smoke detector OEM’s and rechargeable batteries and chargers into medical channels.</w:t>
      </w:r>
    </w:p>
    <w:p>
      <w:pPr>
        <w:spacing w:after="0" w:line="21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Communications Systems revenues increased $505, or 23.5%, from $2,149 in the three-month period ended September 28, 2014 to $2,654 for the three-month period ended September 27, 2015. Similar to the first two quarters of 2015, for the third quarter, we continued to experience more broad-based sales as well as increases in our order flow reflecting increased demand from system integrators in support of U.S. Department of Defense program and international projects.</w:t>
      </w:r>
    </w:p>
    <w:p>
      <w:pPr>
        <w:spacing w:after="0" w:line="19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0"/>
          <w:szCs w:val="20"/>
          <w:b w:val="1"/>
          <w:bCs w:val="1"/>
          <w:color w:val="auto"/>
        </w:rPr>
        <w:t xml:space="preserve">Cost of Products Sold. </w:t>
      </w:r>
      <w:r>
        <w:rPr>
          <w:rFonts w:ascii="Arial" w:cs="Arial" w:eastAsia="Arial" w:hAnsi="Arial"/>
          <w:sz w:val="20"/>
          <w:szCs w:val="20"/>
          <w:color w:val="auto"/>
        </w:rPr>
        <w:t>Cost of products sold totaled $13,144 for the quarter ended September 27, 2015, an increase of $1,568, or 13.5%,</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$11,576 reported for the same quarter a year ago. Consolidated cost of products sold as a percentage of total revenue decreased from 72.1% for the three-month period ended September 28, 2014 to 69.0% for the three-month period ended September 27, 2015. Correspondingly, consolidated gross margin was 31.0% for the three-month period ended September 27, 2015, compared with 27.9% for the three-month period ended September 28, 2014, reflecting favorable product mix, higher production volume increasing the absorption of factory overhead and continued productivity improvements.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3" w:right="239" w:bottom="1440" w:gutter="0" w:footer="0" w:header="0"/>
        </w:sectPr>
      </w:pPr>
    </w:p>
    <w:bookmarkStart w:id="19" w:name="page20"/>
    <w:bookmarkEnd w:id="19"/>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In our Battery &amp; Energy Products segment, the cost of products sold increased $1,515, from $10,101 during the three-month period ended September 28, 2014 to $11,616 during the three-month period ended September 27, 2015. Battery &amp; Energy Products’ gross profit for the third quarter of 2015 was $4,774, or 29.1% of revenues, an increase of $962 from gross profit of $3,812, or 27.4% of revenues, for the third quarter of 2014. Battery &amp; Energy Products’ gross margin as a percentage of revenues increased for the three-month period ended September 27, 2015 by 170 basis points, reflecting favorable product mix, higher production volume and ongoing productivity improvements through the Lean process.</w:t>
      </w:r>
    </w:p>
    <w:p>
      <w:pPr>
        <w:spacing w:after="0" w:line="21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our Communications Systems segment, the cost of products sold increased $53 or 3.6% from $1,475 during the three-month period ended September 28, 2014 to $1,528 during the three-month period ended September 27, 2015. Communications Systems’ gross profit for the third quarter of 2015 was $1,126, or 42.4% of revenues, an increase of $452 from gross profit of $674, or 31.4% of revenues, for the third quarter of 2014. The 1,100 basis points increase in gross margin as a percentage of revenue during 2015 is driven primarily by both product mix and production volume.</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Operating expenses for the three-month period ended September 27, 2015 totaled $4,725, an increase of $184 or</w:t>
      </w:r>
      <w:r>
        <w:rPr>
          <w:rFonts w:ascii="Arial" w:cs="Arial" w:eastAsia="Arial" w:hAnsi="Arial"/>
          <w:sz w:val="20"/>
          <w:szCs w:val="20"/>
          <w:b w:val="1"/>
          <w:bCs w:val="1"/>
          <w:color w:val="auto"/>
        </w:rPr>
        <w:t xml:space="preserve"> </w:t>
      </w:r>
      <w:r>
        <w:rPr>
          <w:rFonts w:ascii="Arial" w:cs="Arial" w:eastAsia="Arial" w:hAnsi="Arial"/>
          <w:sz w:val="20"/>
          <w:szCs w:val="20"/>
          <w:color w:val="auto"/>
        </w:rPr>
        <w:t>4.1% from the $4,541 recorded during the three-month period ended September 28, 2014, resulting primarily from continued tight control over all discretionary spending.</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Overall, operating expenses as a percentage of revenues were 24.8% for the quarter ended September 27, 2015 compared to 28.3% for the quarter ended September 28, 2014. Amortization expense associated with intangible assets related to our acquisitions was $61 for the third quarter of 2015 ($29 in selling, general and administrative expenses and $32 in research and development costs), compared with $78 for the third quarter of 2014 ($34 in selling, general, and administrative expenses and $44 in research and development costs). Research and development costs were $1,224 for the three-month period ended September 27, 2015, an increase of $210, or 20.7%, from $1,014 for the three-months ended September 28, 2014, as we continued to focus our spending on the development of new products with the highest estimated return on investment. Selling, general, and administrative expenses decreased $24, or 0.7%, to $3,503 during the third quarter of 2015 from $3,527 during the third quarter of 2014, reflecting continued actions to reduce discretionary expenses.</w:t>
      </w:r>
    </w:p>
    <w:p>
      <w:pPr>
        <w:spacing w:after="0" w:line="17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9"/>
          <w:szCs w:val="19"/>
          <w:b w:val="1"/>
          <w:bCs w:val="1"/>
          <w:color w:val="auto"/>
        </w:rPr>
        <w:t xml:space="preserve">Other Income (Expense). </w:t>
      </w:r>
      <w:r>
        <w:rPr>
          <w:rFonts w:ascii="Arial" w:cs="Arial" w:eastAsia="Arial" w:hAnsi="Arial"/>
          <w:sz w:val="19"/>
          <w:szCs w:val="19"/>
          <w:color w:val="auto"/>
        </w:rPr>
        <w:t>Other income (expense) totaled $5 for the three-month period ended September 27, 2015 compared to ($211)</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three-month period ended September 28, 2014. Interest and financing expense, net of interest income, increased $12, to $65 for the third quarter of 2015 from $53 for the comparable period in 2014, as a result of costs to insure certain non-U.S. accounts receivable consistent with our Credit Agreement with PNC Bank. Miscellaneous income (expense) amounted to $70 for the third quarter of 2015 compared with ($158) for the third quarter of 2014, primarily due to transactions impacted by changes in foreign currencies.</w:t>
      </w:r>
    </w:p>
    <w:p>
      <w:pPr>
        <w:spacing w:after="0" w:line="185"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$130 for the third quarter of 2015, an increase of $70 as compared to the $60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third quarter of 2014, primarily as a result of estimated U.S. federal alternative minimum taxes and foreign income taxes.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See Note 8 in the Notes to Condensed Consolidated Financial Statements for additional information regarding our income taxes.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3" w:right="239" w:bottom="1440" w:gutter="0" w:footer="0" w:header="0"/>
        </w:sectPr>
      </w:pPr>
    </w:p>
    <w:bookmarkStart w:id="20" w:name="page21"/>
    <w:bookmarkEnd w:id="20"/>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Certain of our NOL carryforwards are subject to U.S. alternative minimum tax such that carryforwards can offset only 90% of alternative minimum taxable income. This limitation resulted in an estimated alternative minimum income tax provision for the third quarter of 2015 but did not have an impact on income taxes determined for the third quarter of 2014. The use of our U.K. NOL carryforwards may be limited due to the change in the U.K. operation during 2008 from a manufacturing and assembly center to primarily a distribution and service center and its subsequent change to a sales center in 2012.</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b w:val="1"/>
          <w:bCs w:val="1"/>
          <w:color w:val="auto"/>
        </w:rPr>
        <w:t xml:space="preserve">Net Income (Loss) Attributable to Ultralife. </w:t>
      </w:r>
      <w:r>
        <w:rPr>
          <w:rFonts w:ascii="Arial" w:cs="Arial" w:eastAsia="Arial" w:hAnsi="Arial"/>
          <w:sz w:val="20"/>
          <w:szCs w:val="20"/>
          <w:color w:val="auto"/>
        </w:rPr>
        <w:t>Net income (loss) attributable to Ultralife and income (loss) attributable to Ultralife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shareholders per diluted share was $1,047 and $0.07, respectively, for the three months ended September 27, 2015, compared to ($323) and $(0.02), respectively, for the three months ended September 28, 2014. Average common shares outstanding used to compute diluted earnings per share decreased from 17,490,000 in the third quarter of 2014 to 15,727,000 in the third quarter of 2015 due primarily to the repurchase of stock under our Share Repurchase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Nine-month periods ended September 27, 2015 and September 28, 2014</w:t>
      </w:r>
    </w:p>
    <w:p>
      <w:pPr>
        <w:spacing w:after="0" w:line="223"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Consolidated revenues for the nine-month period ended September 27, 2015 amounted to $57,176, an increase of $10,630 or</w:t>
      </w:r>
      <w:r>
        <w:rPr>
          <w:rFonts w:ascii="Arial" w:cs="Arial" w:eastAsia="Arial" w:hAnsi="Arial"/>
          <w:sz w:val="20"/>
          <w:szCs w:val="20"/>
          <w:b w:val="1"/>
          <w:bCs w:val="1"/>
          <w:color w:val="auto"/>
        </w:rPr>
        <w:t xml:space="preserve"> </w:t>
      </w:r>
      <w:r>
        <w:rPr>
          <w:rFonts w:ascii="Arial" w:cs="Arial" w:eastAsia="Arial" w:hAnsi="Arial"/>
          <w:sz w:val="20"/>
          <w:szCs w:val="20"/>
          <w:color w:val="auto"/>
        </w:rPr>
        <w:t>22.8%, from the $46,546 reported for the nine-month period ended September 28, 2014.</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Battery &amp; Energy Products revenues increased $8,638, or 21.6%, from $40,000 for the nine-month period ended September 28, 2014 to $48,638 for the nine-month period ended September 27, 2015. Government and defense sales of this business increased 51.5% over the 2014 nine-month period and now comprise 45.1% of total segment sales versus 36.2% last year. The year-over-year growth was driven by higher shipments of batteries and chargers to a large international prime defense supplier and shipments of primary batteries to the U.S. Government’s Defense Logistics Agency. Commercial sales increased 1.5% over the 2014 period reflecting higher shipments of 9-Volt batteries to global smoke-detector OEM’s and rechargeable batteries into medical channels.</w:t>
      </w:r>
    </w:p>
    <w:p>
      <w:pPr>
        <w:spacing w:after="0" w:line="1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Communications Systems revenues increased $1,992, or 30.4%, from $6,546 during the nine-month period ended September 28, 2014 to $8,538 for the nine-month period ended September 27, 2015, reflecting increased demand from system integrators in support of U.S. Department of Defense programs and international projects.</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$39,410 for the nine-month period ended September 27, 2015, an increase of $5,897,</w:t>
      </w:r>
      <w:r>
        <w:rPr>
          <w:rFonts w:ascii="Arial" w:cs="Arial" w:eastAsia="Arial" w:hAnsi="Arial"/>
          <w:sz w:val="18"/>
          <w:szCs w:val="18"/>
          <w:b w:val="1"/>
          <w:bCs w:val="1"/>
          <w:color w:val="auto"/>
        </w:rPr>
        <w:t xml:space="preserve"> </w:t>
      </w:r>
      <w:r>
        <w:rPr>
          <w:rFonts w:ascii="Arial" w:cs="Arial" w:eastAsia="Arial" w:hAnsi="Arial"/>
          <w:sz w:val="18"/>
          <w:szCs w:val="18"/>
          <w:color w:val="auto"/>
        </w:rPr>
        <w:t>or 17.6%, from the $33,513 reported for the same nine-month period a year ago. Consolidated cost of products sold as a percentage of total revenue decreased from 72.0% for the nine-month period ended September 28, 2014 to 68.9% for the nine-month period ended September 27, 2015. Correspondingly, consolidated gross margin was 31.1% for the nine-month period ended September 27, 2015, compared with 28.0% for the nine-month period ended September 28, 2014, reflecting favorable product mix, higher production volume increasing the absorption of factory overhead and continued productivity improvements through the Company’s Lean process.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3" w:right="239" w:bottom="1440" w:gutter="0" w:footer="0" w:header="0"/>
        </w:sectPr>
      </w:pPr>
    </w:p>
    <w:bookmarkStart w:id="21" w:name="page22"/>
    <w:bookmarkEnd w:id="21"/>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13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For our Battery &amp; Energy Products segment, the cost of products sold increased $5,027, from $29,511 during the nine-month period ended September 28, 2014 to $34,538 during the nine-month period ended September 27, 2015. Battery &amp; Energy Products’ gross profit for the 2015 nine-month period was $14,100, or 29.0% of revenues, an increase of $3,611 from gross profit of $10,489, or 26.2% of revenues, for the 2014 nine-month period. Battery &amp; Energy Products’ gross margin as a percentage of revenues increased for the nine-month period ended September 27, 2015 by 280 basis points, reflecting favorable mix, higher production volumes and ongoing productivity improvements through the Lean process.</w:t>
      </w:r>
    </w:p>
    <w:p>
      <w:pPr>
        <w:spacing w:after="0" w:line="21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For our Communications Systems segment, the cost of products sold increased by $870 or 21.7% from $4,002 during the nine-month period ended September 28, 2014 to $4,872 during the nine-month period ended September 27, 2015. Communications Systems’ gross profit for the first nine months of 2015 was $3,666, or 42.9% of revenues, an increase of $1,122 from gross profit of $2,544, or 38.9% of revenues, for the first nine months of 2014. The 400 basis points increase in gross margin as a percentage of revenue during 2015 is due to a greater mix of higher-margin new products and increased manufacturing throughput.</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Total operating expenses for the nine-month period ended September 27, 2015 totaled $14,954, a decrease of $554 or</w:t>
      </w:r>
      <w:r>
        <w:rPr>
          <w:rFonts w:ascii="Arial" w:cs="Arial" w:eastAsia="Arial" w:hAnsi="Arial"/>
          <w:sz w:val="20"/>
          <w:szCs w:val="20"/>
          <w:b w:val="1"/>
          <w:bCs w:val="1"/>
          <w:color w:val="auto"/>
        </w:rPr>
        <w:t xml:space="preserve"> </w:t>
      </w:r>
      <w:r>
        <w:rPr>
          <w:rFonts w:ascii="Arial" w:cs="Arial" w:eastAsia="Arial" w:hAnsi="Arial"/>
          <w:sz w:val="20"/>
          <w:szCs w:val="20"/>
          <w:color w:val="auto"/>
        </w:rPr>
        <w:t>3.6% from the $15,508 recorded during the nine-month period ended September 28, 2014, resulting primarily from continued tight control over all discretionary spending.</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Overall, operating expenses as a percentage of revenues were 26.2% for the nine-month period ended September 27, 2015 compared to 33.3% for the comparable 2014 period. Amortization expense associated with intangible assets related to our acquisitions was $180 for the first nine months of 2015 ($83 in selling, general and administrative expenses and $97 in research and development costs), compared with $232 for the first nine months of 2014 ($101 in selling, general, and administrative expenses and $131 in research and development costs). Research and development costs were $3,917 for the nine-month period ended September 27, 2015, a decrease of $93, or 2.3%, from $4,010 for the nine-months ended September 28, 2014, as we continued to focus our spending on the development of new products with the highest estimated return on investment. Selling, general, and administrative expenses decreased $461, or 4.0%, from $11,498 during the first nine months of 2014 to $11,037 during the first nine months of 2015, reflecting continued actions to reduce discretionary general and administrative expenses.</w:t>
      </w:r>
    </w:p>
    <w:p>
      <w:pPr>
        <w:spacing w:after="0" w:line="153"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(expense) totaled $(156) for the nine-month period ended September 27, 2015 compared to $(269)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three-month period ended September 28, 2014. Interest and financing expense, net of interest income, increased $54, to $195 for the 2015 period from $141 for the comparable period in 2014, as a result of costs to insure certain non-U.S. accounts receivable consistent withour Credit Agreement with PNC Bank. Miscellaneous income (expense) amounted to $39 for the first nine months of 2015 compared with ($128) for the first nine months of 2014, primarily due to transactions impacted by changes in foreign currencies relative.</w:t>
      </w:r>
    </w:p>
    <w:p>
      <w:pPr>
        <w:spacing w:after="0" w:line="170"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$312 for the first three quarters of 2015 compared with a tax provision of $177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three quarters of 2014. The increase of $135, or 76.3% was due to estimated U.S. alternative minimum taxes in 2015 and increased foreign tax liabilities. The effective consolidated tax rate for the nine-month periods ended September 27, 2015 and September 28, 2014 were:</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Borders>
              <w:bottom w:val="single" w:sz="8" w:color="0000EE"/>
            </w:tcBorders>
          </w:tcPr>
          <w:p>
            <w:pPr>
              <w:jc w:val="right"/>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c>
          <w:tcPr>
            <w:tcW w:w="40" w:type="dxa"/>
            <w:vAlign w:val="bottom"/>
          </w:tcPr>
          <w:p>
            <w:pPr>
              <w:spacing w:after="0"/>
              <w:rPr>
                <w:sz w:val="17"/>
                <w:szCs w:val="17"/>
                <w:color w:val="auto"/>
              </w:rPr>
            </w:pPr>
          </w:p>
        </w:tc>
      </w:tr>
      <w:tr>
        <w:trPr>
          <w:trHeight w:val="565"/>
        </w:trPr>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gridSpan w:val="5"/>
          </w:tcPr>
          <w:p>
            <w:pPr>
              <w:jc w:val="right"/>
              <w:ind w:right="1000"/>
              <w:spacing w:after="0"/>
              <w:rPr>
                <w:sz w:val="20"/>
                <w:szCs w:val="20"/>
                <w:color w:val="auto"/>
              </w:rPr>
            </w:pPr>
            <w:r>
              <w:rPr>
                <w:rFonts w:ascii="Arial" w:cs="Arial" w:eastAsia="Arial" w:hAnsi="Arial"/>
                <w:sz w:val="20"/>
                <w:szCs w:val="20"/>
                <w:b w:val="1"/>
                <w:bCs w:val="1"/>
                <w:color w:val="auto"/>
              </w:rPr>
              <w:t>Nine-month periods ended</w:t>
            </w:r>
          </w:p>
        </w:tc>
      </w:tr>
      <w:tr>
        <w:trPr>
          <w:trHeight w:val="243"/>
        </w:trPr>
        <w:tc>
          <w:tcPr>
            <w:tcW w:w="7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21"/>
              <w:spacing w:after="0"/>
              <w:rPr>
                <w:sz w:val="20"/>
                <w:szCs w:val="20"/>
                <w:color w:val="auto"/>
              </w:rPr>
            </w:pPr>
            <w:r>
              <w:rPr>
                <w:rFonts w:ascii="Arial" w:cs="Arial" w:eastAsia="Arial" w:hAnsi="Arial"/>
                <w:sz w:val="20"/>
                <w:szCs w:val="20"/>
                <w:b w:val="1"/>
                <w:bCs w:val="1"/>
                <w:color w:val="auto"/>
                <w:w w:val="90"/>
              </w:rPr>
              <w:t>September 27,</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20"/>
                <w:szCs w:val="20"/>
                <w:b w:val="1"/>
                <w:bCs w:val="1"/>
                <w:color w:val="auto"/>
                <w:w w:val="97"/>
              </w:rPr>
              <w:t>June 29,</w:t>
            </w:r>
          </w:p>
        </w:tc>
      </w:tr>
      <w:tr>
        <w:trPr>
          <w:trHeight w:val="252"/>
        </w:trPr>
        <w:tc>
          <w:tcPr>
            <w:tcW w:w="7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2015</w:t>
            </w:r>
          </w:p>
        </w:tc>
        <w:tc>
          <w:tcPr>
            <w:tcW w:w="9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20"/>
                <w:szCs w:val="20"/>
                <w:b w:val="1"/>
                <w:bCs w:val="1"/>
                <w:color w:val="auto"/>
              </w:rPr>
              <w:t>2014</w:t>
            </w:r>
          </w:p>
        </w:tc>
        <w:tc>
          <w:tcPr>
            <w:tcW w:w="40" w:type="dxa"/>
            <w:vAlign w:val="bottom"/>
            <w:tcBorders>
              <w:bottom w:val="single" w:sz="8" w:color="auto"/>
            </w:tcBorders>
          </w:tcPr>
          <w:p>
            <w:pPr>
              <w:spacing w:after="0"/>
              <w:rPr>
                <w:sz w:val="21"/>
                <w:szCs w:val="21"/>
                <w:color w:val="auto"/>
              </w:rPr>
            </w:pPr>
          </w:p>
        </w:tc>
      </w:tr>
      <w:tr>
        <w:trPr>
          <w:trHeight w:val="223"/>
        </w:trPr>
        <w:tc>
          <w:tcPr>
            <w:tcW w:w="7180" w:type="dxa"/>
            <w:vAlign w:val="bottom"/>
            <w:shd w:val="clear" w:color="auto" w:fill="CCEEFF"/>
          </w:tcPr>
          <w:p>
            <w:pPr>
              <w:ind w:left="100"/>
              <w:spacing w:after="0" w:line="223" w:lineRule="exact"/>
              <w:rPr>
                <w:sz w:val="20"/>
                <w:szCs w:val="20"/>
                <w:color w:val="auto"/>
              </w:rPr>
            </w:pPr>
            <w:r>
              <w:rPr>
                <w:rFonts w:ascii="Arial" w:cs="Arial" w:eastAsia="Arial" w:hAnsi="Arial"/>
                <w:sz w:val="20"/>
                <w:szCs w:val="20"/>
                <w:color w:val="auto"/>
              </w:rPr>
              <w:t>Income (loss) income from continuing operations before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20"/>
                <w:szCs w:val="20"/>
                <w:color w:val="auto"/>
              </w:rPr>
              <w:t>income taxes (a)</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2,656</w:t>
            </w:r>
          </w:p>
        </w:tc>
        <w:tc>
          <w:tcPr>
            <w:tcW w:w="13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3"/>
              <w:spacing w:after="0"/>
              <w:rPr>
                <w:sz w:val="20"/>
                <w:szCs w:val="20"/>
                <w:color w:val="auto"/>
              </w:rPr>
            </w:pPr>
            <w:r>
              <w:rPr>
                <w:rFonts w:ascii="Arial" w:cs="Arial" w:eastAsia="Arial" w:hAnsi="Arial"/>
                <w:sz w:val="20"/>
                <w:szCs w:val="20"/>
                <w:color w:val="auto"/>
              </w:rPr>
              <w:t>(2,744)</w:t>
            </w:r>
          </w:p>
        </w:tc>
        <w:tc>
          <w:tcPr>
            <w:tcW w:w="40" w:type="dxa"/>
            <w:vAlign w:val="bottom"/>
          </w:tcPr>
          <w:p>
            <w:pPr>
              <w:spacing w:after="0"/>
              <w:rPr>
                <w:sz w:val="19"/>
                <w:szCs w:val="19"/>
                <w:color w:val="auto"/>
              </w:rPr>
            </w:pPr>
          </w:p>
        </w:tc>
      </w:tr>
      <w:tr>
        <w:trPr>
          <w:trHeight w:val="230"/>
        </w:trPr>
        <w:tc>
          <w:tcPr>
            <w:tcW w:w="7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7180" w:type="dxa"/>
            <w:vAlign w:val="bottom"/>
          </w:tcPr>
          <w:p>
            <w:pPr>
              <w:ind w:left="100"/>
              <w:spacing w:after="0"/>
              <w:rPr>
                <w:sz w:val="20"/>
                <w:szCs w:val="20"/>
                <w:color w:val="auto"/>
              </w:rPr>
            </w:pPr>
            <w:r>
              <w:rPr>
                <w:rFonts w:ascii="Arial" w:cs="Arial" w:eastAsia="Arial" w:hAnsi="Arial"/>
                <w:sz w:val="20"/>
                <w:szCs w:val="20"/>
                <w:color w:val="auto"/>
              </w:rPr>
              <w:t>Income tax provision (b)</w:t>
            </w:r>
          </w:p>
        </w:tc>
        <w:tc>
          <w:tcPr>
            <w:tcW w:w="160" w:type="dxa"/>
            <w:vAlign w:val="bottom"/>
          </w:tcPr>
          <w:p>
            <w:pPr>
              <w:spacing w:after="0"/>
              <w:rPr>
                <w:sz w:val="19"/>
                <w:szCs w:val="19"/>
                <w:color w:val="auto"/>
              </w:rPr>
            </w:pP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312</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03"/>
              <w:spacing w:after="0"/>
              <w:rPr>
                <w:sz w:val="20"/>
                <w:szCs w:val="20"/>
                <w:color w:val="auto"/>
              </w:rPr>
            </w:pPr>
            <w:r>
              <w:rPr>
                <w:rFonts w:ascii="Arial" w:cs="Arial" w:eastAsia="Arial" w:hAnsi="Arial"/>
                <w:sz w:val="20"/>
                <w:szCs w:val="20"/>
                <w:color w:val="auto"/>
              </w:rPr>
              <w:t>177</w:t>
            </w:r>
          </w:p>
        </w:tc>
        <w:tc>
          <w:tcPr>
            <w:tcW w:w="40" w:type="dxa"/>
            <w:vAlign w:val="bottom"/>
          </w:tcPr>
          <w:p>
            <w:pPr>
              <w:spacing w:after="0"/>
              <w:rPr>
                <w:sz w:val="19"/>
                <w:szCs w:val="19"/>
                <w:color w:val="auto"/>
              </w:rPr>
            </w:pPr>
          </w:p>
        </w:tc>
      </w:tr>
      <w:tr>
        <w:trPr>
          <w:trHeight w:val="230"/>
        </w:trPr>
        <w:tc>
          <w:tcPr>
            <w:tcW w:w="7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50"/>
        </w:trPr>
        <w:tc>
          <w:tcPr>
            <w:tcW w:w="7180" w:type="dxa"/>
            <w:vAlign w:val="bottom"/>
          </w:tcPr>
          <w:p>
            <w:pPr>
              <w:ind w:left="100"/>
              <w:spacing w:after="0"/>
              <w:rPr>
                <w:sz w:val="20"/>
                <w:szCs w:val="20"/>
                <w:color w:val="auto"/>
              </w:rPr>
            </w:pPr>
            <w:r>
              <w:rPr>
                <w:rFonts w:ascii="Arial" w:cs="Arial" w:eastAsia="Arial" w:hAnsi="Arial"/>
                <w:sz w:val="20"/>
                <w:szCs w:val="20"/>
                <w:color w:val="auto"/>
              </w:rPr>
              <w:t>Effective income tax rate (b/a)</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11.7%</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0"/>
                <w:szCs w:val="20"/>
                <w:color w:val="auto"/>
              </w:rPr>
              <w:t>(6.5)%</w:t>
            </w:r>
          </w:p>
        </w:tc>
      </w:tr>
    </w:tbl>
    <w:p>
      <w:pPr>
        <w:spacing w:after="0" w:line="19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See Note 8 in the Notes to Condensed Consolidated Financial Statements for additional information regarding our income taxes.</w:t>
      </w:r>
    </w:p>
    <w:p>
      <w:pPr>
        <w:spacing w:after="0" w:line="235"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Income (Loss) from discontinued operations, net of tax, totaled $0 for the first nine months of 2015,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($61) for the comparable period in 2014. The loss for the 2014 period reflects the final settlement of the sale of our RedBlack business.</w:t>
      </w:r>
    </w:p>
    <w:p>
      <w:pPr>
        <w:spacing w:after="0" w:line="13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9"/>
          <w:szCs w:val="19"/>
          <w:b w:val="1"/>
          <w:bCs w:val="1"/>
          <w:color w:val="auto"/>
        </w:rPr>
        <w:t xml:space="preserve">Net Income (Loss) Attributable to Ultralife. </w:t>
      </w:r>
      <w:r>
        <w:rPr>
          <w:rFonts w:ascii="Arial" w:cs="Arial" w:eastAsia="Arial" w:hAnsi="Arial"/>
          <w:sz w:val="19"/>
          <w:szCs w:val="19"/>
          <w:color w:val="auto"/>
        </w:rPr>
        <w:t>Net income (loss) attributable to Ultralife and income (loss) attributable to Ultralife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per diluted share was $2,367 and $0.14, respectively, for the nine months ended September 27, 2015, compared to $($2,969) and $(0.17), respectively, for the nine months ended September 28, 2014. Average common shares outstanding used to compute diluted earnings per share decreased from 17,510,000 in the 2014 period to 16,548,000 in the 2015 period, mainly due to the repurchase of stock under our Share Repurchase Plan, offset slightly by stock option exercises and the vesting of restricted stock units.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EBITDA from Continuing Operations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16" w:right="239" w:bottom="1440" w:gutter="0" w:footer="0" w:header="0"/>
        </w:sectPr>
      </w:pPr>
    </w:p>
    <w:bookmarkStart w:id="23" w:name="page24"/>
    <w:bookmarkEnd w:id="23"/>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8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94" w:lineRule="exact"/>
        <w:rPr>
          <w:sz w:val="20"/>
          <w:szCs w:val="20"/>
          <w:color w:val="auto"/>
        </w:rPr>
      </w:pPr>
    </w:p>
    <w:p>
      <w:pPr>
        <w:jc w:val="both"/>
        <w:ind w:left="1080" w:hanging="316"/>
        <w:spacing w:after="0" w:line="263" w:lineRule="auto"/>
        <w:tabs>
          <w:tab w:leader="none" w:pos="10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90" w:lineRule="exact"/>
        <w:rPr>
          <w:rFonts w:ascii="Arial" w:cs="Arial" w:eastAsia="Arial" w:hAnsi="Arial"/>
          <w:sz w:val="19"/>
          <w:szCs w:val="19"/>
          <w:color w:val="auto"/>
        </w:rPr>
      </w:pPr>
    </w:p>
    <w:p>
      <w:pPr>
        <w:jc w:val="both"/>
        <w:ind w:left="1080" w:hanging="316"/>
        <w:spacing w:after="0" w:line="250" w:lineRule="auto"/>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99" w:lineRule="exact"/>
        <w:rPr>
          <w:rFonts w:ascii="Arial" w:cs="Arial" w:eastAsia="Arial" w:hAnsi="Arial"/>
          <w:sz w:val="20"/>
          <w:szCs w:val="20"/>
          <w:color w:val="auto"/>
        </w:rPr>
      </w:pPr>
    </w:p>
    <w:p>
      <w:pPr>
        <w:jc w:val="both"/>
        <w:ind w:left="1080" w:hanging="316"/>
        <w:spacing w:after="0" w:line="250" w:lineRule="auto"/>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99" w:lineRule="exact"/>
        <w:rPr>
          <w:rFonts w:ascii="Arial" w:cs="Arial" w:eastAsia="Arial" w:hAnsi="Arial"/>
          <w:sz w:val="20"/>
          <w:szCs w:val="20"/>
          <w:color w:val="auto"/>
        </w:rPr>
      </w:pPr>
    </w:p>
    <w:p>
      <w:pPr>
        <w:jc w:val="both"/>
        <w:ind w:left="1080" w:hanging="316"/>
        <w:spacing w:after="0" w:line="250" w:lineRule="auto"/>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99" w:lineRule="exact"/>
        <w:rPr>
          <w:rFonts w:ascii="Arial" w:cs="Arial" w:eastAsia="Arial" w:hAnsi="Arial"/>
          <w:sz w:val="20"/>
          <w:szCs w:val="20"/>
          <w:color w:val="auto"/>
        </w:rPr>
      </w:pPr>
    </w:p>
    <w:p>
      <w:pPr>
        <w:ind w:left="1080" w:hanging="316"/>
        <w:spacing w:after="0" w:line="260" w:lineRule="auto"/>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other companies may calculate Adjusted EBITDA from continuing operations differently than we do, limiting its usefulness as a comparative measure.</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3" w:right="239" w:bottom="1440" w:gutter="0" w:footer="0" w:header="0"/>
        </w:sectPr>
      </w:pPr>
    </w:p>
    <w:bookmarkStart w:id="24" w:name="page25"/>
    <w:bookmarkEnd w:id="24"/>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138" w:lineRule="exact"/>
        <w:rPr>
          <w:sz w:val="20"/>
          <w:szCs w:val="20"/>
          <w:color w:val="auto"/>
        </w:rPr>
      </w:pPr>
    </w:p>
    <w:p>
      <w:pPr>
        <w:ind w:right="760" w:firstLine="324"/>
        <w:spacing w:after="0" w:line="316"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Nine-month periods ended</w:t>
            </w:r>
          </w:p>
        </w:tc>
      </w:tr>
      <w:tr>
        <w:trPr>
          <w:trHeight w:val="230"/>
        </w:trPr>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September 27,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September 28,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September 27,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September 28,</w:t>
            </w:r>
          </w:p>
        </w:tc>
      </w:tr>
      <w:tr>
        <w:trPr>
          <w:trHeight w:val="234"/>
        </w:trPr>
        <w:tc>
          <w:tcPr>
            <w:tcW w:w="3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Net income (loss) attributable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980" w:type="dxa"/>
            <w:vAlign w:val="bottom"/>
          </w:tcPr>
          <w:p>
            <w:pPr>
              <w:jc w:val="right"/>
              <w:ind w:right="2761"/>
              <w:spacing w:after="0"/>
              <w:rPr>
                <w:sz w:val="20"/>
                <w:szCs w:val="20"/>
                <w:color w:val="auto"/>
              </w:rPr>
            </w:pPr>
            <w:r>
              <w:rPr>
                <w:rFonts w:ascii="Arial" w:cs="Arial" w:eastAsia="Arial" w:hAnsi="Arial"/>
                <w:sz w:val="20"/>
                <w:szCs w:val="20"/>
                <w:color w:val="auto"/>
              </w:rPr>
              <w:t>to Ultralife</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1,047</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(323)</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2,367</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(2,969)</w:t>
            </w:r>
          </w:p>
        </w:tc>
      </w:tr>
      <w:tr>
        <w:trPr>
          <w:trHeight w:val="230"/>
        </w:trPr>
        <w:tc>
          <w:tcPr>
            <w:tcW w:w="39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Add (subtract):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color w:val="auto"/>
              </w:rPr>
              <w:t>Interest and financing expense, net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65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195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141</w:t>
            </w:r>
          </w:p>
        </w:tc>
      </w:tr>
      <w:tr>
        <w:trPr>
          <w:trHeight w:val="230"/>
        </w:trPr>
        <w:tc>
          <w:tcPr>
            <w:tcW w:w="3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Income tax provision</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130</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312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177</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color w:val="auto"/>
              </w:rPr>
              <w:t>Depreciation expense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617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1,795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2,174</w:t>
            </w:r>
          </w:p>
        </w:tc>
      </w:tr>
      <w:tr>
        <w:trPr>
          <w:trHeight w:val="230"/>
        </w:trPr>
        <w:tc>
          <w:tcPr>
            <w:tcW w:w="3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Amortization of intangible assets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61</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180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232</w:t>
            </w:r>
          </w:p>
        </w:tc>
      </w:tr>
      <w:tr>
        <w:trPr>
          <w:trHeight w:val="230"/>
        </w:trPr>
        <w:tc>
          <w:tcPr>
            <w:tcW w:w="3980" w:type="dxa"/>
            <w:vAlign w:val="bottom"/>
          </w:tcPr>
          <w:p>
            <w:pPr>
              <w:ind w:left="200"/>
              <w:spacing w:after="0"/>
              <w:rPr>
                <w:sz w:val="20"/>
                <w:szCs w:val="20"/>
                <w:color w:val="auto"/>
              </w:rPr>
            </w:pPr>
            <w:r>
              <w:rPr>
                <w:rFonts w:ascii="Arial" w:cs="Arial" w:eastAsia="Arial" w:hAnsi="Arial"/>
                <w:sz w:val="20"/>
                <w:szCs w:val="20"/>
                <w:color w:val="auto"/>
              </w:rPr>
              <w:t>Stock-based compensation expense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20"/>
                <w:szCs w:val="20"/>
                <w:color w:val="auto"/>
              </w:rPr>
              <w:t>135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439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761</w:t>
            </w:r>
          </w:p>
        </w:tc>
      </w:tr>
      <w:tr>
        <w:trPr>
          <w:trHeight w:val="213"/>
        </w:trPr>
        <w:tc>
          <w:tcPr>
            <w:tcW w:w="3980" w:type="dxa"/>
            <w:vAlign w:val="bottom"/>
            <w:shd w:val="clear" w:color="auto" w:fill="CCEEFF"/>
          </w:tcPr>
          <w:p>
            <w:pPr>
              <w:ind w:left="100"/>
              <w:spacing w:after="0" w:line="213" w:lineRule="exact"/>
              <w:rPr>
                <w:sz w:val="20"/>
                <w:szCs w:val="20"/>
                <w:color w:val="auto"/>
              </w:rPr>
            </w:pPr>
            <w:r>
              <w:rPr>
                <w:rFonts w:ascii="Arial" w:cs="Arial" w:eastAsia="Arial" w:hAnsi="Arial"/>
                <w:sz w:val="20"/>
                <w:szCs w:val="20"/>
                <w:color w:val="auto"/>
              </w:rPr>
              <w:t>Impairment of long-lived 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6"/>
        </w:trPr>
        <w:tc>
          <w:tcPr>
            <w:tcW w:w="3980" w:type="dxa"/>
            <w:vAlign w:val="bottom"/>
            <w:shd w:val="clear" w:color="auto" w:fill="CCEEFF"/>
          </w:tcPr>
          <w:p>
            <w:pPr>
              <w:ind w:left="100"/>
              <w:spacing w:after="0"/>
              <w:rPr>
                <w:sz w:val="20"/>
                <w:szCs w:val="20"/>
                <w:color w:val="auto"/>
              </w:rPr>
            </w:pPr>
            <w:r>
              <w:rPr>
                <w:rFonts w:ascii="Arial" w:cs="Arial" w:eastAsia="Arial" w:hAnsi="Arial"/>
                <w:sz w:val="20"/>
                <w:szCs w:val="20"/>
                <w:color w:val="auto"/>
              </w:rPr>
              <w:t>Loss (gain) from discontinued</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36</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r>
      <w:tr>
        <w:trPr>
          <w:trHeight w:val="243"/>
        </w:trPr>
        <w:tc>
          <w:tcPr>
            <w:tcW w:w="3980" w:type="dxa"/>
            <w:vAlign w:val="bottom"/>
          </w:tcPr>
          <w:p>
            <w:pPr>
              <w:jc w:val="right"/>
              <w:ind w:right="2761"/>
              <w:spacing w:after="0"/>
              <w:rPr>
                <w:sz w:val="20"/>
                <w:szCs w:val="20"/>
                <w:color w:val="auto"/>
              </w:rPr>
            </w:pPr>
            <w:r>
              <w:rPr>
                <w:rFonts w:ascii="Arial" w:cs="Arial" w:eastAsia="Arial" w:hAnsi="Arial"/>
                <w:sz w:val="20"/>
                <w:szCs w:val="20"/>
                <w:color w:val="auto"/>
              </w:rPr>
              <w:t>operations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61</w:t>
            </w:r>
          </w:p>
        </w:tc>
      </w:tr>
      <w:tr>
        <w:trPr>
          <w:trHeight w:val="237"/>
        </w:trPr>
        <w:tc>
          <w:tcPr>
            <w:tcW w:w="3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20"/>
                <w:szCs w:val="20"/>
                <w:color w:val="auto"/>
              </w:rPr>
              <w:t>Adjusted EBITDA</w:t>
            </w: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 and Capital Resources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27, 2015, cash and cash equivalents totaled $14,585, a decrease of $3,126 from the beginning of the year. During the nine-month period ended September 27, 2015, we generated $7,428 of cash from our operating activities as compared to cash generated totaling $505 during the nine-month period ended September 28, 2014. Cash generated from operations in 2015 included our net income of $2,344 plus non-cash expenses (depreciation, amortization and stock-based compensation) totaling $2,502, and cash provided by a $2,621 decrease in inventories and $455 increase in accounts payable and other liabilities, offset partially by an increase in prepaid expenses and other assets of $630. Cash generated from operations in 2014 was positive despite our net loss of $2,982, as the loss was more than offset by non-cash expenses totaling $3,180. Cash generated from operations in 2014 resulted primarily from a $3,755 decrease in accounts receivable, offset partially by our loss of $2,982, a decrease in accounts payable and other liabilities of $1,017 and an increase in inventories which totaled $2,460.</w:t>
      </w:r>
    </w:p>
    <w:p>
      <w:pPr>
        <w:spacing w:after="0" w:line="15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Inventory turnover for the first nine months of 2015 was an annualized rate of approximately 2.1 turns per year, a slight improvement over the 2.0 figure from the first nine months of 2014.</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used $1,298 in cash for investing activities during the nine month period ended September 27, 2015 compared with $968 in cash used for investing activities in the same period in 2014. In both periods, this spending was principally for the purchase of property, equipment and improvements.</w:t>
      </w:r>
    </w:p>
    <w:p>
      <w:pPr>
        <w:spacing w:after="0" w:line="20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As of September 27, 2015, we had made commitments to purchase approximately $358 of production machinery and equipment, which we expect to fund through operating cash flows or debt borrowings.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3" w:right="239" w:bottom="1440" w:gutter="0" w:footer="0" w:header="0"/>
        </w:sectPr>
      </w:pPr>
    </w:p>
    <w:bookmarkStart w:id="25" w:name="page26"/>
    <w:bookmarkEnd w:id="25"/>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On April 28, 2014, the Company’s Board of Directors approved a share repurchase program (the “Share Repurchase Program”) which became effective on May 1, 2014, under which the Company was initially authorized to repurchase up to 1.8 million shares of its outstanding common stock over a period not to exceed twelve months. On April 28, 2015, the Board of Directors authorized an extension of the Share Repurchase Program for an additional twelve month period beginning May 1, 2015 and ending April 30, 2016, subject, for the entire period as extended, to the 1.8 million share aggregate limit established in the initial authorization. On June 2, 2015, the Board of Directors approved an expansion and extension of the Share Repurchase Program, authorizing the repurchase of up to an additional 1.6 million shares through June 2, 2016.</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During the three month period ended September 27, 2015, the Company repurchased 748,582 shares under our Share Repurchase Program for a total cost (excluding fees and commissions) of $3,357. During the nine month period ended September 27, 2015, the Company repurchased 2,225,437 shares under this program for a total cost (excluding fees and commissions) of $9,162. From the inception of the Share Repurchase Program on May 1, 2014 through October 28, 2015, the Company has repurchased 2,442,191 shares for an aggregate cost (excluding fees and commissions) of $9,877. The total remaining balance of shares authorized for repurchase under the Share Repurchase Program is 957,809 shares as of October 28, 2015.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 Commitments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We have financing through our Credit Facility with PNC Bank, which provides a $20 million secured asset-based revolving credit facility that includes a $1 million letter of credit sub-facility. As of September 27, 2015, we had approximately $9,666 of borrowing capacity under our $20 million Credit Facility with PNC Bank, in addition to our cash on hand of $14,585, and we had no outstanding borrowings or outstanding letters of credit under the Credit Facility at either September 27, 2015 or September 28, 2014.</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Matters</w:t>
      </w:r>
    </w:p>
    <w:p>
      <w:pPr>
        <w:spacing w:after="0" w:line="22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3" w:right="239" w:bottom="1440" w:gutter="0" w:footer="0" w:header="0"/>
        </w:sectPr>
      </w:pPr>
    </w:p>
    <w:bookmarkStart w:id="26" w:name="page27"/>
    <w:bookmarkEnd w:id="26"/>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Critical Accounting Policies</w:t>
      </w:r>
    </w:p>
    <w:p>
      <w:pPr>
        <w:spacing w:after="0" w:line="22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2014 Annual Report on Form 10-K should be reviewed for a greater understanding of how our financial performance is recorded and reported.</w:t>
      </w:r>
    </w:p>
    <w:p>
      <w:pPr>
        <w:spacing w:after="0" w:line="17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During the first nine months of 2015, there were no significant changes in the manner in which our significant accounting policies were applied or in which related assumptions and estimates were developed.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Evaluation Of Disclosure Controls And Procedures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Internal Control Over Financial Reporting</w:t>
      </w:r>
    </w:p>
    <w:p>
      <w:pPr>
        <w:spacing w:after="0" w:line="229"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Dreamliner Litigation</w:t>
      </w:r>
    </w:p>
    <w:p>
      <w:pPr>
        <w:spacing w:after="0" w:line="20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caused by circumstances related to the plane’s emergency locator transmitter (“ELT”) manufactured and installed by another company.</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3" w:right="239" w:bottom="1440" w:gutter="0" w:footer="0" w:header="0"/>
        </w:sectPr>
      </w:pPr>
    </w:p>
    <w:bookmarkStart w:id="27" w:name="page28"/>
    <w:bookmarkEnd w:id="27"/>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USD 42 million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w:t>
      </w:r>
    </w:p>
    <w:p>
      <w:pPr>
        <w:spacing w:after="0" w:line="21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At this time, we believe that there is not a reasonable possibility that this incident will result in a material financial exposure to the Company.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Arista Power Litigation</w:t>
      </w:r>
    </w:p>
    <w:p>
      <w:pPr>
        <w:spacing w:after="0" w:line="20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September 2011, we initiated an action against Arista Power, Inc. (“Arista”) and our former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As more fully disclosed in our Annual Report on Form 10-K, we allege that both Arista and Modeen breached agreements with us, that Arista’s employment of Modeen will inevitably lead to the disclosure and use of our trade secrets by Arista. We seek damages as determined at trial and preliminary and permanent injunctive relief. The defendants answered the allegations set forth in the Complaint and asserted claims against us</w:t>
      </w:r>
      <w:r>
        <w:rPr>
          <w:rFonts w:ascii="Arial" w:cs="Arial" w:eastAsia="Arial" w:hAnsi="Arial"/>
          <w:sz w:val="18"/>
          <w:szCs w:val="18"/>
          <w:color w:val="1F497D"/>
        </w:rPr>
        <w:t>,</w:t>
      </w:r>
      <w:r>
        <w:rPr>
          <w:rFonts w:ascii="Arial" w:cs="Arial" w:eastAsia="Arial" w:hAnsi="Arial"/>
          <w:sz w:val="18"/>
          <w:szCs w:val="18"/>
          <w:color w:val="auto"/>
        </w:rPr>
        <w:t xml:space="preserve"> which have since been dropped.</w:t>
      </w:r>
    </w:p>
    <w:p>
      <w:pPr>
        <w:spacing w:after="0" w:line="18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We initiated the September 2011 Complaint against Arista Power to protect our shareholders, customers and employees from the unauthorized use and theft of our investments in intellectual property, trade secrets and confidential information by Arista and its employees. Protecting our intellectual property and know-how, developed and obtained at great cost to us to form our competitive position in the marketplace and create value for our shareholders and stakeholders, is a fundamental responsibility of all our employees.</w:t>
      </w:r>
    </w:p>
    <w:p>
      <w:pPr>
        <w:spacing w:after="0" w:line="175" w:lineRule="exact"/>
        <w:rPr>
          <w:sz w:val="20"/>
          <w:szCs w:val="20"/>
          <w:color w:val="auto"/>
        </w:rPr>
      </w:pPr>
    </w:p>
    <w:p>
      <w:pPr>
        <w:ind w:right="260" w:firstLine="360"/>
        <w:spacing w:after="0" w:line="250" w:lineRule="auto"/>
        <w:rPr>
          <w:sz w:val="20"/>
          <w:szCs w:val="20"/>
          <w:color w:val="auto"/>
        </w:rPr>
      </w:pPr>
      <w:r>
        <w:rPr>
          <w:rFonts w:ascii="Arial" w:cs="Arial" w:eastAsia="Arial" w:hAnsi="Arial"/>
          <w:sz w:val="20"/>
          <w:szCs w:val="20"/>
          <w:color w:val="auto"/>
        </w:rPr>
        <w:t>Discovery in this action is ongoing, and we plan to continue to pursue our complaint against Arista. It is not possible to predict the outcome of this action, whether we will be granted the injunctive relief we seek, nor the monetary amount, if any, which we may be awarded should we prevail.</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3" w:right="239" w:bottom="1440" w:gutter="0" w:footer="0" w:header="0"/>
        </w:sectPr>
      </w:pPr>
    </w:p>
    <w:bookmarkStart w:id="28" w:name="page29"/>
    <w:bookmarkEnd w:id="28"/>
    <w:p>
      <w:pPr>
        <w:ind w:left="10120"/>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2(c) Purchases of Equity Securities by the Issuer and Affiliated Purchasers</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The following table sets forth information regarding second quarter 2015 purchases of common stock under the Company’s stock repurchase program. Under the repurchase program, the Board of Directors initially authorized the repurchase of up to 1.8 million shares of the Company’s Common Stock through April 30, 2015. The Board of Directors has since extended the program through June 2, 2016 and expanded the maximum number of shares authorized to be repurchased from 1.8 million shares to 3.4 million shares.</w:t>
      </w:r>
    </w:p>
    <w:p>
      <w:pPr>
        <w:spacing w:after="0" w:line="15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Since the commencement of this repurchase plan through September 27, 2015, the Company has repurchased 2,442,191 common shares under this plan for an aggregate dollar amount of $9,951.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Total Number of</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vMerge w:val="restart"/>
          </w:tcPr>
          <w:p>
            <w:pPr>
              <w:jc w:val="center"/>
              <w:ind w:right="440"/>
              <w:spacing w:after="0"/>
              <w:rPr>
                <w:sz w:val="20"/>
                <w:szCs w:val="20"/>
                <w:color w:val="auto"/>
              </w:rPr>
            </w:pPr>
            <w:r>
              <w:rPr>
                <w:rFonts w:ascii="Arial" w:cs="Arial" w:eastAsia="Arial" w:hAnsi="Arial"/>
                <w:sz w:val="18"/>
                <w:szCs w:val="18"/>
                <w:b w:val="1"/>
                <w:bCs w:val="1"/>
                <w:color w:val="auto"/>
                <w:w w:val="88"/>
              </w:rPr>
              <w:t>Average Price Paid Per</w:t>
            </w: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Shares Purchased</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gridSpan w:val="3"/>
          </w:tcPr>
          <w:p>
            <w:pPr>
              <w:jc w:val="center"/>
              <w:ind w:right="340"/>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2260" w:type="dxa"/>
            <w:vAlign w:val="bottom"/>
            <w:gridSpan w:val="3"/>
          </w:tcPr>
          <w:p>
            <w:pPr>
              <w:jc w:val="center"/>
              <w:ind w:right="320"/>
              <w:spacing w:after="0" w:line="181" w:lineRule="exact"/>
              <w:rPr>
                <w:sz w:val="20"/>
                <w:szCs w:val="20"/>
                <w:color w:val="auto"/>
              </w:rPr>
            </w:pPr>
            <w:r>
              <w:rPr>
                <w:rFonts w:ascii="Arial" w:cs="Arial" w:eastAsia="Arial" w:hAnsi="Arial"/>
                <w:sz w:val="18"/>
                <w:szCs w:val="18"/>
                <w:b w:val="1"/>
                <w:bCs w:val="1"/>
                <w:color w:val="auto"/>
                <w:w w:val="90"/>
              </w:rPr>
              <w:t>as Part of Publicly</w:t>
            </w:r>
          </w:p>
        </w:tc>
        <w:tc>
          <w:tcPr>
            <w:tcW w:w="19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3"/>
                <w:szCs w:val="23"/>
                <w:color w:val="auto"/>
              </w:rPr>
            </w:pPr>
          </w:p>
        </w:tc>
        <w:tc>
          <w:tcPr>
            <w:tcW w:w="2260" w:type="dxa"/>
            <w:vAlign w:val="bottom"/>
            <w:gridSpan w:val="3"/>
          </w:tcPr>
          <w:p>
            <w:pPr>
              <w:jc w:val="center"/>
              <w:ind w:right="440"/>
              <w:spacing w:after="0" w:line="269" w:lineRule="exact"/>
              <w:rPr>
                <w:sz w:val="20"/>
                <w:szCs w:val="20"/>
                <w:color w:val="auto"/>
              </w:rPr>
            </w:pPr>
            <w:r>
              <w:rPr>
                <w:rFonts w:ascii="Arial" w:cs="Arial" w:eastAsia="Arial" w:hAnsi="Arial"/>
                <w:sz w:val="18"/>
                <w:szCs w:val="18"/>
                <w:b w:val="1"/>
                <w:bCs w:val="1"/>
                <w:color w:val="auto"/>
                <w:w w:val="83"/>
              </w:rPr>
              <w:t>Share</w:t>
            </w:r>
            <w:r>
              <w:rPr>
                <w:rFonts w:ascii="Arial" w:cs="Arial" w:eastAsia="Arial" w:hAnsi="Arial"/>
                <w:sz w:val="30"/>
                <w:szCs w:val="30"/>
                <w:b w:val="1"/>
                <w:bCs w:val="1"/>
                <w:color w:val="auto"/>
                <w:w w:val="83"/>
                <w:vertAlign w:val="superscript"/>
              </w:rPr>
              <w:t>(1)</w:t>
            </w: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Announced Program</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Under the Program</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jc w:val="right"/>
              <w:ind w:right="480"/>
              <w:spacing w:after="0"/>
              <w:rPr>
                <w:sz w:val="20"/>
                <w:szCs w:val="20"/>
                <w:color w:val="auto"/>
              </w:rPr>
            </w:pPr>
            <w:r>
              <w:rPr>
                <w:rFonts w:ascii="Arial" w:cs="Arial" w:eastAsia="Arial" w:hAnsi="Arial"/>
                <w:sz w:val="18"/>
                <w:szCs w:val="18"/>
                <w:color w:val="auto"/>
              </w:rPr>
              <w:t>June 29 – July 26</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201,971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201,971</w:t>
            </w: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1,504,420</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27 – August 23</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46,611</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1,457,809</w:t>
            </w:r>
          </w:p>
        </w:tc>
        <w:tc>
          <w:tcPr>
            <w:tcW w:w="0" w:type="dxa"/>
            <w:vAlign w:val="bottom"/>
          </w:tcPr>
          <w:p>
            <w:pPr>
              <w:spacing w:after="0"/>
              <w:rPr>
                <w:sz w:val="1"/>
                <w:szCs w:val="1"/>
                <w:color w:val="auto"/>
              </w:rPr>
            </w:pPr>
          </w:p>
        </w:tc>
      </w:tr>
      <w:tr>
        <w:trPr>
          <w:trHeight w:val="202"/>
        </w:trPr>
        <w:tc>
          <w:tcPr>
            <w:tcW w:w="244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August 24 – September</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jc w:val="right"/>
              <w:ind w:right="480"/>
              <w:spacing w:after="0"/>
              <w:rPr>
                <w:sz w:val="20"/>
                <w:szCs w:val="20"/>
                <w:color w:val="auto"/>
              </w:rPr>
            </w:pPr>
            <w:r>
              <w:rPr>
                <w:rFonts w:ascii="Arial" w:cs="Arial" w:eastAsia="Arial" w:hAnsi="Arial"/>
                <w:sz w:val="18"/>
                <w:szCs w:val="18"/>
                <w:color w:val="auto"/>
              </w:rPr>
              <w:t>27</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34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957,809</w:t>
            </w:r>
          </w:p>
        </w:tc>
        <w:tc>
          <w:tcPr>
            <w:tcW w:w="0" w:type="dxa"/>
            <w:vAlign w:val="bottom"/>
          </w:tcPr>
          <w:p>
            <w:pPr>
              <w:spacing w:after="0"/>
              <w:rPr>
                <w:sz w:val="1"/>
                <w:szCs w:val="1"/>
                <w:color w:val="auto"/>
              </w:rPr>
            </w:pPr>
          </w:p>
        </w:tc>
      </w:tr>
      <w:tr>
        <w:trPr>
          <w:trHeight w:val="223"/>
        </w:trPr>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1,398,454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820" w:right="320" w:hanging="161"/>
        <w:spacing w:after="0" w:line="208" w:lineRule="auto"/>
        <w:rPr>
          <w:sz w:val="20"/>
          <w:szCs w:val="20"/>
          <w:color w:val="auto"/>
        </w:rPr>
      </w:pPr>
      <w:r>
        <w:rPr>
          <w:rFonts w:ascii="Arial" w:cs="Arial" w:eastAsia="Arial" w:hAnsi="Arial"/>
          <w:sz w:val="33"/>
          <w:szCs w:val="33"/>
          <w:color w:val="auto"/>
          <w:vertAlign w:val="superscript"/>
        </w:rPr>
        <w:t>(1)</w:t>
      </w:r>
      <w:r>
        <w:rPr>
          <w:rFonts w:ascii="Arial" w:cs="Arial" w:eastAsia="Arial" w:hAnsi="Arial"/>
          <w:sz w:val="20"/>
          <w:szCs w:val="20"/>
          <w:color w:val="auto"/>
        </w:rPr>
        <w:t>Average Price Paid Per Share excludes fees and commissions related to such repurchases. Including these costs, the average price paid per share for all purchases under the Share Repurchase Program is $4.51.</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Exhibit</w:t>
            </w:r>
          </w:p>
        </w:tc>
        <w:tc>
          <w:tcPr>
            <w:tcW w:w="43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Index</w:t>
            </w:r>
          </w:p>
        </w:tc>
        <w:tc>
          <w:tcPr>
            <w:tcW w:w="4300" w:type="dxa"/>
            <w:vAlign w:val="bottom"/>
          </w:tcPr>
          <w:p>
            <w:pPr>
              <w:ind w:left="280"/>
              <w:spacing w:after="0"/>
              <w:rPr>
                <w:sz w:val="20"/>
                <w:szCs w:val="20"/>
                <w:color w:val="auto"/>
              </w:rPr>
            </w:pPr>
            <w:r>
              <w:rPr>
                <w:rFonts w:ascii="Arial" w:cs="Arial" w:eastAsia="Arial" w:hAnsi="Arial"/>
                <w:sz w:val="18"/>
                <w:szCs w:val="18"/>
                <w:color w:val="auto"/>
              </w:rPr>
              <w:t>Description of Document</w:t>
            </w:r>
          </w:p>
        </w:tc>
        <w:tc>
          <w:tcPr>
            <w:tcW w:w="4780" w:type="dxa"/>
            <w:vAlign w:val="bottom"/>
          </w:tcPr>
          <w:p>
            <w:pPr>
              <w:ind w:left="2380"/>
              <w:spacing w:after="0"/>
              <w:rPr>
                <w:sz w:val="20"/>
                <w:szCs w:val="20"/>
                <w:color w:val="auto"/>
              </w:rPr>
            </w:pPr>
            <w:r>
              <w:rPr>
                <w:rFonts w:ascii="Arial" w:cs="Arial" w:eastAsia="Arial" w:hAnsi="Arial"/>
                <w:sz w:val="18"/>
                <w:szCs w:val="18"/>
                <w:color w:val="auto"/>
                <w:w w:val="91"/>
              </w:rPr>
              <w:t>Incorporated By Reference from:</w:t>
            </w:r>
          </w:p>
        </w:tc>
      </w:tr>
      <w:tr>
        <w:trPr>
          <w:trHeight w:val="418"/>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4300" w:type="dxa"/>
            <w:vAlign w:val="bottom"/>
          </w:tcPr>
          <w:p>
            <w:pPr>
              <w:ind w:left="280"/>
              <w:spacing w:after="0"/>
              <w:rPr>
                <w:sz w:val="20"/>
                <w:szCs w:val="20"/>
                <w:color w:val="auto"/>
              </w:rPr>
            </w:pPr>
            <w:r>
              <w:rPr>
                <w:rFonts w:ascii="Arial" w:cs="Arial" w:eastAsia="Arial" w:hAnsi="Arial"/>
                <w:sz w:val="18"/>
                <w:szCs w:val="18"/>
                <w:color w:val="auto"/>
              </w:rPr>
              <w:t>Rule 13a-14(a) / 15d-14(a) CEO Certifications</w:t>
            </w:r>
          </w:p>
        </w:tc>
        <w:tc>
          <w:tcPr>
            <w:tcW w:w="4780" w:type="dxa"/>
            <w:vAlign w:val="bottom"/>
          </w:tcPr>
          <w:p>
            <w:pPr>
              <w:ind w:left="238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4300" w:type="dxa"/>
            <w:vAlign w:val="bottom"/>
          </w:tcPr>
          <w:p>
            <w:pPr>
              <w:ind w:left="280"/>
              <w:spacing w:after="0"/>
              <w:rPr>
                <w:sz w:val="20"/>
                <w:szCs w:val="20"/>
                <w:color w:val="auto"/>
              </w:rPr>
            </w:pPr>
            <w:r>
              <w:rPr>
                <w:rFonts w:ascii="Arial" w:cs="Arial" w:eastAsia="Arial" w:hAnsi="Arial"/>
                <w:sz w:val="18"/>
                <w:szCs w:val="18"/>
                <w:color w:val="auto"/>
              </w:rPr>
              <w:t>Rule 13a-14(a) / 15d-14(a) CFO Certifications</w:t>
            </w:r>
          </w:p>
        </w:tc>
        <w:tc>
          <w:tcPr>
            <w:tcW w:w="4780" w:type="dxa"/>
            <w:vAlign w:val="bottom"/>
          </w:tcPr>
          <w:p>
            <w:pPr>
              <w:ind w:left="238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32</w:t>
            </w:r>
          </w:p>
        </w:tc>
        <w:tc>
          <w:tcPr>
            <w:tcW w:w="430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c>
          <w:tcPr>
            <w:tcW w:w="4780" w:type="dxa"/>
            <w:vAlign w:val="bottom"/>
          </w:tcPr>
          <w:p>
            <w:pPr>
              <w:ind w:left="238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430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478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478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101.CAL</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c>
          <w:tcPr>
            <w:tcW w:w="478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101.LAB</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478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101.PRE</w:t>
            </w:r>
          </w:p>
        </w:tc>
        <w:tc>
          <w:tcPr>
            <w:tcW w:w="4300" w:type="dxa"/>
            <w:vAlign w:val="bottom"/>
          </w:tcPr>
          <w:p>
            <w:pPr>
              <w:ind w:left="280"/>
              <w:spacing w:after="0"/>
              <w:rPr>
                <w:sz w:val="20"/>
                <w:szCs w:val="20"/>
                <w:color w:val="auto"/>
              </w:rPr>
            </w:pPr>
            <w:r>
              <w:rPr>
                <w:rFonts w:ascii="Arial" w:cs="Arial" w:eastAsia="Arial" w:hAnsi="Arial"/>
                <w:sz w:val="18"/>
                <w:szCs w:val="18"/>
                <w:color w:val="auto"/>
                <w:w w:val="98"/>
              </w:rPr>
              <w:t>XBRL Taxonomy Presentation Linkbase Document</w:t>
            </w:r>
          </w:p>
        </w:tc>
        <w:tc>
          <w:tcPr>
            <w:tcW w:w="4780" w:type="dxa"/>
            <w:vAlign w:val="bottom"/>
          </w:tcPr>
          <w:p>
            <w:pPr>
              <w:spacing w:after="0"/>
              <w:rPr>
                <w:sz w:val="18"/>
                <w:szCs w:val="18"/>
                <w:color w:val="auto"/>
              </w:rPr>
            </w:pP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101.DEF</w:t>
            </w:r>
          </w:p>
        </w:tc>
        <w:tc>
          <w:tcPr>
            <w:tcW w:w="4300" w:type="dxa"/>
            <w:vAlign w:val="bottom"/>
          </w:tcPr>
          <w:p>
            <w:pPr>
              <w:ind w:left="280"/>
              <w:spacing w:after="0"/>
              <w:rPr>
                <w:sz w:val="20"/>
                <w:szCs w:val="20"/>
                <w:color w:val="auto"/>
              </w:rPr>
            </w:pPr>
            <w:r>
              <w:rPr>
                <w:rFonts w:ascii="Arial" w:cs="Arial" w:eastAsia="Arial" w:hAnsi="Arial"/>
                <w:sz w:val="18"/>
                <w:szCs w:val="18"/>
                <w:color w:val="auto"/>
              </w:rPr>
              <w:t>XBRL Taxonomy Definition Document</w:t>
            </w:r>
          </w:p>
        </w:tc>
        <w:tc>
          <w:tcPr>
            <w:tcW w:w="478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33" w:right="239" w:bottom="1440" w:gutter="0" w:footer="0" w:header="0"/>
        </w:sectPr>
      </w:pPr>
    </w:p>
    <w:bookmarkStart w:id="29" w:name="page30"/>
    <w:bookmarkEnd w:id="29"/>
    <w:p>
      <w:pPr>
        <w:jc w:val="right"/>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gridSpan w:val="4"/>
          </w:tcPr>
          <w:p>
            <w:pPr>
              <w:jc w:val="center"/>
              <w:ind w:left="941"/>
              <w:spacing w:after="0"/>
              <w:rPr>
                <w:sz w:val="20"/>
                <w:szCs w:val="20"/>
                <w:color w:val="auto"/>
              </w:rPr>
            </w:pPr>
            <w:r>
              <w:rPr>
                <w:rFonts w:ascii="Arial" w:cs="Arial" w:eastAsia="Arial" w:hAnsi="Arial"/>
                <w:sz w:val="20"/>
                <w:szCs w:val="20"/>
                <w:b w:val="1"/>
                <w:bCs w:val="1"/>
                <w:color w:val="auto"/>
                <w:w w:val="99"/>
              </w:rPr>
              <w:t>ULTRALIFE CORPORATION</w:t>
            </w:r>
          </w:p>
        </w:tc>
      </w:tr>
      <w:tr>
        <w:trPr>
          <w:trHeight w:val="254"/>
        </w:trPr>
        <w:tc>
          <w:tcPr>
            <w:tcW w:w="4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89"/>
              </w:rPr>
              <w:t>(Registrant)</w:t>
            </w:r>
          </w:p>
        </w:tc>
      </w:tr>
      <w:tr>
        <w:trPr>
          <w:trHeight w:val="415"/>
        </w:trPr>
        <w:tc>
          <w:tcPr>
            <w:tcW w:w="3000" w:type="dxa"/>
            <w:vAlign w:val="bottom"/>
            <w:gridSpan w:val="3"/>
          </w:tcPr>
          <w:p>
            <w:pPr>
              <w:spacing w:after="0"/>
              <w:rPr>
                <w:sz w:val="20"/>
                <w:szCs w:val="20"/>
                <w:color w:val="auto"/>
              </w:rPr>
            </w:pPr>
            <w:r>
              <w:rPr>
                <w:rFonts w:ascii="Arial" w:cs="Arial" w:eastAsia="Arial" w:hAnsi="Arial"/>
                <w:sz w:val="20"/>
                <w:szCs w:val="20"/>
                <w:color w:val="auto"/>
              </w:rPr>
              <w:t>Date: October 29, 2015</w:t>
            </w:r>
          </w:p>
        </w:tc>
        <w:tc>
          <w:tcPr>
            <w:tcW w:w="1480" w:type="dxa"/>
            <w:vAlign w:val="bottom"/>
          </w:tcPr>
          <w:p>
            <w:pPr>
              <w:ind w:left="1120"/>
              <w:spacing w:after="0"/>
              <w:rPr>
                <w:sz w:val="20"/>
                <w:szCs w:val="20"/>
                <w:color w:val="auto"/>
              </w:rPr>
            </w:pPr>
            <w:r>
              <w:rPr>
                <w:rFonts w:ascii="Arial" w:cs="Arial" w:eastAsia="Arial" w:hAnsi="Arial"/>
                <w:sz w:val="20"/>
                <w:szCs w:val="20"/>
                <w:color w:val="auto"/>
              </w:rPr>
              <w:t>By:</w:t>
            </w:r>
          </w:p>
        </w:tc>
        <w:tc>
          <w:tcPr>
            <w:tcW w:w="3780" w:type="dxa"/>
            <w:vAlign w:val="bottom"/>
            <w:gridSpan w:val="5"/>
          </w:tcPr>
          <w:p>
            <w:pPr>
              <w:ind w:left="80"/>
              <w:spacing w:after="0"/>
              <w:rPr>
                <w:sz w:val="20"/>
                <w:szCs w:val="20"/>
                <w:color w:val="auto"/>
              </w:rPr>
            </w:pPr>
            <w:r>
              <w:rPr>
                <w:rFonts w:ascii="Arial" w:cs="Arial" w:eastAsia="Arial" w:hAnsi="Arial"/>
                <w:sz w:val="20"/>
                <w:szCs w:val="20"/>
                <w:color w:val="auto"/>
              </w:rPr>
              <w:t>/s/ Michael D. Popielec</w:t>
            </w:r>
          </w:p>
        </w:tc>
      </w:tr>
      <w:tr>
        <w:trPr>
          <w:trHeight w:val="233"/>
        </w:trPr>
        <w:tc>
          <w:tcPr>
            <w:tcW w:w="4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Borders>
              <w:top w:val="single" w:sz="8" w:color="auto"/>
            </w:tcBorders>
            <w:gridSpan w:val="3"/>
          </w:tcPr>
          <w:p>
            <w:pPr>
              <w:ind w:left="60"/>
              <w:spacing w:after="0"/>
              <w:rPr>
                <w:sz w:val="20"/>
                <w:szCs w:val="20"/>
                <w:color w:val="auto"/>
              </w:rPr>
            </w:pPr>
            <w:r>
              <w:rPr>
                <w:rFonts w:ascii="Arial" w:cs="Arial" w:eastAsia="Arial" w:hAnsi="Arial"/>
                <w:sz w:val="20"/>
                <w:szCs w:val="20"/>
                <w:color w:val="auto"/>
              </w:rPr>
              <w:t>Michael D. Popielec</w:t>
            </w:r>
          </w:p>
        </w:tc>
        <w:tc>
          <w:tcPr>
            <w:tcW w:w="1540" w:type="dxa"/>
            <w:vAlign w:val="bottom"/>
          </w:tcPr>
          <w:p>
            <w:pPr>
              <w:spacing w:after="0"/>
              <w:rPr>
                <w:sz w:val="20"/>
                <w:szCs w:val="20"/>
                <w:color w:val="auto"/>
              </w:rPr>
            </w:pPr>
          </w:p>
        </w:tc>
      </w:tr>
      <w:tr>
        <w:trPr>
          <w:trHeight w:val="230"/>
        </w:trPr>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gridSpan w:val="4"/>
          </w:tcPr>
          <w:p>
            <w:pPr>
              <w:ind w:left="60"/>
              <w:spacing w:after="0"/>
              <w:rPr>
                <w:sz w:val="20"/>
                <w:szCs w:val="20"/>
                <w:color w:val="auto"/>
              </w:rPr>
            </w:pPr>
            <w:r>
              <w:rPr>
                <w:rFonts w:ascii="Arial" w:cs="Arial" w:eastAsia="Arial" w:hAnsi="Arial"/>
                <w:sz w:val="20"/>
                <w:szCs w:val="20"/>
                <w:color w:val="auto"/>
              </w:rPr>
              <w:t>President and Chief Executive Officer</w:t>
            </w:r>
          </w:p>
        </w:tc>
      </w:tr>
      <w:tr>
        <w:trPr>
          <w:trHeight w:val="250"/>
        </w:trPr>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gridSpan w:val="4"/>
          </w:tcPr>
          <w:p>
            <w:pPr>
              <w:ind w:left="60"/>
              <w:spacing w:after="0"/>
              <w:rPr>
                <w:sz w:val="20"/>
                <w:szCs w:val="20"/>
                <w:color w:val="auto"/>
              </w:rPr>
            </w:pPr>
            <w:r>
              <w:rPr>
                <w:rFonts w:ascii="Arial" w:cs="Arial" w:eastAsia="Arial" w:hAnsi="Arial"/>
                <w:sz w:val="20"/>
                <w:szCs w:val="20"/>
                <w:color w:val="auto"/>
              </w:rPr>
              <w:t>(Principal Executive Officer)</w:t>
            </w:r>
          </w:p>
        </w:tc>
      </w:tr>
      <w:tr>
        <w:trPr>
          <w:trHeight w:val="415"/>
        </w:trPr>
        <w:tc>
          <w:tcPr>
            <w:tcW w:w="3000" w:type="dxa"/>
            <w:vAlign w:val="bottom"/>
            <w:gridSpan w:val="3"/>
          </w:tcPr>
          <w:p>
            <w:pPr>
              <w:spacing w:after="0"/>
              <w:rPr>
                <w:sz w:val="20"/>
                <w:szCs w:val="20"/>
                <w:color w:val="auto"/>
              </w:rPr>
            </w:pPr>
            <w:r>
              <w:rPr>
                <w:rFonts w:ascii="Arial" w:cs="Arial" w:eastAsia="Arial" w:hAnsi="Arial"/>
                <w:sz w:val="20"/>
                <w:szCs w:val="20"/>
                <w:color w:val="auto"/>
              </w:rPr>
              <w:t>Date: October 29, 2015</w:t>
            </w:r>
          </w:p>
        </w:tc>
        <w:tc>
          <w:tcPr>
            <w:tcW w:w="1480" w:type="dxa"/>
            <w:vAlign w:val="bottom"/>
          </w:tcPr>
          <w:p>
            <w:pPr>
              <w:ind w:left="1120"/>
              <w:spacing w:after="0"/>
              <w:rPr>
                <w:sz w:val="20"/>
                <w:szCs w:val="20"/>
                <w:color w:val="auto"/>
              </w:rPr>
            </w:pPr>
            <w:r>
              <w:rPr>
                <w:rFonts w:ascii="Arial" w:cs="Arial" w:eastAsia="Arial" w:hAnsi="Arial"/>
                <w:sz w:val="20"/>
                <w:szCs w:val="20"/>
                <w:color w:val="auto"/>
              </w:rPr>
              <w:t>By:</w:t>
            </w:r>
          </w:p>
        </w:tc>
        <w:tc>
          <w:tcPr>
            <w:tcW w:w="3780" w:type="dxa"/>
            <w:vAlign w:val="bottom"/>
            <w:gridSpan w:val="5"/>
          </w:tcPr>
          <w:p>
            <w:pPr>
              <w:ind w:left="80"/>
              <w:spacing w:after="0"/>
              <w:rPr>
                <w:sz w:val="20"/>
                <w:szCs w:val="20"/>
                <w:color w:val="auto"/>
              </w:rPr>
            </w:pPr>
            <w:r>
              <w:rPr>
                <w:rFonts w:ascii="Arial" w:cs="Arial" w:eastAsia="Arial" w:hAnsi="Arial"/>
                <w:sz w:val="20"/>
                <w:szCs w:val="20"/>
                <w:color w:val="auto"/>
              </w:rPr>
              <w:t>/s/ Philip A. Fain</w:t>
            </w:r>
          </w:p>
        </w:tc>
      </w:tr>
      <w:tr>
        <w:trPr>
          <w:trHeight w:val="233"/>
        </w:trPr>
        <w:tc>
          <w:tcPr>
            <w:tcW w:w="4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Borders>
              <w:top w:val="single" w:sz="8" w:color="auto"/>
            </w:tcBorders>
            <w:gridSpan w:val="2"/>
          </w:tcPr>
          <w:p>
            <w:pPr>
              <w:ind w:left="60"/>
              <w:spacing w:after="0"/>
              <w:rPr>
                <w:sz w:val="20"/>
                <w:szCs w:val="20"/>
                <w:color w:val="auto"/>
              </w:rPr>
            </w:pPr>
            <w:r>
              <w:rPr>
                <w:rFonts w:ascii="Arial" w:cs="Arial" w:eastAsia="Arial" w:hAnsi="Arial"/>
                <w:sz w:val="20"/>
                <w:szCs w:val="20"/>
                <w:color w:val="auto"/>
              </w:rPr>
              <w:t>Philip A. Fain</w:t>
            </w:r>
          </w:p>
        </w:tc>
        <w:tc>
          <w:tcPr>
            <w:tcW w:w="1560" w:type="dxa"/>
            <w:vAlign w:val="bottom"/>
            <w:gridSpan w:val="2"/>
          </w:tcPr>
          <w:p>
            <w:pPr>
              <w:spacing w:after="0"/>
              <w:rPr>
                <w:sz w:val="20"/>
                <w:szCs w:val="20"/>
                <w:color w:val="auto"/>
              </w:rPr>
            </w:pPr>
          </w:p>
        </w:tc>
      </w:tr>
      <w:tr>
        <w:trPr>
          <w:trHeight w:val="230"/>
        </w:trPr>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gridSpan w:val="4"/>
          </w:tcPr>
          <w:p>
            <w:pPr>
              <w:ind w:left="60"/>
              <w:spacing w:after="0"/>
              <w:rPr>
                <w:sz w:val="20"/>
                <w:szCs w:val="20"/>
                <w:color w:val="auto"/>
              </w:rPr>
            </w:pPr>
            <w:r>
              <w:rPr>
                <w:rFonts w:ascii="Arial" w:cs="Arial" w:eastAsia="Arial" w:hAnsi="Arial"/>
                <w:sz w:val="20"/>
                <w:szCs w:val="20"/>
                <w:color w:val="auto"/>
              </w:rPr>
              <w:t>Chief Financial Officer and Treasurer</w:t>
            </w:r>
          </w:p>
        </w:tc>
      </w:tr>
      <w:tr>
        <w:trPr>
          <w:trHeight w:val="230"/>
        </w:trPr>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gridSpan w:val="4"/>
          </w:tcPr>
          <w:p>
            <w:pPr>
              <w:ind w:left="60"/>
              <w:spacing w:after="0"/>
              <w:rPr>
                <w:sz w:val="20"/>
                <w:szCs w:val="20"/>
                <w:color w:val="auto"/>
              </w:rPr>
            </w:pPr>
            <w:r>
              <w:rPr>
                <w:rFonts w:ascii="Arial" w:cs="Arial" w:eastAsia="Arial" w:hAnsi="Arial"/>
                <w:sz w:val="20"/>
                <w:szCs w:val="20"/>
                <w:color w:val="auto"/>
              </w:rPr>
              <w:t>(Principal Financial Officer and</w:t>
            </w:r>
          </w:p>
        </w:tc>
      </w:tr>
      <w:tr>
        <w:trPr>
          <w:trHeight w:val="250"/>
        </w:trPr>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gridSpan w:val="4"/>
          </w:tcPr>
          <w:p>
            <w:pPr>
              <w:ind w:left="260"/>
              <w:spacing w:after="0"/>
              <w:rPr>
                <w:sz w:val="20"/>
                <w:szCs w:val="20"/>
                <w:color w:val="auto"/>
              </w:rPr>
            </w:pPr>
            <w:r>
              <w:rPr>
                <w:rFonts w:ascii="Arial" w:cs="Arial" w:eastAsia="Arial" w:hAnsi="Arial"/>
                <w:sz w:val="20"/>
                <w:szCs w:val="20"/>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860" w:type="dxa"/>
            <w:vAlign w:val="bottom"/>
          </w:tcPr>
          <w:p>
            <w:pPr>
              <w:spacing w:after="0"/>
              <w:rPr>
                <w:sz w:val="22"/>
                <w:szCs w:val="22"/>
                <w:color w:val="auto"/>
              </w:rPr>
            </w:pPr>
          </w:p>
        </w:tc>
        <w:tc>
          <w:tcPr>
            <w:tcW w:w="9640" w:type="dxa"/>
            <w:vAlign w:val="bottom"/>
          </w:tcPr>
          <w:p>
            <w:pPr>
              <w:ind w:left="3460"/>
              <w:spacing w:after="0"/>
              <w:rPr>
                <w:sz w:val="20"/>
                <w:szCs w:val="20"/>
                <w:color w:val="auto"/>
              </w:rPr>
            </w:pPr>
            <w:r>
              <w:rPr>
                <w:rFonts w:ascii="Arial" w:cs="Arial" w:eastAsia="Arial" w:hAnsi="Arial"/>
                <w:sz w:val="20"/>
                <w:szCs w:val="20"/>
                <w:b w:val="1"/>
                <w:bCs w:val="1"/>
                <w:color w:val="auto"/>
              </w:rPr>
              <w:t>Index to Exhibits</w:t>
            </w:r>
          </w:p>
        </w:tc>
      </w:tr>
      <w:tr>
        <w:trPr>
          <w:trHeight w:val="438"/>
        </w:trPr>
        <w:tc>
          <w:tcPr>
            <w:tcW w:w="860" w:type="dxa"/>
            <w:vAlign w:val="bottom"/>
          </w:tcPr>
          <w:p>
            <w:pPr>
              <w:spacing w:after="0"/>
              <w:rPr>
                <w:sz w:val="20"/>
                <w:szCs w:val="20"/>
                <w:color w:val="auto"/>
              </w:rPr>
            </w:pPr>
            <w:r>
              <w:rPr>
                <w:rFonts w:ascii="Arial" w:cs="Arial" w:eastAsia="Arial" w:hAnsi="Arial"/>
                <w:sz w:val="20"/>
                <w:szCs w:val="20"/>
                <w:color w:val="auto"/>
              </w:rPr>
              <w:t>31.1</w:t>
            </w:r>
          </w:p>
        </w:tc>
        <w:tc>
          <w:tcPr>
            <w:tcW w:w="9640" w:type="dxa"/>
            <w:vAlign w:val="bottom"/>
          </w:tcPr>
          <w:p>
            <w:pPr>
              <w:ind w:left="100"/>
              <w:spacing w:after="0"/>
              <w:rPr>
                <w:sz w:val="20"/>
                <w:szCs w:val="20"/>
                <w:color w:val="auto"/>
              </w:rPr>
            </w:pPr>
            <w:r>
              <w:rPr>
                <w:rFonts w:ascii="Arial" w:cs="Arial" w:eastAsia="Arial" w:hAnsi="Arial"/>
                <w:sz w:val="20"/>
                <w:szCs w:val="20"/>
                <w:color w:val="auto"/>
                <w:w w:val="91"/>
              </w:rPr>
              <w:t>Certification of Chief Executive Officer Pursuant to Rule 13a-14(a) of the Securities Exchange Act of 1934, as adopted</w:t>
            </w:r>
          </w:p>
        </w:tc>
      </w:tr>
      <w:tr>
        <w:trPr>
          <w:trHeight w:val="230"/>
        </w:trPr>
        <w:tc>
          <w:tcPr>
            <w:tcW w:w="860" w:type="dxa"/>
            <w:vAlign w:val="bottom"/>
          </w:tcPr>
          <w:p>
            <w:pPr>
              <w:spacing w:after="0"/>
              <w:rPr>
                <w:sz w:val="19"/>
                <w:szCs w:val="19"/>
                <w:color w:val="auto"/>
              </w:rPr>
            </w:pPr>
          </w:p>
        </w:tc>
        <w:tc>
          <w:tcPr>
            <w:tcW w:w="9640" w:type="dxa"/>
            <w:vAlign w:val="bottom"/>
          </w:tcPr>
          <w:p>
            <w:pPr>
              <w:ind w:left="100"/>
              <w:spacing w:after="0"/>
              <w:rPr>
                <w:sz w:val="20"/>
                <w:szCs w:val="20"/>
                <w:color w:val="auto"/>
              </w:rPr>
            </w:pPr>
            <w:r>
              <w:rPr>
                <w:rFonts w:ascii="Arial" w:cs="Arial" w:eastAsia="Arial" w:hAnsi="Arial"/>
                <w:sz w:val="20"/>
                <w:szCs w:val="20"/>
                <w:color w:val="auto"/>
              </w:rPr>
              <w:t>pursuant to Section 302 of the Sarbanes-Oxley Act of 2002</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31.2</w:t>
            </w:r>
          </w:p>
        </w:tc>
        <w:tc>
          <w:tcPr>
            <w:tcW w:w="9640" w:type="dxa"/>
            <w:vAlign w:val="bottom"/>
          </w:tcPr>
          <w:p>
            <w:pPr>
              <w:ind w:left="100"/>
              <w:spacing w:after="0"/>
              <w:rPr>
                <w:sz w:val="20"/>
                <w:szCs w:val="20"/>
                <w:color w:val="auto"/>
              </w:rPr>
            </w:pPr>
            <w:r>
              <w:rPr>
                <w:rFonts w:ascii="Arial" w:cs="Arial" w:eastAsia="Arial" w:hAnsi="Arial"/>
                <w:sz w:val="20"/>
                <w:szCs w:val="20"/>
                <w:color w:val="auto"/>
                <w:w w:val="91"/>
              </w:rPr>
              <w:t>Certification of Chief Financial Officer Pursuant to Rule 13a-14(a) of the Securities Exchange Act of 1934, as adopted</w:t>
            </w:r>
          </w:p>
        </w:tc>
      </w:tr>
      <w:tr>
        <w:trPr>
          <w:trHeight w:val="230"/>
        </w:trPr>
        <w:tc>
          <w:tcPr>
            <w:tcW w:w="860" w:type="dxa"/>
            <w:vAlign w:val="bottom"/>
          </w:tcPr>
          <w:p>
            <w:pPr>
              <w:spacing w:after="0"/>
              <w:rPr>
                <w:sz w:val="19"/>
                <w:szCs w:val="19"/>
                <w:color w:val="auto"/>
              </w:rPr>
            </w:pPr>
          </w:p>
        </w:tc>
        <w:tc>
          <w:tcPr>
            <w:tcW w:w="9640" w:type="dxa"/>
            <w:vAlign w:val="bottom"/>
          </w:tcPr>
          <w:p>
            <w:pPr>
              <w:ind w:left="100"/>
              <w:spacing w:after="0"/>
              <w:rPr>
                <w:sz w:val="20"/>
                <w:szCs w:val="20"/>
                <w:color w:val="auto"/>
              </w:rPr>
            </w:pPr>
            <w:r>
              <w:rPr>
                <w:rFonts w:ascii="Arial" w:cs="Arial" w:eastAsia="Arial" w:hAnsi="Arial"/>
                <w:sz w:val="20"/>
                <w:szCs w:val="20"/>
                <w:color w:val="auto"/>
              </w:rPr>
              <w:t>pursuant to Section 302 of the Sarbanes-Oxley Act of 2002</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32</w:t>
            </w:r>
          </w:p>
        </w:tc>
        <w:tc>
          <w:tcPr>
            <w:tcW w:w="9640" w:type="dxa"/>
            <w:vAlign w:val="bottom"/>
          </w:tcPr>
          <w:p>
            <w:pPr>
              <w:ind w:left="100"/>
              <w:spacing w:after="0"/>
              <w:rPr>
                <w:sz w:val="20"/>
                <w:szCs w:val="20"/>
                <w:color w:val="auto"/>
              </w:rPr>
            </w:pPr>
            <w:r>
              <w:rPr>
                <w:rFonts w:ascii="Arial" w:cs="Arial" w:eastAsia="Arial" w:hAnsi="Arial"/>
                <w:sz w:val="20"/>
                <w:szCs w:val="20"/>
                <w:color w:val="auto"/>
                <w:w w:val="89"/>
              </w:rPr>
              <w:t>Certification pursuant to 18 U.S.C. Section 1350, as adopted pursuant to Section 906 of the Sarbanes-Oxley Act of 2002</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101.INS</w:t>
            </w:r>
          </w:p>
        </w:tc>
        <w:tc>
          <w:tcPr>
            <w:tcW w:w="9640" w:type="dxa"/>
            <w:vAlign w:val="bottom"/>
          </w:tcPr>
          <w:p>
            <w:pPr>
              <w:ind w:left="100"/>
              <w:spacing w:after="0"/>
              <w:rPr>
                <w:sz w:val="20"/>
                <w:szCs w:val="20"/>
                <w:color w:val="auto"/>
              </w:rPr>
            </w:pPr>
            <w:r>
              <w:rPr>
                <w:rFonts w:ascii="Arial" w:cs="Arial" w:eastAsia="Arial" w:hAnsi="Arial"/>
                <w:sz w:val="20"/>
                <w:szCs w:val="20"/>
                <w:color w:val="auto"/>
              </w:rPr>
              <w:t>XBRL Instance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101.SCH</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Extension Schema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101.CAL</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Calculation Linkbase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101.LAB</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Label Linkbase Document</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101.PRE</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Presentation Linkbase Document</w:t>
            </w:r>
          </w:p>
        </w:tc>
      </w:t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101.DEF</w:t>
            </w:r>
          </w:p>
        </w:tc>
        <w:tc>
          <w:tcPr>
            <w:tcW w:w="9640" w:type="dxa"/>
            <w:vAlign w:val="bottom"/>
          </w:tcPr>
          <w:p>
            <w:pPr>
              <w:ind w:left="100"/>
              <w:spacing w:after="0"/>
              <w:rPr>
                <w:sz w:val="20"/>
                <w:szCs w:val="20"/>
                <w:color w:val="auto"/>
              </w:rPr>
            </w:pPr>
            <w:r>
              <w:rPr>
                <w:rFonts w:ascii="Arial" w:cs="Arial" w:eastAsia="Arial" w:hAnsi="Arial"/>
                <w:sz w:val="20"/>
                <w:szCs w:val="20"/>
                <w:color w:val="auto"/>
              </w:rPr>
              <w:t>XBRL Taxonomy Definition Document</w:t>
            </w:r>
          </w:p>
        </w:tc>
      </w:tr>
      <w:tr>
        <w:trPr>
          <w:trHeight w:val="671"/>
        </w:trPr>
        <w:tc>
          <w:tcPr>
            <w:tcW w:w="860" w:type="dxa"/>
            <w:vAlign w:val="bottom"/>
          </w:tcPr>
          <w:p>
            <w:pPr>
              <w:spacing w:after="0"/>
              <w:rPr>
                <w:sz w:val="24"/>
                <w:szCs w:val="24"/>
                <w:color w:val="auto"/>
              </w:rPr>
            </w:pPr>
          </w:p>
        </w:tc>
        <w:tc>
          <w:tcPr>
            <w:tcW w:w="9640" w:type="dxa"/>
            <w:vAlign w:val="bottom"/>
          </w:tcPr>
          <w:p>
            <w:pPr>
              <w:ind w:left="410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80"/>
          </w:cols>
          <w:pgMar w:left="240" w:top="233" w:right="27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color w:val="auto"/>
        </w:rPr>
        <w:t>Exhibit 31.1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Michael D. Popielec, certify that:</w:t>
      </w:r>
    </w:p>
    <w:p>
      <w:pPr>
        <w:spacing w:after="0" w:line="229"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17"/>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1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1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1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1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000" w:type="dxa"/>
            <w:vAlign w:val="bottom"/>
            <w:gridSpan w:val="3"/>
          </w:tcPr>
          <w:p>
            <w:pPr>
              <w:spacing w:after="0"/>
              <w:rPr>
                <w:sz w:val="20"/>
                <w:szCs w:val="20"/>
                <w:color w:val="auto"/>
              </w:rPr>
            </w:pPr>
            <w:r>
              <w:rPr>
                <w:rFonts w:ascii="Arial" w:cs="Arial" w:eastAsia="Arial" w:hAnsi="Arial"/>
                <w:sz w:val="20"/>
                <w:szCs w:val="20"/>
                <w:color w:val="auto"/>
              </w:rPr>
              <w:t>Date: October 29, 2015</w:t>
            </w:r>
          </w:p>
        </w:tc>
        <w:tc>
          <w:tcPr>
            <w:tcW w:w="4640" w:type="dxa"/>
            <w:vAlign w:val="bottom"/>
            <w:gridSpan w:val="3"/>
          </w:tcPr>
          <w:p>
            <w:pPr>
              <w:ind w:left="112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6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Michael D. Popielec</w:t>
            </w:r>
          </w:p>
        </w:tc>
        <w:tc>
          <w:tcPr>
            <w:tcW w:w="92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80" w:type="dxa"/>
            <w:vAlign w:val="bottom"/>
            <w:gridSpan w:val="2"/>
          </w:tcPr>
          <w:p>
            <w:pPr>
              <w:ind w:left="60"/>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color w:val="auto"/>
        </w:rPr>
        <w:t>Exhibit 31.2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Philip A. Fain, certify that:</w:t>
      </w:r>
    </w:p>
    <w:p>
      <w:pPr>
        <w:spacing w:after="0" w:line="229"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18"/>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1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1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000" w:type="dxa"/>
            <w:vAlign w:val="bottom"/>
            <w:gridSpan w:val="3"/>
          </w:tcPr>
          <w:p>
            <w:pPr>
              <w:spacing w:after="0"/>
              <w:rPr>
                <w:sz w:val="20"/>
                <w:szCs w:val="20"/>
                <w:color w:val="auto"/>
              </w:rPr>
            </w:pPr>
            <w:r>
              <w:rPr>
                <w:rFonts w:ascii="Arial" w:cs="Arial" w:eastAsia="Arial" w:hAnsi="Arial"/>
                <w:sz w:val="20"/>
                <w:szCs w:val="20"/>
                <w:color w:val="auto"/>
              </w:rPr>
              <w:t>Date: October 29, 2015</w:t>
            </w:r>
          </w:p>
        </w:tc>
        <w:tc>
          <w:tcPr>
            <w:tcW w:w="4600" w:type="dxa"/>
            <w:vAlign w:val="bottom"/>
            <w:gridSpan w:val="3"/>
          </w:tcPr>
          <w:p>
            <w:pPr>
              <w:ind w:left="112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Philip A. Fain</w:t>
            </w:r>
          </w:p>
        </w:tc>
        <w:tc>
          <w:tcPr>
            <w:tcW w:w="94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40" w:type="dxa"/>
            <w:vAlign w:val="bottom"/>
            <w:gridSpan w:val="2"/>
          </w:tcPr>
          <w:p>
            <w:pPr>
              <w:ind w:left="60"/>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1350 Certification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27, 2015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000" w:type="dxa"/>
            <w:vAlign w:val="bottom"/>
            <w:gridSpan w:val="3"/>
          </w:tcPr>
          <w:p>
            <w:pPr>
              <w:spacing w:after="0"/>
              <w:rPr>
                <w:sz w:val="20"/>
                <w:szCs w:val="20"/>
                <w:color w:val="auto"/>
              </w:rPr>
            </w:pPr>
            <w:r>
              <w:rPr>
                <w:rFonts w:ascii="Arial" w:cs="Arial" w:eastAsia="Arial" w:hAnsi="Arial"/>
                <w:sz w:val="20"/>
                <w:szCs w:val="20"/>
                <w:color w:val="auto"/>
              </w:rPr>
              <w:t>Date: October 29, 2015</w:t>
            </w:r>
          </w:p>
        </w:tc>
        <w:tc>
          <w:tcPr>
            <w:tcW w:w="1480" w:type="dxa"/>
            <w:vAlign w:val="bottom"/>
          </w:tcPr>
          <w:p>
            <w:pPr>
              <w:ind w:left="1120"/>
              <w:spacing w:after="0"/>
              <w:rPr>
                <w:sz w:val="20"/>
                <w:szCs w:val="20"/>
                <w:color w:val="auto"/>
              </w:rPr>
            </w:pPr>
            <w:r>
              <w:rPr>
                <w:rFonts w:ascii="Arial" w:cs="Arial" w:eastAsia="Arial" w:hAnsi="Arial"/>
                <w:sz w:val="20"/>
                <w:szCs w:val="20"/>
                <w:color w:val="auto"/>
              </w:rPr>
              <w:t>By:</w:t>
            </w:r>
          </w:p>
        </w:tc>
        <w:tc>
          <w:tcPr>
            <w:tcW w:w="3160" w:type="dxa"/>
            <w:vAlign w:val="bottom"/>
            <w:gridSpan w:val="4"/>
          </w:tcPr>
          <w:p>
            <w:pPr>
              <w:ind w:left="80"/>
              <w:spacing w:after="0"/>
              <w:rPr>
                <w:sz w:val="20"/>
                <w:szCs w:val="20"/>
                <w:color w:val="auto"/>
              </w:rPr>
            </w:pPr>
            <w:r>
              <w:rPr>
                <w:rFonts w:ascii="Arial" w:cs="Arial" w:eastAsia="Arial" w:hAnsi="Arial"/>
                <w:sz w:val="20"/>
                <w:szCs w:val="20"/>
                <w:color w:val="auto"/>
              </w:rPr>
              <w:t>/s/ Michael D. Popielec</w:t>
            </w:r>
          </w:p>
        </w:tc>
      </w:tr>
      <w:tr>
        <w:trPr>
          <w:trHeight w:val="233"/>
        </w:trPr>
        <w:tc>
          <w:tcPr>
            <w:tcW w:w="4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Michael D. Popielec</w:t>
            </w:r>
          </w:p>
        </w:tc>
        <w:tc>
          <w:tcPr>
            <w:tcW w:w="920" w:type="dxa"/>
            <w:vAlign w:val="bottom"/>
            <w:gridSpan w:val="2"/>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3"/>
          </w:tcPr>
          <w:p>
            <w:pPr>
              <w:ind w:left="60"/>
              <w:spacing w:after="0"/>
              <w:rPr>
                <w:sz w:val="20"/>
                <w:szCs w:val="20"/>
                <w:color w:val="auto"/>
              </w:rPr>
            </w:pPr>
            <w:r>
              <w:rPr>
                <w:rFonts w:ascii="Arial" w:cs="Arial" w:eastAsia="Arial" w:hAnsi="Arial"/>
                <w:sz w:val="20"/>
                <w:szCs w:val="20"/>
                <w:color w:val="auto"/>
                <w:w w:val="90"/>
              </w:rPr>
              <w:t>President and Chief Executive Officer</w:t>
            </w:r>
          </w:p>
        </w:tc>
      </w:tr>
      <w:tr>
        <w:trPr>
          <w:trHeight w:val="415"/>
        </w:trPr>
        <w:tc>
          <w:tcPr>
            <w:tcW w:w="3000" w:type="dxa"/>
            <w:vAlign w:val="bottom"/>
            <w:gridSpan w:val="3"/>
          </w:tcPr>
          <w:p>
            <w:pPr>
              <w:spacing w:after="0"/>
              <w:rPr>
                <w:sz w:val="20"/>
                <w:szCs w:val="20"/>
                <w:color w:val="auto"/>
              </w:rPr>
            </w:pPr>
            <w:r>
              <w:rPr>
                <w:rFonts w:ascii="Arial" w:cs="Arial" w:eastAsia="Arial" w:hAnsi="Arial"/>
                <w:sz w:val="20"/>
                <w:szCs w:val="20"/>
                <w:color w:val="auto"/>
              </w:rPr>
              <w:t>Date: October 29, 2015</w:t>
            </w:r>
          </w:p>
        </w:tc>
        <w:tc>
          <w:tcPr>
            <w:tcW w:w="1480" w:type="dxa"/>
            <w:vAlign w:val="bottom"/>
          </w:tcPr>
          <w:p>
            <w:pPr>
              <w:ind w:left="1120"/>
              <w:spacing w:after="0"/>
              <w:rPr>
                <w:sz w:val="20"/>
                <w:szCs w:val="20"/>
                <w:color w:val="auto"/>
              </w:rPr>
            </w:pPr>
            <w:r>
              <w:rPr>
                <w:rFonts w:ascii="Arial" w:cs="Arial" w:eastAsia="Arial" w:hAnsi="Arial"/>
                <w:sz w:val="20"/>
                <w:szCs w:val="20"/>
                <w:color w:val="auto"/>
              </w:rPr>
              <w:t>By:</w:t>
            </w:r>
          </w:p>
        </w:tc>
        <w:tc>
          <w:tcPr>
            <w:tcW w:w="3160" w:type="dxa"/>
            <w:vAlign w:val="bottom"/>
            <w:gridSpan w:val="4"/>
          </w:tcPr>
          <w:p>
            <w:pPr>
              <w:ind w:left="80"/>
              <w:spacing w:after="0"/>
              <w:rPr>
                <w:sz w:val="20"/>
                <w:szCs w:val="20"/>
                <w:color w:val="auto"/>
              </w:rPr>
            </w:pPr>
            <w:r>
              <w:rPr>
                <w:rFonts w:ascii="Arial" w:cs="Arial" w:eastAsia="Arial" w:hAnsi="Arial"/>
                <w:sz w:val="20"/>
                <w:szCs w:val="20"/>
                <w:color w:val="auto"/>
              </w:rPr>
              <w:t>/s/ Philip A. Fain</w:t>
            </w:r>
          </w:p>
        </w:tc>
      </w:tr>
      <w:tr>
        <w:trPr>
          <w:trHeight w:val="233"/>
        </w:trPr>
        <w:tc>
          <w:tcPr>
            <w:tcW w:w="4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Borders>
              <w:top w:val="single" w:sz="8" w:color="auto"/>
            </w:tcBorders>
            <w:gridSpan w:val="2"/>
          </w:tcPr>
          <w:p>
            <w:pPr>
              <w:ind w:left="60"/>
              <w:spacing w:after="0"/>
              <w:rPr>
                <w:sz w:val="20"/>
                <w:szCs w:val="20"/>
                <w:color w:val="auto"/>
              </w:rPr>
            </w:pPr>
            <w:r>
              <w:rPr>
                <w:rFonts w:ascii="Arial" w:cs="Arial" w:eastAsia="Arial" w:hAnsi="Arial"/>
                <w:sz w:val="20"/>
                <w:szCs w:val="20"/>
                <w:color w:val="auto"/>
              </w:rPr>
              <w:t>Philip A. Fain</w:t>
            </w:r>
          </w:p>
        </w:tc>
        <w:tc>
          <w:tcPr>
            <w:tcW w:w="88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3"/>
          </w:tcPr>
          <w:p>
            <w:pPr>
              <w:ind w:left="60"/>
              <w:spacing w:after="0"/>
              <w:rPr>
                <w:sz w:val="20"/>
                <w:szCs w:val="20"/>
                <w:color w:val="auto"/>
              </w:rPr>
            </w:pPr>
            <w:r>
              <w:rPr>
                <w:rFonts w:ascii="Arial" w:cs="Arial" w:eastAsia="Arial" w:hAnsi="Arial"/>
                <w:sz w:val="20"/>
                <w:szCs w:val="20"/>
                <w:color w:val="auto"/>
                <w:w w:val="91"/>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2"/>
    </w:lvl>
  </w:abstractNum>
  <w:abstractNum w:abstractNumId="13">
    <w:nsid w:val="6B68079A"/>
    <w:multiLevelType w:val="hybridMultilevel"/>
    <w:lvl w:ilvl="0">
      <w:lvlJc w:val="left"/>
      <w:lvlText w:val="%1."/>
      <w:numFmt w:val="decimal"/>
      <w:start w:val="13"/>
    </w:lvl>
  </w:abstractNum>
  <w:abstractNum w:abstractNumId="14">
    <w:nsid w:val="4E6AFB66"/>
    <w:multiLevelType w:val="hybridMultilevel"/>
    <w:lvl w:ilvl="0">
      <w:lvlJc w:val="left"/>
      <w:lvlText w:val="%1."/>
      <w:numFmt w:val="decimal"/>
      <w:start w:val="14"/>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2019-12-29T16:35:17Z</dcterms:created>
  <dcterms:modified xsi:type="dcterms:W3CDTF">2019-12-29T16:35:17Z</dcterms:modified>
</cp:coreProperties>
</file>