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4040" w:right="980" w:hanging="3048"/>
        <w:spacing w:after="0" w:line="490" w:lineRule="auto"/>
        <w:tabs>
          <w:tab w:leader="none" w:pos="1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 Ended September 30, 2018</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9"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0-27460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ULTRALIFE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160020</wp:posOffset>
            </wp:positionV>
            <wp:extent cx="164655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45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ind w:right="770"/>
              <w:spacing w:after="0"/>
              <w:rPr>
                <w:sz w:val="20"/>
                <w:szCs w:val="20"/>
                <w:color w:val="auto"/>
              </w:rPr>
            </w:pPr>
            <w:r>
              <w:rPr>
                <w:rFonts w:ascii="Arial" w:cs="Arial" w:eastAsia="Arial" w:hAnsi="Arial"/>
                <w:sz w:val="18"/>
                <w:szCs w:val="18"/>
                <w:b w:val="1"/>
                <w:bCs w:val="1"/>
                <w:color w:val="auto"/>
              </w:rPr>
              <w:t>16-1387013</w:t>
            </w:r>
          </w:p>
        </w:tc>
      </w:tr>
      <w:tr>
        <w:trPr>
          <w:trHeight w:val="230"/>
        </w:trPr>
        <w:tc>
          <w:tcPr>
            <w:tcW w:w="4540" w:type="dxa"/>
            <w:vAlign w:val="bottom"/>
          </w:tcPr>
          <w:p>
            <w:pPr>
              <w:jc w:val="center"/>
              <w:ind w:right="1290"/>
              <w:spacing w:after="0"/>
              <w:rPr>
                <w:sz w:val="20"/>
                <w:szCs w:val="20"/>
                <w:color w:val="auto"/>
              </w:rPr>
            </w:pPr>
            <w:r>
              <w:rPr>
                <w:rFonts w:ascii="Arial" w:cs="Arial" w:eastAsia="Arial" w:hAnsi="Arial"/>
                <w:sz w:val="18"/>
                <w:szCs w:val="18"/>
                <w:color w:val="auto"/>
                <w:w w:val="92"/>
              </w:rPr>
              <w:t>(State or other jurisdiction of incorporation)</w:t>
            </w:r>
          </w:p>
        </w:tc>
        <w:tc>
          <w:tcPr>
            <w:tcW w:w="398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4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2000 Technology Parkway</w:t>
            </w:r>
          </w:p>
        </w:tc>
        <w:tc>
          <w:tcPr>
            <w:tcW w:w="3980" w:type="dxa"/>
            <w:vAlign w:val="bottom"/>
          </w:tcPr>
          <w:p>
            <w:pPr>
              <w:jc w:val="right"/>
              <w:ind w:right="970"/>
              <w:spacing w:after="0"/>
              <w:rPr>
                <w:sz w:val="20"/>
                <w:szCs w:val="20"/>
                <w:color w:val="auto"/>
              </w:rPr>
            </w:pPr>
            <w:r>
              <w:rPr>
                <w:rFonts w:ascii="Arial" w:cs="Arial" w:eastAsia="Arial" w:hAnsi="Arial"/>
                <w:sz w:val="18"/>
                <w:szCs w:val="18"/>
                <w:b w:val="1"/>
                <w:bCs w:val="1"/>
                <w:color w:val="auto"/>
              </w:rPr>
              <w:t>14513</w:t>
            </w:r>
          </w:p>
        </w:tc>
      </w:tr>
      <w:tr>
        <w:trPr>
          <w:trHeight w:val="220"/>
        </w:trPr>
        <w:tc>
          <w:tcPr>
            <w:tcW w:w="45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4"/>
              </w:rPr>
              <w:t>Newark, New York</w:t>
            </w:r>
          </w:p>
        </w:tc>
        <w:tc>
          <w:tcPr>
            <w:tcW w:w="3980" w:type="dxa"/>
            <w:vAlign w:val="bottom"/>
          </w:tcPr>
          <w:p>
            <w:pPr>
              <w:jc w:val="center"/>
              <w:ind w:left="1310"/>
              <w:spacing w:after="0"/>
              <w:rPr>
                <w:sz w:val="20"/>
                <w:szCs w:val="20"/>
                <w:color w:val="auto"/>
              </w:rPr>
            </w:pPr>
            <w:r>
              <w:rPr>
                <w:rFonts w:ascii="Arial" w:cs="Arial" w:eastAsia="Arial" w:hAnsi="Arial"/>
                <w:sz w:val="18"/>
                <w:szCs w:val="18"/>
                <w:color w:val="auto"/>
                <w:w w:val="91"/>
              </w:rPr>
              <w:t>(Zip Code)</w:t>
            </w:r>
          </w:p>
        </w:tc>
      </w:tr>
      <w:tr>
        <w:trPr>
          <w:trHeight w:val="230"/>
        </w:trPr>
        <w:tc>
          <w:tcPr>
            <w:tcW w:w="454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398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(315) 332-7100</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tabs>
          <w:tab w:leader="none" w:pos="1220" w:val="left"/>
        </w:tabs>
        <w:rPr>
          <w:sz w:val="20"/>
          <w:szCs w:val="20"/>
          <w:color w:val="auto"/>
        </w:rPr>
      </w:pPr>
      <w:r>
        <w:rPr>
          <w:rFonts w:ascii="Arial" w:cs="Arial" w:eastAsia="Arial" w:hAnsi="Arial"/>
          <w:sz w:val="18"/>
          <w:szCs w:val="18"/>
          <w:color w:val="auto"/>
        </w:rPr>
        <w:t>Yes [ X ] No [</w:t>
        <w:tab/>
        <w:t>]</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tabs>
          <w:tab w:leader="none" w:pos="1220" w:val="left"/>
        </w:tabs>
        <w:rPr>
          <w:sz w:val="20"/>
          <w:szCs w:val="20"/>
          <w:color w:val="auto"/>
        </w:rPr>
      </w:pPr>
      <w:r>
        <w:rPr>
          <w:rFonts w:ascii="Arial" w:cs="Arial" w:eastAsia="Arial" w:hAnsi="Arial"/>
          <w:sz w:val="18"/>
          <w:szCs w:val="18"/>
          <w:color w:val="auto"/>
        </w:rPr>
        <w:t>Yes [ X ] No [</w:t>
        <w:tab/>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40"/>
              <w:spacing w:after="0"/>
              <w:rPr>
                <w:sz w:val="20"/>
                <w:szCs w:val="20"/>
                <w:color w:val="auto"/>
              </w:rPr>
            </w:pPr>
            <w:r>
              <w:rPr>
                <w:rFonts w:ascii="Arial" w:cs="Arial" w:eastAsia="Arial" w:hAnsi="Arial"/>
                <w:sz w:val="18"/>
                <w:szCs w:val="18"/>
                <w:color w:val="auto"/>
              </w:rPr>
              <w:t>]</w:t>
            </w:r>
          </w:p>
        </w:tc>
        <w:tc>
          <w:tcPr>
            <w:tcW w:w="300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40"/>
              <w:spacing w:after="0"/>
              <w:rPr>
                <w:sz w:val="20"/>
                <w:szCs w:val="20"/>
                <w:color w:val="auto"/>
              </w:rPr>
            </w:pPr>
            <w:r>
              <w:rPr>
                <w:rFonts w:ascii="Arial" w:cs="Arial" w:eastAsia="Arial" w:hAnsi="Arial"/>
                <w:sz w:val="18"/>
                <w:szCs w:val="18"/>
                <w:color w:val="auto"/>
              </w:rPr>
              <w:t>] (Do not check if a smaller reporting company)</w:t>
            </w:r>
          </w:p>
        </w:tc>
        <w:tc>
          <w:tcPr>
            <w:tcW w:w="300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9"/>
              </w:rPr>
              <w:t>[ X ]</w:t>
            </w:r>
          </w:p>
        </w:tc>
      </w:tr>
      <w:tr>
        <w:trPr>
          <w:trHeight w:val="230"/>
        </w:trPr>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00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tabs>
          <w:tab w:leader="none" w:pos="87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r>
      <w:r>
        <w:rPr>
          <w:sz w:val="20"/>
          <w:szCs w:val="20"/>
          <w:color w:val="auto"/>
        </w:rPr>
        <w:tab/>
      </w:r>
      <w:r>
        <w:rPr>
          <w:rFonts w:ascii="Arial" w:cs="Arial" w:eastAsia="Arial" w:hAnsi="Arial"/>
          <w:sz w:val="17"/>
          <w:szCs w:val="17"/>
          <w:color w:val="auto"/>
        </w:rPr>
        <w:t>] No [ X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15,956,677, net of 4,019,711 treasury shares, as of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20" w:type="dxa"/>
            <w:vAlign w:val="bottom"/>
          </w:tcPr>
          <w:p>
            <w:pPr>
              <w:spacing w:after="0"/>
              <w:rPr>
                <w:sz w:val="17"/>
                <w:szCs w:val="17"/>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Financial Statements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Balance Sheets as of September 30, 2018 (Unaudited) and December 31, 2017</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Consolidated Statements of Income and Comprehensive Income (Unaudited) for the Three and Nine Month Periods Ended September</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 2018 and October 1, 2017</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Consolidated Statements of Cash Flows (Unaudited) for the Nine Month Periods Ended September 30, 2018 and October 1, 2017</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Signatures</w:t>
            </w:r>
          </w:p>
        </w:tc>
        <w:tc>
          <w:tcPr>
            <w:tcW w:w="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 to Exhibits</w:t>
            </w:r>
          </w:p>
        </w:tc>
        <w:tc>
          <w:tcPr>
            <w:tcW w:w="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20" w:type="dxa"/>
            <w:vAlign w:val="bottom"/>
          </w:tcPr>
          <w:p>
            <w:pPr>
              <w:ind w:left="47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Cash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25,013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w w:val="95"/>
              </w:rPr>
              <w:t>Trade Accounts Receivable, Net of Allowance for Doubtful Accounts of $277 and $292, Respectively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14,533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Property, Equipment and Improvements,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8,792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6,670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101,796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 Par Value $.10 Per Share; Authorized 40,000,000 Shares; Issued – 19,976,388 and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w w:val="97"/>
              </w:rPr>
              <w:t>19,670,928 Shares, respectively; Outstanding – 15,956,677 and 15,651,217 Shares,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182,246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(77,709)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Treasury Stock - At Cost; 4,019,711 Shares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(18,469)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Ultralife Corporation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101,796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740" w:type="dxa"/>
            <w:vAlign w:val="bottom"/>
            <w:gridSpan w:val="5"/>
          </w:tcPr>
          <w:p>
            <w:pPr>
              <w:jc w:val="center"/>
              <w:ind w:left="15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jc w:val="right"/>
              <w:ind w:right="201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8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INCOME AND COMPREHENSIVE INCOME (In Thousands except per share amounts)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 periods ended</w:t>
            </w:r>
          </w:p>
        </w:tc>
        <w:tc>
          <w:tcPr>
            <w:tcW w:w="160" w:type="dxa"/>
            <w:vAlign w:val="bottom"/>
          </w:tcPr>
          <w:p>
            <w:pPr>
              <w:spacing w:after="0"/>
              <w:rPr>
                <w:sz w:val="18"/>
                <w:szCs w:val="18"/>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66,263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income attributable to Ultralife Corporation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income per share attributable to Ultralife common shareholders – 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per share attributable to Ultralife common shareholders –</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diluted</w:t>
            </w:r>
          </w:p>
        </w:tc>
        <w:tc>
          <w:tcPr>
            <w:tcW w:w="28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5,242</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Equipment and Improvements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Government Grant</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25,454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its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2017.</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December 31, 2017 consolidated balance sheet data referenced herein was derived from audited financial statements, but does not include all disclosures required by GAAP.</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36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under which the Company is authorized to purchase up to 2.5 million shares of its outstanding common stock over a period not to exceed twelve months.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Share Repurchase Program, shares may be purchased in open market transactions, including through block purchases, through privately negotiated transactions, or pursuant to any trading plan that may be adopted in accordance with Rule 10b5-1 of the Securities Exchange Act of 1934. The timing, manner, price and amount of any repurchase will be determined at the Company’s discretion and the Share Repurchase Program may be suspended, terminated or modified by the Company’s Board of Directors at any time for any reason and does not obligate the Company to purchase any specific number of shares. Under the Program, all purchases will be made in accordance with Securities Exchange Act Rule 10b-18, which sets certain restrictions on the method, timing, price and volume of open market stock repurchases.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2018, the Company adopted Accounting Standards Update 2014-09 (Topic 606) “Revenue from Contracts with Customers”. Adoption of Topic 606 did not impact the timing of revenue recognition in our Consolidated Financial Statements for the current or prior interim or annual periods. Accordingly, no adjustments have been made to opening retained earnings or prior period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from prior period performance obligations for the three and nine months ended September 30, 2018 were not material.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Deferred revenue, unbilled revenue and deferred contract costs recorded on our Consolidated Balance Sheets as of September 30, 2018 and December 31, 2017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Payment terms are generally 30 days. Trade accounts receivable are recorded at their invoiced amounts, net of allowance for doubtful accounts.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and the aging of specific receivables. Receivable balances are written off when collection is deemed unlikely.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Commissions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commissions are expensed as incurred for contracts with an expected duration of one year or less. There were no sales commissions capitalized as of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generally offer warranties against product defects. Costs incurred to service warranty claims are recorded as costs of products sold. We provide for potential warranty costs based on historical experience. Provision for warranty costs is recorded in other current liabilities and other long-term liabilities on our Consolidated Balance Sheets based on the duration of the warranty. The Company does not offer separate service-type warranties on its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disaggregated revenue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totaling $25,454 and $18,330 as of September 30, 2018 and December 31, 2017, respectively.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4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Restricted cash at September 30, 2018 consists of a government grant awarded in the People’s Republic of China to fund specified technological research and development expenditures. The grant proceeds will be realized to income as a direct offset to expense as the expenditures are incurred. No expenditures have been incurred or proceeds realized with respect to the grant as of September 30, 2018. Restricted cash also includes deposits withheld by the Dutch tax authorities and third party VAT representatives in connection with a previously utilized logistics arrangement in the Netherlands. Restricted cash is included as a component of the cash balance for purposes of the statement of cash flows.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stated at the lower of cost or market, net of obsolescence reserves, with cost determined under the first-in, first-out (FIFO) method. The composition of inventories, net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7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13,448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1,857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7,813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23,118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i w:val="1"/>
                <w:iCs w:val="1"/>
                <w:color w:val="auto"/>
              </w:rPr>
              <w:t>PROPERTY, EQUIPMENT AND IMPROVEMENTS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w w:val="91"/>
              </w:rPr>
              <w:t>Major classes of property, equipment and improvements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7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7,924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51,054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5,549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2,601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69,234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(60,442)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(59,141)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2"/>
          </w:tcPr>
          <w:p>
            <w:pPr>
              <w:spacing w:after="0"/>
              <w:rPr>
                <w:sz w:val="20"/>
                <w:szCs w:val="20"/>
                <w:color w:val="auto"/>
              </w:rPr>
            </w:pPr>
            <w:r>
              <w:rPr>
                <w:rFonts w:ascii="Arial" w:cs="Arial" w:eastAsia="Arial" w:hAnsi="Arial"/>
                <w:sz w:val="18"/>
                <w:szCs w:val="18"/>
                <w:color w:val="auto"/>
                <w:w w:val="93"/>
              </w:rPr>
              <w:t>Depreciation expense for property, equipment and improvements was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60" w:type="dxa"/>
            <w:vAlign w:val="bottom"/>
          </w:tcPr>
          <w:p>
            <w:pPr>
              <w:spacing w:after="0"/>
              <w:rPr>
                <w:sz w:val="24"/>
                <w:szCs w:val="24"/>
                <w:color w:val="auto"/>
              </w:rPr>
            </w:pPr>
          </w:p>
        </w:tc>
        <w:tc>
          <w:tcPr>
            <w:tcW w:w="2600" w:type="dxa"/>
            <w:vAlign w:val="bottom"/>
            <w:gridSpan w:val="11"/>
          </w:tcPr>
          <w:p>
            <w:pPr>
              <w:ind w:left="220"/>
              <w:spacing w:after="0"/>
              <w:rPr>
                <w:sz w:val="20"/>
                <w:szCs w:val="20"/>
                <w:color w:val="auto"/>
              </w:rPr>
            </w:pPr>
            <w:r>
              <w:rPr>
                <w:rFonts w:ascii="Arial" w:cs="Arial" w:eastAsia="Arial" w:hAnsi="Arial"/>
                <w:sz w:val="18"/>
                <w:szCs w:val="18"/>
                <w:b w:val="1"/>
                <w:bCs w:val="1"/>
                <w:color w:val="auto"/>
              </w:rPr>
              <w:t>Nine-month periods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October 1,</w:t>
            </w:r>
          </w:p>
        </w:tc>
        <w:tc>
          <w:tcPr>
            <w:tcW w:w="60" w:type="dxa"/>
            <w:vAlign w:val="bottom"/>
          </w:tcPr>
          <w:p>
            <w:pPr>
              <w:spacing w:after="0"/>
              <w:rPr>
                <w:sz w:val="18"/>
                <w:szCs w:val="18"/>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1,476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GOODWILL, INTANGIBLE ASSETS AND LONG TERM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nine-month periods ended September 30, 2018 and October 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Battery &amp;</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Communi-</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19,965</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October 1, 2017</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20,381</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2018</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20,201</w:t>
            </w:r>
          </w:p>
        </w:tc>
        <w:tc>
          <w:tcPr>
            <w:tcW w:w="260" w:type="dxa"/>
            <w:vAlign w:val="bottom"/>
          </w:tcPr>
          <w:p>
            <w:pPr>
              <w:spacing w:after="0"/>
              <w:rPr>
                <w:sz w:val="21"/>
                <w:szCs w:val="21"/>
                <w:color w:val="auto"/>
              </w:rPr>
            </w:pPr>
          </w:p>
        </w:tc>
      </w:tr>
      <w:tr>
        <w:trPr>
          <w:trHeight w:val="413"/>
        </w:trPr>
        <w:tc>
          <w:tcPr>
            <w:tcW w:w="34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 Other Intangible Assets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at September 30,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3,405</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6,529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16,199</w:t>
            </w: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9,529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at December 31, 2017</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3,411</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6,618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5,545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16,344</w:t>
            </w: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9,259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Amortization expense for intangible assets was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2600" w:type="dxa"/>
            <w:vAlign w:val="bottom"/>
            <w:gridSpan w:val="10"/>
          </w:tcPr>
          <w:p>
            <w:pPr>
              <w:ind w:left="220"/>
              <w:spacing w:after="0"/>
              <w:rPr>
                <w:sz w:val="20"/>
                <w:szCs w:val="20"/>
                <w:color w:val="auto"/>
              </w:rPr>
            </w:pPr>
            <w:r>
              <w:rPr>
                <w:rFonts w:ascii="Arial" w:cs="Arial" w:eastAsia="Arial" w:hAnsi="Arial"/>
                <w:sz w:val="18"/>
                <w:szCs w:val="18"/>
                <w:b w:val="1"/>
                <w:bCs w:val="1"/>
                <w:color w:val="auto"/>
              </w:rPr>
              <w:t>Nine-month periods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1,</w:t>
            </w:r>
          </w:p>
        </w:tc>
        <w:tc>
          <w:tcPr>
            <w:tcW w:w="12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the cost value of total other intangible assets from December 31, 2017 to September 30, 2018 of $145 is the result of the effect of foreign currency translations.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REVOLVING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Agreement at the Overnight LIBOR Rate plus the applicable margin, or at the Base Rate plus the applicable margin, as selected by the Company. During the period beginning May 31, 2017 and ending April 1, 2018, the applicable margin for Overnight LIBOR Loans is 185 basis points, the applicable margin for Base Rate Loans is negative 50 basis points and applicable margin for the Unused Fee is 20 basis points. Beginning April 2, 2018 and thereafter, the applicable margins will be determined based on the chart below.</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96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6"/>
        </w:trPr>
        <w:tc>
          <w:tcPr>
            <w:tcW w:w="5960" w:type="dxa"/>
            <w:vAlign w:val="bottom"/>
            <w:tcBorders>
              <w:left w:val="single" w:sz="8" w:color="auto"/>
              <w:right w:val="single" w:sz="8" w:color="auto"/>
            </w:tcBorders>
          </w:tcPr>
          <w:p>
            <w:pPr>
              <w:ind w:left="1720"/>
              <w:spacing w:after="0"/>
              <w:rPr>
                <w:sz w:val="20"/>
                <w:szCs w:val="20"/>
                <w:color w:val="auto"/>
              </w:rPr>
            </w:pPr>
            <w:r>
              <w:rPr>
                <w:rFonts w:ascii="Arial" w:cs="Arial" w:eastAsia="Arial" w:hAnsi="Arial"/>
                <w:sz w:val="18"/>
                <w:szCs w:val="18"/>
                <w:color w:val="auto"/>
              </w:rPr>
              <w:t>Consolidated Senior Leverage Ratio</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Points for Overnight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Points for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30"/>
        </w:trPr>
        <w:tc>
          <w:tcPr>
            <w:tcW w:w="596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LIBOR Loans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Base Rate Loans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Less than 1.50 to 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185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Greater than or equal to 1.50 to 1.00 but less than 2.50 to 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Greater than or equal to 2.50 to 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215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September 30,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we had no outstanding balance under the Credit Facility and no outstanding letters of credit related to the Credit Facility.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i w:val="1"/>
                <w:iCs w:val="1"/>
                <w:color w:val="auto"/>
              </w:rPr>
              <w:t>SHAREHOLDERS’ EQUITY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w w:val="92"/>
              </w:rPr>
              <w:t>We recorded non-cash stock compensation expense in each period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60" w:type="dxa"/>
            <w:vAlign w:val="bottom"/>
          </w:tcPr>
          <w:p>
            <w:pPr>
              <w:spacing w:after="0"/>
              <w:rPr>
                <w:sz w:val="24"/>
                <w:szCs w:val="24"/>
                <w:color w:val="auto"/>
              </w:rPr>
            </w:pPr>
          </w:p>
        </w:tc>
        <w:tc>
          <w:tcPr>
            <w:tcW w:w="244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Nine-month periods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September 30, 2018, there was $681 of total unrecognized compensation cost related to outstanding stock options, which is expected to be recognized over a weighted average period of 1.1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7"/>
          </w:tcPr>
          <w:p>
            <w:pPr>
              <w:jc w:val="right"/>
              <w:ind w:right="940"/>
              <w:spacing w:after="0"/>
              <w:rPr>
                <w:sz w:val="20"/>
                <w:szCs w:val="20"/>
                <w:color w:val="auto"/>
              </w:rPr>
            </w:pPr>
            <w:r>
              <w:rPr>
                <w:rFonts w:ascii="Arial" w:cs="Arial" w:eastAsia="Arial" w:hAnsi="Arial"/>
                <w:sz w:val="18"/>
                <w:szCs w:val="18"/>
                <w:color w:val="auto"/>
                <w:w w:val="91"/>
              </w:rPr>
              <w:t>The following table summarizes stock option activity for the nine-month period ended September 30, 2018:</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1,860,211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217,500</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(305,460)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(17,499)</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1,754,752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w:t>
            </w:r>
          </w:p>
        </w:tc>
      </w:tr>
      <w:tr>
        <w:trPr>
          <w:trHeight w:val="20"/>
        </w:trPr>
        <w:tc>
          <w:tcPr>
            <w:tcW w:w="58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532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at September 30, 2018</w:t>
            </w:r>
          </w:p>
        </w:tc>
        <w:tc>
          <w:tcPr>
            <w:tcW w:w="1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1,650,364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6.66</w:t>
            </w: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3.36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3,791</w:t>
            </w:r>
          </w:p>
        </w:tc>
      </w:tr>
      <w:tr>
        <w:trPr>
          <w:trHeight w:val="20"/>
        </w:trPr>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September 30, 2018</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1,174,378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5.75</w:t>
            </w:r>
          </w:p>
        </w:tc>
        <w:tc>
          <w:tcPr>
            <w:tcW w:w="1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3,193</w:t>
            </w:r>
          </w:p>
        </w:tc>
      </w:tr>
      <w:tr>
        <w:trPr>
          <w:trHeight w:val="20"/>
        </w:trPr>
        <w:tc>
          <w:tcPr>
            <w:tcW w:w="58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The following assumptions were used to value stock options granted during the nine months ended September 30, 2018:</w:t>
            </w:r>
          </w:p>
        </w:tc>
        <w:tc>
          <w:tcPr>
            <w:tcW w:w="1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8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Volatility Factor</w:t>
            </w:r>
          </w:p>
        </w:tc>
        <w:tc>
          <w:tcPr>
            <w:tcW w:w="1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8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30"/>
        </w:trPr>
        <w:tc>
          <w:tcPr>
            <w:tcW w:w="580" w:type="dxa"/>
            <w:vAlign w:val="bottom"/>
          </w:tcPr>
          <w:p>
            <w:pPr>
              <w:spacing w:after="0"/>
              <w:rPr>
                <w:sz w:val="20"/>
                <w:szCs w:val="20"/>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Dividends</w:t>
            </w: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nine months ended September 30, 2018 was $4.22.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On July 25, 2018, the Company’s Board of Directors, at the recommendation of the Compensation and Management Committee and pursuant to the Company’s Amended and Restated 2004 Long-Term Incentive Plan, modified the option previously granted to the Company’s President and Chief Executive Officer to purchase an aggregate 200,000 shares of the Company’s common stock at $10.00, such that the option will fully vest immediately upon the Company’s common stock first reaching a closing price $10.00 for 15 trading days in a 30 trading-day period. The option as previously granted provided for vesting in annual increments of 50,000 shares on each of the four anniversaries of the date the Company’s common stock first reached a closing price $10.00 for 15 trading days in a 30 trading-day period. The option became fully vested during the third quarter 2018 and expires December 30, 2020. The transaction has been accounted for as an equity award modification pursuant to Accounting Standards Codification Topic 718, Compensation – Stock Compensation. The Company has recognized for the third quarter 2018 compensation cost of approximately $182, representing the incremental fair value of the modified award computed as of the modification date as the difference between the fair value of the modified award and the fair value of the original award immediately before it was modified. The incremental fair value was determined using a Monte Carlo simulation option-pricing model consistent with the valuation methodology used to value and recognize the original award.</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nine months of 2018 or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September 30, 2018 and October 1, 2017 was $64 and $131, respectively. Cash received from stock option exercises under our stock-based compensation plans for the nine-month periods ended September 30, 2018 and October 1, 2017 was $1,357 and $1,120,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17,500 shares of restricted stock were awarded to certain of our employees. These shares vest in equal annual installments over three years. The weighted average grant date fair value of these awards was $7.16 per share. Unrecognized compensation cost related to these restricted shares was $71 at September 30,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elimination of the corporate alternative minimum tax (AMT) and changing how existing AMT credits can be realized; (3) changing rules related to usage and limitation of net operating loss carryforwards created in tax years beginning after December 31, 2017; (4) generally eliminating U.S. federal income taxes on dividends from foreign subsidiaries for tax years beginning after December 31, 2017; and (5) implementing a territorial tax system and imposing a transition toll tax on deemed repatriated earnings of foreign subsidiaries.</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Act provided for a one-time deemed mandatory repatriation for post-1986 undistributed foreign subsidiary earnings and profits (“E&amp;P”) through the year ended December 31, 2017. The Company had a deficit in foreign E&amp;P and is not expected to be subject to the deemed mandatory repatriation.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At September 30, 2018, the amounts recorded for the Tax Act remain provisional for the transition tax, the remeasurement of deferred taxes, and our reassessment of permanently reinvested earnings, uncertain tax positions and valuation allowances. These estimates may be impacted by further analysis and future clarification and guidance regarding available tax accounting methods and elections, earnings and profits computations, state tax conformity to federal tax changes and the impact of the Global Intangible Low-Taxed Income (“GILTI”) provisions. At September 30, 2018, we were not able to reasonably estimate, and therefore have not recorded, deferred taxes for the GILTI provisions. We have not yet determined our policy election with respect to whether to record deferred taxes for basis differences expected to reverse as a result of the GILTI provisions in future periods or use the period cost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For the three-month periods ended September 30, 2018 and October 1, 2017, we recognized $86 and $104, respectively, in income tax expense. For the nine-month periods ended September 30, 2018 and October 1, 2017, we recognized $219 and $370, respectively, in income tax expense. These are detailed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6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Nine-month periods ended</w:t>
            </w:r>
          </w:p>
        </w:tc>
      </w:tr>
      <w:tr>
        <w:trPr>
          <w:trHeight w:val="216"/>
        </w:trPr>
        <w:tc>
          <w:tcPr>
            <w:tcW w:w="60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0"/>
        </w:trPr>
        <w:tc>
          <w:tcPr>
            <w:tcW w:w="6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deferred income tax provision for the three-month and nine-month periods ended September 30, 2018 represents the increase in the taxable temporary difference related to goodwill and certain other indefinite-lived intangible assets of the U.S. operations that cannot be predicted to reverse for book purposes during our loss carryforward periods, partially offset by the amortization of certain intangible assets of Accutronics (U.K.). The deferred income tax provision for the three-month and nine-month periods ended October 1, 2017 reflects the higher previously-enacted U.S corporate tax rate. The current income tax provisions for 2018 and 2017 are primarily due to the income generated by our foreign operations during the respective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consolidated tax rates for the nine-month periods ended September 30, 2018 and October 1, 2017 were:</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3340" w:type="dxa"/>
            <w:vAlign w:val="bottom"/>
            <w:gridSpan w:val="4"/>
          </w:tcPr>
          <w:p>
            <w:pPr>
              <w:ind w:left="560"/>
              <w:spacing w:after="0"/>
              <w:rPr>
                <w:sz w:val="20"/>
                <w:szCs w:val="20"/>
                <w:color w:val="auto"/>
              </w:rPr>
            </w:pPr>
            <w:r>
              <w:rPr>
                <w:rFonts w:ascii="Arial" w:cs="Arial" w:eastAsia="Arial" w:hAnsi="Arial"/>
                <w:sz w:val="18"/>
                <w:szCs w:val="18"/>
                <w:b w:val="1"/>
                <w:bCs w:val="1"/>
                <w:color w:val="auto"/>
              </w:rPr>
              <w:t>Nine-Month Periods Ended</w:t>
            </w:r>
          </w:p>
        </w:tc>
      </w:tr>
      <w:tr>
        <w:trPr>
          <w:trHeight w:val="216"/>
        </w:trPr>
        <w:tc>
          <w:tcPr>
            <w:tcW w:w="7480" w:type="dxa"/>
            <w:vAlign w:val="bottom"/>
          </w:tcPr>
          <w:p>
            <w:pPr>
              <w:spacing w:after="0"/>
              <w:rPr>
                <w:sz w:val="18"/>
                <w:szCs w:val="18"/>
                <w:color w:val="auto"/>
              </w:rPr>
            </w:pPr>
          </w:p>
        </w:tc>
        <w:tc>
          <w:tcPr>
            <w:tcW w:w="1500" w:type="dxa"/>
            <w:vAlign w:val="bottom"/>
          </w:tcPr>
          <w:p>
            <w:pPr>
              <w:ind w:left="2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8"/>
                <w:szCs w:val="18"/>
                <w:b w:val="1"/>
                <w:bCs w:val="1"/>
                <w:color w:val="auto"/>
              </w:rPr>
              <w:t>October 1,</w:t>
            </w:r>
          </w:p>
        </w:tc>
      </w:tr>
      <w:tr>
        <w:trPr>
          <w:trHeight w:val="234"/>
        </w:trPr>
        <w:tc>
          <w:tcPr>
            <w:tcW w:w="74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7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74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$5,461</w:t>
            </w:r>
          </w:p>
        </w:tc>
        <w:tc>
          <w:tcPr>
            <w:tcW w:w="1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$4,226</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219</w:t>
            </w:r>
          </w:p>
        </w:tc>
        <w:tc>
          <w:tcPr>
            <w:tcW w:w="1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370</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w:t>
            </w:r>
          </w:p>
        </w:tc>
        <w:tc>
          <w:tcPr>
            <w:tcW w:w="1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8.8%</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2018 and 2017, in the U.S. and for certain past operations in the U.K., we recognize a valuation allowance for our net operating loss carryforwards and other deferred tax assets that cannot be offset by reversing temporary differences. The recognition of the valuation allowance is based on an assessment of all available evidence, both positive and negative, weighted based on objective verifiability. The assessment of the realizability of the U.S. deferred tax assets was based on a number of factors including our history of operating losses, our historical operating volatility, our historical inability to accurately forecast earnings for future periods and the continued uncertainty of the general business climate. The use of our U.K. net operating loss carryforwards may be limited due to the change in the past U.K. operation. Based on our assessment of all available evidence and its weighting based on objective verifiability, we concluded that the realizability of these deferred tax assets is not more likely than not at September 30, 2018. In both 2018 and 2017,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As of December 31, 2017, we have domestic and foreign net operating losses (“NOL”) totaling approximately $69,594 and $12,760, respectively, and domestic tax credits of approximately $1,837, available to reduce future taxable income. Included in our NOL carryforwards are foreign loss carryforwards of approximately $12,760, nearly all of which can be carried forward indefinitely. The domestic NOL carryforward of $69,594 expires beginning in 2020 through 2034.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September 30, 2018 and December 31, 2017.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2002 through 2017 remain subject to examination by the Internal Revenue Service (“IRS”) and various state and local tax jurisdictions due to our NOL carryforwards. Our tax matters for the years 2009 through 2017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earnings per share (“EPS”) is computed by dividing net income attributable to Ultralife Corporation by the weighted-average shares outstanding during the period. Diluted EPS includes the dilutive effect of securities, if any, and is calculated using the treasury stock method. For the three-month period ended September 30, 2018, 1,252,502 stock options and 17,500 restricted stock awards were included in the calculation of Diluted EPS as such securities are dilutive. Inclusion of these securities resulted in 571,829 additional shares in the calculation of fully diluted earnings per share. For the comparable three-month period ended October 1, 2017, 1,481,844 stock options and no restricted stock awards were included in the calculation of Diluted EPS resulting in 407,668 additional shares in the calculation of fully diluted earnings per share. For the nine-month periods ended September 30, 2018 and October 1, 2017, 1,252,502 and 1,066,844 stock options and 17,500 and zero restricted stock awards, respectively, were included in the calculation of Diluted EPS as such securities are dilutive. Inclusion of these securities resulted in 548,004 and 323,217 additional shares, respectively, in the calculation of fully diluted earnings per share.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502,250 and 569,000 outstanding stock options for the three-month periods ended September 30, 2018 and October 1, 2017, respectively, which were not included in EPS as the effect would be anti-dilutive. There were 502,250 and 984,000 outstanding stock options for the nine-month periods ended September 30, 2018 and October 1, 2017,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have made commitments to purchase approximately $3,230 of production machinery and equipment.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nine months of 2018 and 2017 were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Nine-Month Periods Ended</w:t>
            </w:r>
          </w:p>
        </w:tc>
      </w:t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October 1,</w:t>
            </w:r>
          </w:p>
        </w:tc>
      </w:tr>
      <w:tr>
        <w:trPr>
          <w:trHeight w:val="234"/>
        </w:trPr>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0"/>
        </w:trPr>
        <w:tc>
          <w:tcPr>
            <w:tcW w:w="7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such matters will not have a material adverse effect on our financial position, results of operations or cash flows.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lawsuit has now been resolved ( February 2018), the claimant has terminated the action against the Company, and the Court has acknowledged and consented to this termination. The matter was terminated without financial consequences to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30, 2018:</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Segment Contribution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Income, Net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Provision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r>
      <w:tr>
        <w:trPr>
          <w:trHeight w:val="850"/>
        </w:trPr>
        <w:tc>
          <w:tcPr>
            <w:tcW w:w="4920" w:type="dxa"/>
            <w:vAlign w:val="bottom"/>
          </w:tcPr>
          <w:p>
            <w:pPr>
              <w:spacing w:after="0"/>
              <w:rPr>
                <w:sz w:val="20"/>
                <w:szCs w:val="20"/>
                <w:color w:val="auto"/>
              </w:rPr>
            </w:pPr>
            <w:r>
              <w:rPr>
                <w:rFonts w:ascii="Arial" w:cs="Arial" w:eastAsia="Arial" w:hAnsi="Arial"/>
                <w:sz w:val="18"/>
                <w:szCs w:val="18"/>
                <w:b w:val="1"/>
                <w:bCs w:val="1"/>
                <w:color w:val="auto"/>
              </w:rPr>
              <w:t>Three-Month Period Ended October 1, 2017:</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Segment Contribution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1,069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Provision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r>
      <w:tr>
        <w:trPr>
          <w:trHeight w:val="418"/>
        </w:trPr>
        <w:tc>
          <w:tcPr>
            <w:tcW w:w="492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30, 2018:</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66,263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Segment Contribution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5,209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5,488</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Provision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5,185</w:t>
            </w:r>
          </w:p>
        </w:tc>
      </w:tr>
      <w:tr>
        <w:trPr>
          <w:trHeight w:val="850"/>
        </w:trPr>
        <w:tc>
          <w:tcPr>
            <w:tcW w:w="4920" w:type="dxa"/>
            <w:vAlign w:val="bottom"/>
          </w:tcPr>
          <w:p>
            <w:pPr>
              <w:spacing w:after="0"/>
              <w:rPr>
                <w:sz w:val="20"/>
                <w:szCs w:val="20"/>
                <w:color w:val="auto"/>
              </w:rPr>
            </w:pPr>
            <w:r>
              <w:rPr>
                <w:rFonts w:ascii="Arial" w:cs="Arial" w:eastAsia="Arial" w:hAnsi="Arial"/>
                <w:sz w:val="18"/>
                <w:szCs w:val="18"/>
                <w:b w:val="1"/>
                <w:bCs w:val="1"/>
                <w:color w:val="auto"/>
              </w:rPr>
              <w:t>Nine-Month Period Ended October 1, 2017:</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Segment Contribution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4,508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(14,940)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Provision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3,848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and Government/Defense Revenue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Government/</w:t>
            </w: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30, 2018: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18"/>
                <w:szCs w:val="18"/>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10,203</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50%</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Government/</w:t>
            </w: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Three-Month Period Ended October 1, 2017:</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60" w:type="dxa"/>
            <w:vAlign w:val="bottom"/>
          </w:tcPr>
          <w:p>
            <w:pPr>
              <w:spacing w:after="0"/>
              <w:rPr>
                <w:sz w:val="18"/>
                <w:szCs w:val="18"/>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10,230</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51%</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49%</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Government/</w:t>
            </w: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30, 2018: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22,337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13,919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13,919</w:t>
            </w:r>
          </w:p>
        </w:tc>
      </w:tr>
      <w:tr>
        <w:trPr>
          <w:trHeight w:val="20"/>
        </w:trPr>
        <w:tc>
          <w:tcPr>
            <w:tcW w:w="5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36,256</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45%</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55%</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Government/</w:t>
            </w:r>
          </w:p>
        </w:tc>
        <w:tc>
          <w:tcPr>
            <w:tcW w:w="58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Nine-Month Period Ended October 1, 2017:</w:t>
            </w:r>
          </w:p>
        </w:tc>
        <w:tc>
          <w:tcPr>
            <w:tcW w:w="1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44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21,989</w:t>
            </w:r>
          </w:p>
        </w:tc>
        <w:tc>
          <w:tcPr>
            <w:tcW w:w="58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10,045</w:t>
            </w:r>
          </w:p>
        </w:tc>
        <w:tc>
          <w:tcPr>
            <w:tcW w:w="58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32,034</w:t>
            </w:r>
          </w:p>
        </w:tc>
        <w:tc>
          <w:tcPr>
            <w:tcW w:w="580" w:type="dxa"/>
            <w:vAlign w:val="bottom"/>
          </w:tcPr>
          <w:p>
            <w:pPr>
              <w:spacing w:after="0"/>
              <w:rPr>
                <w:sz w:val="19"/>
                <w:szCs w:val="19"/>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1"/>
        </w:trPr>
        <w:tc>
          <w:tcPr>
            <w:tcW w:w="4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49%</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51%</w:t>
            </w:r>
          </w:p>
        </w:tc>
        <w:tc>
          <w:tcPr>
            <w:tcW w:w="580" w:type="dxa"/>
            <w:vAlign w:val="bottom"/>
          </w:tcPr>
          <w:p>
            <w:pPr>
              <w:spacing w:after="0"/>
              <w:rPr>
                <w:sz w:val="18"/>
                <w:szCs w:val="18"/>
                <w:color w:val="auto"/>
              </w:rPr>
            </w:pPr>
          </w:p>
        </w:tc>
      </w:tr>
      <w:tr>
        <w:trPr>
          <w:trHeight w:val="418"/>
        </w:trPr>
        <w:tc>
          <w:tcPr>
            <w:tcW w:w="4500" w:type="dxa"/>
            <w:vAlign w:val="bottom"/>
          </w:tcPr>
          <w:p>
            <w:pPr>
              <w:spacing w:after="0"/>
              <w:rPr>
                <w:sz w:val="24"/>
                <w:szCs w:val="24"/>
                <w:color w:val="auto"/>
              </w:rPr>
            </w:pPr>
          </w:p>
        </w:tc>
        <w:tc>
          <w:tcPr>
            <w:tcW w:w="14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17</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vMerge w:val="restart"/>
          </w:tcPr>
          <w:p>
            <w:pPr>
              <w:spacing w:after="0"/>
              <w:rPr>
                <w:sz w:val="20"/>
                <w:szCs w:val="20"/>
                <w:color w:val="auto"/>
              </w:rPr>
            </w:pPr>
            <w:r>
              <w:rPr>
                <w:rFonts w:ascii="Arial" w:cs="Arial" w:eastAsia="Arial" w:hAnsi="Arial"/>
                <w:sz w:val="18"/>
                <w:szCs w:val="18"/>
                <w:color w:val="auto"/>
                <w:w w:val="90"/>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2640" w:type="dxa"/>
            <w:vAlign w:val="bottom"/>
            <w:vMerge w:val="restart"/>
          </w:tcPr>
          <w:p>
            <w:pPr>
              <w:jc w:val="right"/>
              <w:ind w:right="2490"/>
              <w:spacing w:after="0"/>
              <w:rPr>
                <w:sz w:val="20"/>
                <w:szCs w:val="20"/>
                <w:color w:val="auto"/>
              </w:rPr>
            </w:pPr>
            <w:r>
              <w:rPr>
                <w:rFonts w:ascii="Arial" w:cs="Arial" w:eastAsia="Arial" w:hAnsi="Arial"/>
                <w:sz w:val="18"/>
                <w:szCs w:val="18"/>
                <w:u w:val="single" w:color="auto"/>
                <w:color w:val="auto"/>
                <w:w w:val="78"/>
              </w:rPr>
              <w:t>:</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94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0"/>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Three-Month Period Ended September 30, 2018:</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United States</w:t>
            </w:r>
          </w:p>
        </w:tc>
        <w:tc>
          <w:tcPr>
            <w:tcW w:w="2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Non-United 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9,389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57%</w:t>
            </w:r>
          </w:p>
        </w:tc>
        <w:tc>
          <w:tcPr>
            <w:tcW w:w="6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43%</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Three-Month Period Ended October 1, 2017:</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United States</w:t>
            </w:r>
          </w:p>
        </w:tc>
        <w:tc>
          <w:tcPr>
            <w:tcW w:w="2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Non-United States</w:t>
            </w:r>
          </w:p>
        </w:tc>
        <w:tc>
          <w:tcPr>
            <w:tcW w:w="16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9,161</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1"/>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54%</w:t>
            </w:r>
          </w:p>
        </w:tc>
        <w:tc>
          <w:tcPr>
            <w:tcW w:w="6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46%</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30, 2018:</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United States</w:t>
            </w:r>
          </w:p>
        </w:tc>
        <w:tc>
          <w:tcPr>
            <w:tcW w:w="2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Non-United States</w:t>
            </w:r>
          </w:p>
        </w:tc>
        <w:tc>
          <w:tcPr>
            <w:tcW w:w="16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52,344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29,451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42,198</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1"/>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64%</w:t>
            </w: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36%</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Nine-Month Period Ended October 1, 2017:</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United States</w:t>
            </w:r>
          </w:p>
        </w:tc>
        <w:tc>
          <w:tcPr>
            <w:tcW w:w="2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Non-United States</w:t>
            </w:r>
          </w:p>
        </w:tc>
        <w:tc>
          <w:tcPr>
            <w:tcW w:w="16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25,832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27,145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35,231</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1"/>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56%</w:t>
            </w: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44%</w:t>
            </w:r>
          </w:p>
        </w:tc>
      </w:tr>
    </w:tbl>
    <w:p>
      <w:pPr>
        <w:spacing w:after="0" w:line="113"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2014, the Financial Accounting Standards Board (“FASB”) issued Accounting Standards Update 2014-09 (Topic 606) “Revenue from Contracts with Customers” related to revenue from contracts with customers. Under this standard, revenue is recognized when promised goods or services are transferred to customers in an amount that reflects the consideration that is expected to be received for those goods or services. The updated standard will replace most existing revenue recognition guidance under GAAP and permits the use of either the retrospective or cumulative effect transition method. Topic 606 is effective for annual reporting periods beginning after December 15, 2017, including interim periods within that reporting period. The Company has adopted Topic 606 effective January 1, 2018. See Note 2 for further discussion.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In November 2016, the FASB issued Accounting Standards Update 2016-18, “Statement of Cash Flows (Topic 230): Restricted Cash”. The standard is effective for fiscal years beginning after December 31, 2017, and interim periods within those fiscal years, and should be applied using a retrospective transition method for each period presented. The standard requires that amounts generally described as restricted cash and restricted cash equivalents be included with cash and cash equivalents when reconciling the beginning-of-period and end-of-period total cash amounts shown on the statements of cash flows. The Company has adopted this standard effective January 1, 2018. As a result, restricted cash has been included in the total cash amounts on the Company’s Consolidated Statement of Cash Flows for all periods presented and the required disclosures have been included in the Notes to Consolidated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2016, the FASB issued Accounting Standards Update 2016-15, “Statement of Cash Flows (Topic 230), Classification of Certain Cash Receipts and Cash Payments”. The standard makes eight targeted changes to how cash receipts and cash payments are presented and classified in the statement of cash flows. The standard is effective for fiscal years beginning after December 15, 2017, and interim periods within those fiscal years. The standard requires adoption on a retrospective basis unless it is impracticable to apply, in which case the Company would be required to apply the amendments prospectively as of the earliest date practicable. The Company has adopted this standard effective January 1, 2018. Adoption of this standard did not impact our Consolidated Financial Statements for the current or prior periods presented.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Accounting Standards Update 2017-09, “Compensation – Stock Compensation (Topic 718) – Scope of Modification Accounting”, which provides guidance about which changes to the terms or conditions of a share-based payment award require an entity to apply modification accounting in Topic 718. The standard is effective for fiscal years beginning after December 15, 2017 and interim periods within those fiscal years. The standard is to be applied on a prospective basis to an award modified on or after the adoption date. The Company has adopted this standard effective January 1, 2018. Adoption of this standard did not impact our Consolidated Financial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developments to recently issued accounting standards, including the expected dates of adoption and anticipated effects on the Company’s Consolidated Financial Statements, from those disclosed in the Company’s 2017 Annual Report on Form 10-K, except for the following:</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2018, the FASB issued Accounting Standards Update 2018-05, “Income Taxes (Topic 740): Amendments to SEC Paragraphs Pursuant to SEC Staff Accounting Bulletin No. 118”. The standard adds various Securities and Exchange Commission (“SEC”) paragraphs pursuant to the issuance of the December 2017 SEC Staff Accounting Bulletin No. 118, “Income Tax Accounting Implications of the Tax Cuts and Jobs Act” (“SAB 118”), which was effective immediately. The SEC issued SAB 118 to address concerns about reporting entities’ ability to timely comply with the accounting requirements to recognize all of the effects of the Tax Cuts and Jobs Act in the period of enactment. SAB 118 allows disclosure that timely determination of some or all of the income tax effects from the Tax Cuts and Jobs Act are incomplete by the due date of the financial statements and if possible to provide a reasonable estimate. We have accounted for the tax effects of the Tax Cuts and Jobs Act under the guidance of SAB 118. We have determined reasonable estimates for those effects and have recorded provisional amounts in our Consolidated Financial Statements as of September 30, 2018 and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possible future declines in demand for the products that use our batteries or communications systems; the unique risks associated with our China operations; our efforts to develop new commercial applications for our products; possible breaches in security and other disruptions; reduced U.S. and foreign military spending including the uncertainty associated with government budget approvals; potential disruptions in our supply of raw materials and components; variability in our quarterly and annual results and the price of our common stock; our inability to comply with changes to the regulations for the shipment of our products; safety risks, including the risk of fire; possible impairments of our goodwill and other intangible assets; negative publicity of Lithium-ion batteries; our resources being overwhelmed by our growth prospects; our ability to retain top management and key personnel;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2017.</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2017 to reflect new information or risks, future events or other developments.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Annual Report on Form 10-K for the year ended December 31,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strive to increase the size and profitability of our business through the design, development and sale of new products, expansion of our sales force to penetrate new markets and geographies, as well as seeking opportunities to expand through acquisitions.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and government agencies. We enjoy strong name recognition in our markets under our Ultralife® Batteries, Lithium Power®, McDowell Research®, AMTI™, ABLE™, ACCUTRONICS™, ACCUPRO™, ENTELLION™ brands. We have sales, operations and product development facilities in North America, Europe and Asia.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revenues of $20,330 for the three-month period ended September 30, 2018, decreased by $717 or 3.4%, from $21,047 during the three-month period ended October 1, 2017, due to lower non-U.S. government/defense and 9-Volt battery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three-month period ended September 30, 2018 was $6,041 or 29.7% of revenues, compared to $6,255 or 29.7% of revenues, for the same quarter a year ago. The decline in gross profit resulted from lower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to $4,541 during the three-month period ended September 30, 2018, compared to $4,992 during the three-month period ended October 1, 2017. The $451 or 9.0% decrease reflects continued tight control over discretionary spending.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for the three-month period ended September 30, 2018 was $1,500 or 7.4% of revenues, compared to $1,263 or 6.0% for the year-earlier period. The 18.7% increase in operating income resulted from lower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Ultralife was $1,408 or $0.09 per share – basic and diluted, for the three-month period ended September 30, 2018, compared to $1,098, or $0.07 per share – basic and diluted, for the three-month period ended October 1, 2017.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defined as net income attributable to Ultralife before net interest expense, provision (benefit) for income taxes, depreciation and amortization, and stock-based compensation expense, amounted to $2,472 in the third quarter of 2018 compared to $1,985 for the third quarter of 2017. See the section “Adjusted EBITDA” beginning on page 25 for a reconciliation of Adjusted EBITDA to net income attributable to Ultralife.</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delighted about the two recently announced Communications Systems delivery contracts totaling $19.2 million to supply our Vehicle Amplifier-Adaptors and Mounted Power Amplifiers for the U.S. Army, as well as the $9.5 million IDIQ contract to supply our communication kits for an undisclosed branch of the U.S. Department of Defense.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ind w:right="540"/>
        <w:spacing w:after="0" w:line="277" w:lineRule="auto"/>
        <w:rPr>
          <w:sz w:val="20"/>
          <w:szCs w:val="20"/>
          <w:color w:val="auto"/>
        </w:rPr>
      </w:pPr>
      <w:r>
        <w:rPr>
          <w:rFonts w:ascii="Arial" w:cs="Arial" w:eastAsia="Arial" w:hAnsi="Arial"/>
          <w:sz w:val="18"/>
          <w:szCs w:val="18"/>
          <w:color w:val="auto"/>
        </w:rPr>
        <w:t>We remain focused on our revenue diversification strategy, pursuing commercial opportunities and government/defense opportunities as U.S. spending continues to recover, and are positioned to deliver another year of profitable growth in 2018.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September 30, 2018 and October 1, 2017</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September 30, 2018 amounted to $20,330, a decrease of $717, or 3.4%, from the $21,047</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three-month period ended October 1, 2017.</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Battery &amp; Energy Products revenues decreased $1,327, or 7.1%, from $18,616 for the three-month period ended October 1, 2017 to $17,289 for the three-month period ended September 30, 2018, reflecting lower 9-Volt battery sales to our Europe-based customers, timing of orders to non-U.S. government/defense customers and large shipments to an industrial commercial customer in 2017 which did not re-occur in 2018. Our U.S. government/defense sales increased 9.6% for the quarter due primarily to higher sales of our primary 5390 batteries to the U.S. Department of Defense, consistent with the recovery in domestic defense spending.</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Communications Systems revenues increased $610, or 25.1%, from $2,431 during the three-month period ended October 1, 2017 to $3,041 for the three-month period ended September 30, 2018. This increase is attributable to higher shipments of core products such as our 20-watt amplifiers, universal vehicle adaptors and other radio accessories.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$14,289 for the quarter ended September 30, 2018, a decrease of $503, or 3.4%,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$14,792 reported for the same three-month period a year ago. The decrease was primarily due to lower year-over-year sales of our Battery &amp; Energy Products business. Consolidated cost of products sold as a percentage of total revenue remained constant at 70.3% for the 2018 and 2017 three-month periods. Correspondingly, consolidated gross margin was 29.7% for both periods.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Battery &amp; Energy Products segment, gross profit for the third quarter of 2018 was $4,702 or 27.2% of revenues, a decrease of $484 or 9.3% from gross profit of $5,186, or 27.9% of revenues, for the third quarter of 2017. Battery &amp; Energy Products’ gross margin decreased for the three-month period ended September 30, 2018 by 70 basis points, reflecting product mix.</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our Communications Systems segment, gross profit for the third quarter of 2018 was $1,339 or 44.0% of revenues, an increase of $270 or 25.2%, from gross profit of $1,069, or 44.0% of revenues, for the third quarter of 2017. Both three-month periods reflect the product mix of our high-value proposition core products such as our 20-watt amplifiers, universal vehicle adaptors and other radio accessories.</w:t>
      </w:r>
    </w:p>
    <w:p>
      <w:pPr>
        <w:spacing w:after="0" w:line="17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three-month period ended September 30, 2018 totaled $4,541, a decrease of $451 or 9.0%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$4,992 reported during the three-month period ended October 1, 2017. The reduction for the 2018 third quarter reflects the continued tight control over discretionary spending.</w:t>
      </w:r>
    </w:p>
    <w:p>
      <w:pPr>
        <w:spacing w:after="0" w:line="18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Overall, operating expenses as a percentage of revenues were 22.3% for the quarter ended September 30, 2018 compared to 23.7% for the quarter ended October 1, 2017. Amortization expense associated with intangible assets related to our acquisitions was $97 for the third quarter of 2018 ($61 in selling, general and administrative expenses and $36 in research and development costs), compared with $106 for the third quarter of 2017 ($64 in selling, general, and administrative expenses and $42 in research and development costs). Research and development costs were $1,099 for the three-month period ended September 30, 2018, a decrease of $256 or 18.9%, from $1,355 for the three-months ended October 1, 2017. The decrease primarily reflects the timing of development and testing costs associated with new products. Selling, general, and administrative expenses decreased $195 or 5.4%, to $3,442 for the third quarter of 2018 from $3,637 for the third quarter of 2017. The decrease is attributable to continued tight control over discretionary administrative spending and lower sales commissions due to lower sales in the third quarter of 2018.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4" w:lineRule="auto"/>
        <w:rPr>
          <w:sz w:val="20"/>
          <w:szCs w:val="20"/>
          <w:color w:val="auto"/>
        </w:rPr>
      </w:pPr>
      <w:r>
        <w:rPr>
          <w:rFonts w:ascii="Arial" w:cs="Arial" w:eastAsia="Arial" w:hAnsi="Arial"/>
          <w:sz w:val="17"/>
          <w:szCs w:val="17"/>
          <w:b w:val="1"/>
          <w:bCs w:val="1"/>
          <w:color w:val="auto"/>
        </w:rPr>
        <w:t xml:space="preserve">Other Expense (Income). </w:t>
      </w:r>
      <w:r>
        <w:rPr>
          <w:rFonts w:ascii="Arial" w:cs="Arial" w:eastAsia="Arial" w:hAnsi="Arial"/>
          <w:sz w:val="17"/>
          <w:szCs w:val="17"/>
          <w:color w:val="auto"/>
        </w:rPr>
        <w:t>Other income totaled $21 for the three-month period ended September 30, 2018 compared to other expense of $58 for the three-month period ended October 1, 2017. Interest and financing expense, net of interest income, decreased $25 from $38 for the third quarter of 2017 to $13 for the comparable period in 2018. The decrease is due to higher interest income resulting from our increased cash balance in 2018 as compared to 2017. Miscellaneous income amounted to $34 for the third quarter of 2018 compared with miscellaneous expense of $20 for the third quarter of 2017, primarily due to transactions impacted by foreign currency fluctuations in the U.S. dollar relative to the Pound Sterling, and the strengthening of the U.S dollar to the Pound Sterling from the end of the second quarter to the end of the third quarter in 2018.</w:t>
      </w:r>
    </w:p>
    <w:p>
      <w:pPr>
        <w:spacing w:after="0" w:line="17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tax provision for the 2018 third quarter was $86 compared to $104 for the third quarter of 2017. See Note 9 in the Notes to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for additional information regarding our income taxes.</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was $1,408, or $0.09 per share – basic and diluted, for the three-month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2018, compared to $1,098, or $0.07 per share – basic and diluted, for the three-month period ended October 1, 2017. Average weighted common shares outstanding used to compute diluted earnings per share increased from 15,971,243 in the third quarter of 2017 to 16,523,433 in the third quarter of 2018. The increase in 2018 is attributable to stock option exercises since the third quarter of 2017 and an increase in the weighted average stock price to compute diluted shares from $6.86 for the third quarter of 2017 to $9.29 for the third quarter of 2018.</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Periods Ended September 30, 2018 and October 1, 2017</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nine-month period ended September 30, 2018 amounted to $66,263, an increase of $3,241 or 5.1%,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$63,022 reported for the nine-month period ended October 1, 2017.</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Battery &amp; Energy Products revenues decreased $633, or 1.2%, from $52,977 for the nine-month period ended October 1, 2017 to $52,344 for the nine-month period ended September 30, 2018. Government and defense sales of this segment increased 1.6% from the 2017 nine-month period, reflecting a 21.5% increase in U.S. government and defense sales, and now comprise 42.7% of total segment sales versus 41.5% last year. The increase primarily reflects sales of our primary 5390 batteries to the U.S. Department of Defense. While shipments of batteries and chargers for medical applications increased 6.9%, overall commercial revenues of this segment decreased 3.2% from the 2017 nine-month period and now comprise 57.3% of total segment sales versus 58.5% last year. The year-over-year decrease resulted from lower shipments of 9-Volt batteries and non-recurring industrial commercial product sales in 2017.</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Communications Systems revenues increased $3,874, or 38.6%, from $10,045 during the nine-month period ended October 1, 2017 to $13,919 for the nine-month period ended September 30, 2018. This increase is primarily attributable to the fulfillment of a Vehicle Amplifier Adaptors award received in December 2017 from a large global defense prime contractor for the U.S. Army’s Security Force Assistance Brigades and shipments of our Vehicle Installed Power Enhanced Riflemen Appliqué (“VIPER”).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58"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$46,390 for the nine-month period ended September 30, 2018, an increase of $2,734 or</w:t>
      </w:r>
      <w:r>
        <w:rPr>
          <w:rFonts w:ascii="Arial" w:cs="Arial" w:eastAsia="Arial" w:hAnsi="Arial"/>
          <w:sz w:val="18"/>
          <w:szCs w:val="18"/>
          <w:b w:val="1"/>
          <w:bCs w:val="1"/>
          <w:color w:val="auto"/>
        </w:rPr>
        <w:t xml:space="preserve"> </w:t>
      </w:r>
      <w:r>
        <w:rPr>
          <w:rFonts w:ascii="Arial" w:cs="Arial" w:eastAsia="Arial" w:hAnsi="Arial"/>
          <w:sz w:val="18"/>
          <w:szCs w:val="18"/>
          <w:color w:val="auto"/>
        </w:rPr>
        <w:t>6.3%, from the $43,656 reported for the same nine-month period a year ago. Consolidated cost of products sold as a percentage of total revenue increased from 69.3% for the nine-month period ended October 1, 2017 to 70.0% for the nine-month period ended September 30, 2018. Correspondingly, consolidated gross margin was 30.0% for the nine-month period ended September 30, 2018, compared with 30.7% for the nine-month period ended October 1, 2017, due to product mix.</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Battery &amp; Energy Products segment, the cost of products sold decreased $439 or 1.2%, from $38,119 during the nine-month period ended October 1, 2017 to $37,680 during the nine-month period ended September 30, 2018 due to lower sales in the 2018 period. Battery &amp; Energy Products’ gross profit for the 2018 nine-month period was $14,664 or 28.0% of revenues, a decrease of $194 or 1.3% from gross profit of $14,858, or 28.0% of revenues, for the 2017 nine-month period.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Communications Systems segment, the cost of products sold increased by $3,173 or 57.3% from $5,537 during the nine-month period ended October 1, 2017 to $8,710 during the nine-month period ended September 30, 2018. Communications Systems’ gross profit for the first nine months of 2018 was $5,209 or 37.4% of revenues, an increase of $701 or 15.6% from gross profit of $4,508 or 44.9% of revenues, for the third quarter of 2017. The decrease in gross margin during 2018 is due to product mix reflecting the higher sales for competitively bid U.S. Department of Defense contracts in the current nine-month period.</w:t>
      </w:r>
    </w:p>
    <w:p>
      <w:pPr>
        <w:spacing w:after="0" w:line="184"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nine-month period ended September 30, 2018 totaled $14,385, a decrease of $555 or 3.7%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$14,940 recorded during the nine-month period ended October 1, 2017. Both periods reflected continued tight control over discretionary spending.</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Overall, operating expenses as a percentage of revenues were 21.7% for the nine-month period ended September 30, 2018 compared to 23.7% for the comparable 2017 period. Amortization expense associated with intangible assets related to our acquisitions was $300 for the first nine months of 2018 ($189 in selling, general and administrative expenses and $111 in research and development costs), compared with $315 for the first nine months of 2017 ($192 in selling, general, and administrative expenses and $123 in research and development costs). Research and development costs were $3,417 for the nine-month period ended September 30, 2018, a decrease of $261 or 7.1% from the $3,678 for the nine-months ended October 1, 2017. The decrease primarily reflects the timing of development and testing costs associated with new products. Selling, general, and administrative expenses decreased $294 or 2.6%, from $11,262 during the first nine months of 2017 to $10,968 during the first nine months of 2018 in line with our tight control over discretionary spending.</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totaled $27 for the nine-month period ended September 30, 2018 compared to $200 for the nine-month period ended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 2017. Interest and financing expense, net of interest income, decreased $80 to $67 for the 2018 period from $147 for the comparable period in 2017, as a result of the more favorable terms of our Revolving Credit Agreement which was executed on May 31, 2017, as well as higher interest income due to our increased cash balance. Miscellaneous income amounted to $40 for the first nine months of 2018 compared with expense of $53 for the first nine months of 2017, primarily due to fluctuations in the U.S. dollar relative to the Pound Sterling.</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recognized a tax provision of $219 for the first three quarters of 2018 compared with a tax provision of $370 for the first three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2017. The decrease of $151 or 40.8% was due to the geographic mix of earnings for the periods and the favorable impact resulting from the lower U.S. Federal tax rates and elimination of the alternative minimum taxes in conjunction with the Tax Cuts &amp; Jobs Act. The effective consolidated tax rates for the nine-month periods ended September 30, 2018 and October 1, 2017 were 4.0% and 8.8%, respectively. See Note 9 in the Notes to Consolidated Financial Statements for additional information regarding our income taxes.</w:t>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Net Income Attributable to Ultralife. </w:t>
      </w:r>
      <w:r>
        <w:rPr>
          <w:rFonts w:ascii="Arial" w:cs="Arial" w:eastAsia="Arial" w:hAnsi="Arial"/>
          <w:sz w:val="16"/>
          <w:szCs w:val="16"/>
          <w:color w:val="auto"/>
        </w:rPr>
        <w:t>Net income attributable to Ultralife and Net income attributable to Ultralife common shareholders per diluted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was $5,185 and $0.32, respectively, for the nine months ended September 30, 2018, compared to $3,848 and $0.24, respectively, for the nine months ended October 1, 2017. Average common shares outstanding used to compute diluted earnings per share increased from 15,817,961 in the 2017 period to 16,407,121 in the 2018 period, mainly due to the exercise of stock options under our Long-Term Incentive Plans and the increased stock price.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attributable to Ultralife before net interest expense, provision (benefit) for income taxes, depreciation and amortization, and stock-based compensation expense.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operating income.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ind w:left="1080" w:hanging="316"/>
        <w:spacing w:after="0" w:line="26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Three-Month Periods Ended</w:t>
            </w:r>
          </w:p>
        </w:tc>
        <w:tc>
          <w:tcPr>
            <w:tcW w:w="14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October 1,</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7,981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2018, cash totaled $25,454, an increase of $7,124 from the beginning of the year. During the nine-month period ended September 30, 2018, we generated $7,531 of cash from our operating activities. Cash generated from operations in 2018 consisted of net income of $5,242, non-cash expenses (depreciation, amortization and stock-based compensation) totaling $2,510, a decrease of $2,947 in inventory primarily due to the fulfillment of orders, partially offset by a net decrease in working capital of $3,168 primarily due to the timing of inventory procurements and compensation and benefit-related expenditures.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nine-month period ended October 1, 2017, cash increased by $3,978. Cash of $3,657 generated from operations for the nine-month period ended October 1, 2017 consisted of net income of $3,856, non-cash expenses (depreciation, amortization and stock-based compensation) totaling $2,393, and a net increase in accounts payable and other working capital items of $1,041 largely attributable to the timing of payroll. This was partially offset by an increase in accounts receivable of $2,412 primarily due to the timing of shipments and an increase in inventory of $1,221 largely due to service 2017 backlog.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nine-month periods ended September 30, 2018 and October 1, 2017 amounted to $1,994 and $971, respectively, representing capital expenditures in the respective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312" w:lineRule="auto"/>
        <w:rPr>
          <w:sz w:val="20"/>
          <w:szCs w:val="20"/>
          <w:color w:val="auto"/>
        </w:rPr>
      </w:pPr>
      <w:r>
        <w:rPr>
          <w:rFonts w:ascii="Arial" w:cs="Arial" w:eastAsia="Arial" w:hAnsi="Arial"/>
          <w:sz w:val="16"/>
          <w:szCs w:val="16"/>
          <w:color w:val="auto"/>
        </w:rPr>
        <w:t>Cash provided by financing activities for the nine-month periods ended September 30, 2018 totaled $1,754, consisting of cash proceeds of $1,357 from stock option exercises and $397 for a government grant awarded in the People’s Republic of China to fund specified future technological research and development expenditures. Cash provided by financing activities for the nine-month period ended October 1, 2017 consisted of $1,120 in stock option exercise proceeds.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the Company made a strategic decision to invest up to $4,300 in our Newark, New York facility to modernize our manufacturing capability for production of premium 3-volt primary batteries for various applications in the rapidly growing, wireless Internet of Things (“IoT”) market. This investment, in line with our strategy to diversify revenues outside of the core U.S. government/defense markets and focus on transformational commercial opportunities, will enable us to produce a premium product with performance differentiation and incorporate the manufacturing technology expertise required to deliver a clear competitive advantage in terms of product performance, volume, safety, value proposition and strategic supply chain access to the end market and OEM’s. In addition to the IoT market, the product will also expand customer options in the legacy smoke detector market by providing our customers the choice between our industry leading next generation 9-volt battery, or a new premium 3-volt product. Low volume equipment production to support product qualification builds in partnership with customers is expected to start in late 2018 and continue into 2019, with customer-driven, higher volume US production expected to ramp up over the course of 2019.</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under which the Company is authorized to purchase up to 2.5 million shares of its outstanding common stock over a period not to exceed twelve months.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Share Repurchase Program, shares may be purchased in open market transactions, including through block purchases, through privately negotiated transactions, or pursuant to any trading plan that may be adopted in accordance with Rule 10b5-1 of the Securities Exchange Act of 1934. The timing, manner, price and amount of any repurchase will be determined at the Company’s discretion and the Share Repurchase Program may be suspended, terminated or modified by the Company’s Board of Directors at any time for any reason and does not obligate the Company to purchase any specific number of shares. Under the Program, all purchases will be made in accordance with Securities Exchange Act Rule 10b-18, which sets certain restrictions on the method, timing, price and volume of open market stock repurchases.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financing through our Credit Facility with KeyBank, which provides a $30,000 secured, cash flow-based, revolving credit facility that includes a $1,500 letter of credit subfacility. There have been no borrowings under the Credit Facility. See Note 7 in the Notes to the Consolidated Financial Statements for additional information regarding our Credit Facility.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Annual Report on Form 10-K for the year ended December 31, 2017 should be reviewed for a greater understanding of how our financial performance is recorded and reported.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of 2018, there were no significant changes in the manner in which our significant accounting policies were applied or in which related assumptions and estimates were developed. Refer to Note 2 for updated accounting policies to reflect the Company’s adoption of Topic 606 “Revenue from Contracts with Customers” as of January 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lawsuit has now been resolved (February 2018), the claimant has terminated the action against the Company, and the Court has acknowledged and consented to this termination. The matter was terminated without financial consequences to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the Company’s risk factors from those included in our Annual Report on Form 10-K for the year ended December 31, 2017. We encourage current and potential investors of our securities to review the risk factors as set forth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6020" w:type="dxa"/>
            <w:vAlign w:val="bottom"/>
          </w:tcPr>
          <w:p>
            <w:pPr>
              <w:spacing w:after="0"/>
              <w:rPr>
                <w:sz w:val="20"/>
                <w:szCs w:val="20"/>
                <w:color w:val="auto"/>
              </w:rPr>
            </w:pPr>
          </w:p>
        </w:tc>
      </w:tr>
      <w:tr>
        <w:trPr>
          <w:trHeight w:val="418"/>
        </w:trPr>
        <w:tc>
          <w:tcPr>
            <w:tcW w:w="1460" w:type="dxa"/>
            <w:vAlign w:val="bottom"/>
          </w:tcPr>
          <w:p>
            <w:pPr>
              <w:ind w:left="580"/>
              <w:spacing w:after="0"/>
              <w:rPr>
                <w:sz w:val="20"/>
                <w:szCs w:val="20"/>
                <w:color w:val="auto"/>
              </w:rPr>
            </w:pPr>
            <w:r>
              <w:rPr>
                <w:rFonts w:ascii="Arial" w:cs="Arial" w:eastAsia="Arial" w:hAnsi="Arial"/>
                <w:sz w:val="18"/>
                <w:szCs w:val="18"/>
                <w:color w:val="auto"/>
              </w:rPr>
              <w:t>Exhibit</w:t>
            </w: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30"/>
        </w:trPr>
        <w:tc>
          <w:tcPr>
            <w:tcW w:w="1460" w:type="dxa"/>
            <w:vAlign w:val="bottom"/>
          </w:tcPr>
          <w:p>
            <w:pPr>
              <w:ind w:left="580"/>
              <w:spacing w:after="0"/>
              <w:rPr>
                <w:sz w:val="20"/>
                <w:szCs w:val="20"/>
                <w:color w:val="auto"/>
              </w:rPr>
            </w:pPr>
            <w:r>
              <w:rPr>
                <w:rFonts w:ascii="Arial" w:cs="Arial" w:eastAsia="Arial" w:hAnsi="Arial"/>
                <w:sz w:val="18"/>
                <w:szCs w:val="18"/>
                <w:color w:val="auto"/>
              </w:rPr>
              <w:t>Index</w:t>
            </w:r>
          </w:p>
        </w:tc>
        <w:tc>
          <w:tcPr>
            <w:tcW w:w="3940" w:type="dxa"/>
            <w:vAlign w:val="bottom"/>
            <w:gridSpan w:val="4"/>
          </w:tcPr>
          <w:p>
            <w:pPr>
              <w:spacing w:after="0"/>
              <w:rPr>
                <w:sz w:val="20"/>
                <w:szCs w:val="20"/>
                <w:color w:val="auto"/>
              </w:rPr>
            </w:pPr>
            <w:r>
              <w:rPr>
                <w:rFonts w:ascii="Arial" w:cs="Arial" w:eastAsia="Arial" w:hAnsi="Arial"/>
                <w:sz w:val="18"/>
                <w:szCs w:val="18"/>
                <w:color w:val="auto"/>
              </w:rPr>
              <w:t>Description of Document</w:t>
            </w:r>
          </w:p>
        </w:tc>
        <w:tc>
          <w:tcPr>
            <w:tcW w:w="6020" w:type="dxa"/>
            <w:vAlign w:val="bottom"/>
          </w:tcPr>
          <w:p>
            <w:pPr>
              <w:ind w:left="1160"/>
              <w:spacing w:after="0"/>
              <w:rPr>
                <w:sz w:val="20"/>
                <w:szCs w:val="20"/>
                <w:color w:val="auto"/>
              </w:rPr>
            </w:pPr>
            <w:r>
              <w:rPr>
                <w:rFonts w:ascii="Arial" w:cs="Arial" w:eastAsia="Arial" w:hAnsi="Arial"/>
                <w:sz w:val="18"/>
                <w:szCs w:val="18"/>
                <w:color w:val="auto"/>
              </w:rPr>
              <w:t>Incorporated By Reference from:</w:t>
            </w:r>
          </w:p>
        </w:tc>
      </w:tr>
      <w:tr>
        <w:trPr>
          <w:trHeight w:val="392"/>
        </w:trPr>
        <w:tc>
          <w:tcPr>
            <w:tcW w:w="1460" w:type="dxa"/>
            <w:vAlign w:val="bottom"/>
          </w:tcPr>
          <w:p>
            <w:pPr>
              <w:ind w:left="580"/>
              <w:spacing w:after="0"/>
              <w:rPr>
                <w:sz w:val="20"/>
                <w:szCs w:val="20"/>
                <w:color w:val="auto"/>
              </w:rPr>
            </w:pPr>
            <w:r>
              <w:rPr>
                <w:rFonts w:ascii="Arial" w:cs="Arial" w:eastAsia="Arial" w:hAnsi="Arial"/>
                <w:sz w:val="18"/>
                <w:szCs w:val="18"/>
                <w:color w:val="auto"/>
              </w:rPr>
              <w:t>31.1</w:t>
            </w:r>
          </w:p>
        </w:tc>
        <w:tc>
          <w:tcPr>
            <w:tcW w:w="33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Rule 13a-14(a) / 15d-14(a) CEO Certifications</w:t>
              </w:r>
            </w:hyperlink>
          </w:p>
        </w:tc>
        <w:tc>
          <w:tcPr>
            <w:tcW w:w="560" w:type="dxa"/>
            <w:vAlign w:val="bottom"/>
          </w:tcPr>
          <w:p>
            <w:pPr>
              <w:spacing w:after="0"/>
              <w:rPr>
                <w:sz w:val="24"/>
                <w:szCs w:val="24"/>
                <w:color w:val="auto"/>
              </w:rPr>
            </w:pPr>
          </w:p>
        </w:tc>
        <w:tc>
          <w:tcPr>
            <w:tcW w:w="6020" w:type="dxa"/>
            <w:vAlign w:val="bottom"/>
          </w:tcPr>
          <w:p>
            <w:pPr>
              <w:ind w:left="1160"/>
              <w:spacing w:after="0"/>
              <w:rPr>
                <w:sz w:val="20"/>
                <w:szCs w:val="20"/>
                <w:color w:val="auto"/>
              </w:rPr>
            </w:pPr>
            <w:r>
              <w:rPr>
                <w:rFonts w:ascii="Arial" w:cs="Arial" w:eastAsia="Arial" w:hAnsi="Arial"/>
                <w:sz w:val="18"/>
                <w:szCs w:val="18"/>
                <w:color w:val="auto"/>
              </w:rPr>
              <w:t>Filed herewith</w:t>
            </w:r>
          </w:p>
        </w:tc>
      </w:tr>
      <w:tr>
        <w:trPr>
          <w:trHeight w:val="196"/>
        </w:trPr>
        <w:tc>
          <w:tcPr>
            <w:tcW w:w="1460" w:type="dxa"/>
            <w:vAlign w:val="bottom"/>
          </w:tcPr>
          <w:p>
            <w:pPr>
              <w:ind w:left="580"/>
              <w:spacing w:after="0" w:line="196" w:lineRule="exact"/>
              <w:rPr>
                <w:sz w:val="20"/>
                <w:szCs w:val="20"/>
                <w:color w:val="auto"/>
              </w:rPr>
            </w:pPr>
            <w:r>
              <w:rPr>
                <w:rFonts w:ascii="Arial" w:cs="Arial" w:eastAsia="Arial" w:hAnsi="Arial"/>
                <w:sz w:val="18"/>
                <w:szCs w:val="18"/>
                <w:color w:val="auto"/>
              </w:rPr>
              <w:t>31.2</w:t>
            </w:r>
          </w:p>
        </w:tc>
        <w:tc>
          <w:tcPr>
            <w:tcW w:w="39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Rule 13a-14(a) / 15d-14(a) CFO Certifications</w:t>
              </w:r>
            </w:hyperlink>
          </w:p>
        </w:tc>
        <w:tc>
          <w:tcPr>
            <w:tcW w:w="6020" w:type="dxa"/>
            <w:vAlign w:val="bottom"/>
          </w:tcPr>
          <w:p>
            <w:pPr>
              <w:ind w:left="116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460" w:type="dxa"/>
            <w:vAlign w:val="bottom"/>
          </w:tcPr>
          <w:p>
            <w:pPr>
              <w:ind w:left="580"/>
              <w:spacing w:after="0" w:line="196" w:lineRule="exact"/>
              <w:rPr>
                <w:sz w:val="20"/>
                <w:szCs w:val="20"/>
                <w:color w:val="auto"/>
              </w:rPr>
            </w:pPr>
            <w:r>
              <w:rPr>
                <w:rFonts w:ascii="Arial" w:cs="Arial" w:eastAsia="Arial" w:hAnsi="Arial"/>
                <w:sz w:val="18"/>
                <w:szCs w:val="18"/>
                <w:color w:val="auto"/>
              </w:rPr>
              <w:t>32</w:t>
            </w:r>
          </w:p>
        </w:tc>
        <w:tc>
          <w:tcPr>
            <w:tcW w:w="1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Section 1350 Certifications</w:t>
              </w:r>
            </w:hyperlink>
          </w:p>
        </w:tc>
        <w:tc>
          <w:tcPr>
            <w:tcW w:w="1380" w:type="dxa"/>
            <w:vAlign w:val="bottom"/>
            <w:tcBorders>
              <w:top w:val="single" w:sz="8" w:color="0000EE"/>
            </w:tcBorders>
          </w:tcPr>
          <w:p>
            <w:pPr>
              <w:spacing w:after="0"/>
              <w:rPr>
                <w:sz w:val="17"/>
                <w:szCs w:val="17"/>
                <w:color w:val="auto"/>
              </w:rPr>
            </w:pPr>
          </w:p>
        </w:tc>
        <w:tc>
          <w:tcPr>
            <w:tcW w:w="580" w:type="dxa"/>
            <w:vAlign w:val="bottom"/>
            <w:gridSpan w:val="2"/>
          </w:tcPr>
          <w:p>
            <w:pPr>
              <w:spacing w:after="0"/>
              <w:rPr>
                <w:sz w:val="17"/>
                <w:szCs w:val="17"/>
                <w:color w:val="auto"/>
              </w:rPr>
            </w:pPr>
          </w:p>
        </w:tc>
        <w:tc>
          <w:tcPr>
            <w:tcW w:w="6020" w:type="dxa"/>
            <w:vAlign w:val="bottom"/>
          </w:tcPr>
          <w:p>
            <w:pPr>
              <w:ind w:left="1160"/>
              <w:spacing w:after="0" w:line="196" w:lineRule="exact"/>
              <w:rPr>
                <w:sz w:val="20"/>
                <w:szCs w:val="20"/>
                <w:color w:val="auto"/>
              </w:rPr>
            </w:pPr>
            <w:r>
              <w:rPr>
                <w:rFonts w:ascii="Arial" w:cs="Arial" w:eastAsia="Arial" w:hAnsi="Arial"/>
                <w:sz w:val="18"/>
                <w:szCs w:val="18"/>
                <w:color w:val="auto"/>
              </w:rPr>
              <w:t>Filed herewith</w:t>
            </w:r>
          </w:p>
        </w:tc>
      </w:tr>
      <w:tr>
        <w:trPr>
          <w:trHeight w:val="222"/>
        </w:trPr>
        <w:tc>
          <w:tcPr>
            <w:tcW w:w="1460" w:type="dxa"/>
            <w:vAlign w:val="bottom"/>
          </w:tcPr>
          <w:p>
            <w:pPr>
              <w:ind w:left="580"/>
              <w:spacing w:after="0"/>
              <w:rPr>
                <w:sz w:val="20"/>
                <w:szCs w:val="20"/>
                <w:color w:val="auto"/>
              </w:rPr>
            </w:pPr>
            <w:r>
              <w:rPr>
                <w:rFonts w:ascii="Arial" w:cs="Arial" w:eastAsia="Arial" w:hAnsi="Arial"/>
                <w:sz w:val="18"/>
                <w:szCs w:val="18"/>
                <w:color w:val="auto"/>
              </w:rPr>
              <w:t>101.INS</w:t>
            </w:r>
          </w:p>
        </w:tc>
        <w:tc>
          <w:tcPr>
            <w:tcW w:w="39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6020" w:type="dxa"/>
            <w:vAlign w:val="bottom"/>
          </w:tcPr>
          <w:p>
            <w:pPr>
              <w:spacing w:after="0"/>
              <w:rPr>
                <w:sz w:val="19"/>
                <w:szCs w:val="19"/>
                <w:color w:val="auto"/>
              </w:rPr>
            </w:pPr>
          </w:p>
        </w:tc>
      </w:tr>
      <w:tr>
        <w:trPr>
          <w:trHeight w:val="216"/>
        </w:trPr>
        <w:tc>
          <w:tcPr>
            <w:tcW w:w="1460" w:type="dxa"/>
            <w:vAlign w:val="bottom"/>
          </w:tcPr>
          <w:p>
            <w:pPr>
              <w:ind w:left="580"/>
              <w:spacing w:after="0"/>
              <w:rPr>
                <w:sz w:val="20"/>
                <w:szCs w:val="20"/>
                <w:color w:val="auto"/>
              </w:rPr>
            </w:pPr>
            <w:r>
              <w:rPr>
                <w:rFonts w:ascii="Arial" w:cs="Arial" w:eastAsia="Arial" w:hAnsi="Arial"/>
                <w:sz w:val="18"/>
                <w:szCs w:val="18"/>
                <w:color w:val="auto"/>
              </w:rPr>
              <w:t>101.SCH</w:t>
            </w:r>
          </w:p>
        </w:tc>
        <w:tc>
          <w:tcPr>
            <w:tcW w:w="39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6020" w:type="dxa"/>
            <w:vAlign w:val="bottom"/>
          </w:tcPr>
          <w:p>
            <w:pPr>
              <w:spacing w:after="0"/>
              <w:rPr>
                <w:sz w:val="18"/>
                <w:szCs w:val="18"/>
                <w:color w:val="auto"/>
              </w:rPr>
            </w:pPr>
          </w:p>
        </w:tc>
      </w:tr>
      <w:tr>
        <w:trPr>
          <w:trHeight w:val="216"/>
        </w:trPr>
        <w:tc>
          <w:tcPr>
            <w:tcW w:w="1460" w:type="dxa"/>
            <w:vAlign w:val="bottom"/>
          </w:tcPr>
          <w:p>
            <w:pPr>
              <w:ind w:left="580"/>
              <w:spacing w:after="0"/>
              <w:rPr>
                <w:sz w:val="20"/>
                <w:szCs w:val="20"/>
                <w:color w:val="auto"/>
              </w:rPr>
            </w:pPr>
            <w:r>
              <w:rPr>
                <w:rFonts w:ascii="Arial" w:cs="Arial" w:eastAsia="Arial" w:hAnsi="Arial"/>
                <w:sz w:val="18"/>
                <w:szCs w:val="18"/>
                <w:color w:val="auto"/>
              </w:rPr>
              <w:t>101.CAL</w:t>
            </w:r>
          </w:p>
        </w:tc>
        <w:tc>
          <w:tcPr>
            <w:tcW w:w="3940" w:type="dxa"/>
            <w:vAlign w:val="bottom"/>
            <w:gridSpan w:val="4"/>
          </w:tcPr>
          <w:p>
            <w:pPr>
              <w:spacing w:after="0"/>
              <w:rPr>
                <w:sz w:val="20"/>
                <w:szCs w:val="20"/>
                <w:color w:val="auto"/>
              </w:rPr>
            </w:pPr>
            <w:r>
              <w:rPr>
                <w:rFonts w:ascii="Arial" w:cs="Arial" w:eastAsia="Arial" w:hAnsi="Arial"/>
                <w:sz w:val="18"/>
                <w:szCs w:val="18"/>
                <w:color w:val="auto"/>
                <w:w w:val="99"/>
              </w:rPr>
              <w:t>XBRL Taxonomy Calculation Linkbase Document</w:t>
            </w:r>
          </w:p>
        </w:tc>
        <w:tc>
          <w:tcPr>
            <w:tcW w:w="6020" w:type="dxa"/>
            <w:vAlign w:val="bottom"/>
          </w:tcPr>
          <w:p>
            <w:pPr>
              <w:spacing w:after="0"/>
              <w:rPr>
                <w:sz w:val="18"/>
                <w:szCs w:val="18"/>
                <w:color w:val="auto"/>
              </w:rPr>
            </w:pPr>
          </w:p>
        </w:tc>
      </w:tr>
      <w:tr>
        <w:trPr>
          <w:trHeight w:val="216"/>
        </w:trPr>
        <w:tc>
          <w:tcPr>
            <w:tcW w:w="1460" w:type="dxa"/>
            <w:vAlign w:val="bottom"/>
          </w:tcPr>
          <w:p>
            <w:pPr>
              <w:ind w:left="580"/>
              <w:spacing w:after="0"/>
              <w:rPr>
                <w:sz w:val="20"/>
                <w:szCs w:val="20"/>
                <w:color w:val="auto"/>
              </w:rPr>
            </w:pPr>
            <w:r>
              <w:rPr>
                <w:rFonts w:ascii="Arial" w:cs="Arial" w:eastAsia="Arial" w:hAnsi="Arial"/>
                <w:sz w:val="18"/>
                <w:szCs w:val="18"/>
                <w:color w:val="auto"/>
              </w:rPr>
              <w:t>101.LAB</w:t>
            </w:r>
          </w:p>
        </w:tc>
        <w:tc>
          <w:tcPr>
            <w:tcW w:w="394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6020" w:type="dxa"/>
            <w:vAlign w:val="bottom"/>
          </w:tcPr>
          <w:p>
            <w:pPr>
              <w:spacing w:after="0"/>
              <w:rPr>
                <w:sz w:val="18"/>
                <w:szCs w:val="18"/>
                <w:color w:val="auto"/>
              </w:rPr>
            </w:pPr>
          </w:p>
        </w:tc>
      </w:tr>
      <w:tr>
        <w:trPr>
          <w:trHeight w:val="216"/>
        </w:trPr>
        <w:tc>
          <w:tcPr>
            <w:tcW w:w="1460" w:type="dxa"/>
            <w:vAlign w:val="bottom"/>
          </w:tcPr>
          <w:p>
            <w:pPr>
              <w:ind w:left="580"/>
              <w:spacing w:after="0"/>
              <w:rPr>
                <w:sz w:val="20"/>
                <w:szCs w:val="20"/>
                <w:color w:val="auto"/>
              </w:rPr>
            </w:pPr>
            <w:r>
              <w:rPr>
                <w:rFonts w:ascii="Arial" w:cs="Arial" w:eastAsia="Arial" w:hAnsi="Arial"/>
                <w:sz w:val="18"/>
                <w:szCs w:val="18"/>
                <w:color w:val="auto"/>
              </w:rPr>
              <w:t>101.PRE</w:t>
            </w:r>
          </w:p>
        </w:tc>
        <w:tc>
          <w:tcPr>
            <w:tcW w:w="3940" w:type="dxa"/>
            <w:vAlign w:val="bottom"/>
            <w:gridSpan w:val="4"/>
          </w:tcPr>
          <w:p>
            <w:pPr>
              <w:spacing w:after="0"/>
              <w:rPr>
                <w:sz w:val="20"/>
                <w:szCs w:val="20"/>
                <w:color w:val="auto"/>
              </w:rPr>
            </w:pPr>
            <w:r>
              <w:rPr>
                <w:rFonts w:ascii="Arial" w:cs="Arial" w:eastAsia="Arial" w:hAnsi="Arial"/>
                <w:sz w:val="18"/>
                <w:szCs w:val="18"/>
                <w:color w:val="auto"/>
                <w:w w:val="96"/>
              </w:rPr>
              <w:t>XBRL Taxonomy Presentation Linkbase Document</w:t>
            </w:r>
          </w:p>
        </w:tc>
        <w:tc>
          <w:tcPr>
            <w:tcW w:w="6020" w:type="dxa"/>
            <w:vAlign w:val="bottom"/>
          </w:tcPr>
          <w:p>
            <w:pPr>
              <w:spacing w:after="0"/>
              <w:rPr>
                <w:sz w:val="18"/>
                <w:szCs w:val="18"/>
                <w:color w:val="auto"/>
              </w:rPr>
            </w:pPr>
          </w:p>
        </w:tc>
      </w:tr>
      <w:tr>
        <w:trPr>
          <w:trHeight w:val="230"/>
        </w:trPr>
        <w:tc>
          <w:tcPr>
            <w:tcW w:w="1460" w:type="dxa"/>
            <w:vAlign w:val="bottom"/>
          </w:tcPr>
          <w:p>
            <w:pPr>
              <w:ind w:left="580"/>
              <w:spacing w:after="0"/>
              <w:rPr>
                <w:sz w:val="20"/>
                <w:szCs w:val="20"/>
                <w:color w:val="auto"/>
              </w:rPr>
            </w:pPr>
            <w:r>
              <w:rPr>
                <w:rFonts w:ascii="Arial" w:cs="Arial" w:eastAsia="Arial" w:hAnsi="Arial"/>
                <w:sz w:val="18"/>
                <w:szCs w:val="18"/>
                <w:color w:val="auto"/>
              </w:rPr>
              <w:t>101.DEF</w:t>
            </w:r>
          </w:p>
        </w:tc>
        <w:tc>
          <w:tcPr>
            <w:tcW w:w="3940" w:type="dxa"/>
            <w:vAlign w:val="bottom"/>
            <w:gridSpan w:val="4"/>
          </w:tcPr>
          <w:p>
            <w:pPr>
              <w:spacing w:after="0"/>
              <w:rPr>
                <w:sz w:val="20"/>
                <w:szCs w:val="20"/>
                <w:color w:val="auto"/>
              </w:rPr>
            </w:pPr>
            <w:r>
              <w:rPr>
                <w:rFonts w:ascii="Arial" w:cs="Arial" w:eastAsia="Arial" w:hAnsi="Arial"/>
                <w:sz w:val="18"/>
                <w:szCs w:val="18"/>
                <w:color w:val="auto"/>
              </w:rPr>
              <w:t>XBRL Taxonomy Definition Document</w:t>
            </w:r>
          </w:p>
        </w:tc>
        <w:tc>
          <w:tcPr>
            <w:tcW w:w="6020" w:type="dxa"/>
            <w:vAlign w:val="bottom"/>
          </w:tcPr>
          <w:p>
            <w:pPr>
              <w:spacing w:after="0"/>
              <w:rPr>
                <w:sz w:val="20"/>
                <w:szCs w:val="20"/>
                <w:color w:val="auto"/>
              </w:rPr>
            </w:pPr>
          </w:p>
        </w:tc>
      </w:tr>
      <w:tr>
        <w:trPr>
          <w:trHeight w:val="432"/>
        </w:trPr>
        <w:tc>
          <w:tcPr>
            <w:tcW w:w="1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29</w:t>
            </w:r>
          </w:p>
        </w:tc>
      </w:tr>
      <w:tr>
        <w:trPr>
          <w:trHeight w:val="115"/>
        </w:trPr>
        <w:tc>
          <w:tcPr>
            <w:tcW w:w="14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ULTRALIFE CORPORATION</w:t>
            </w:r>
          </w:p>
        </w:tc>
        <w:tc>
          <w:tcPr>
            <w:tcW w:w="3340" w:type="dxa"/>
            <w:vAlign w:val="bottom"/>
          </w:tcPr>
          <w:p>
            <w:pPr>
              <w:spacing w:after="0"/>
              <w:rPr>
                <w:sz w:val="17"/>
                <w:szCs w:val="17"/>
                <w:color w:val="auto"/>
              </w:rPr>
            </w:pPr>
          </w:p>
        </w:tc>
      </w:tr>
      <w:tr>
        <w:trPr>
          <w:trHeight w:val="237"/>
        </w:trPr>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4"/>
          </w:tcPr>
          <w:p>
            <w:pPr>
              <w:ind w:left="800"/>
              <w:spacing w:after="0"/>
              <w:rPr>
                <w:sz w:val="20"/>
                <w:szCs w:val="20"/>
                <w:color w:val="auto"/>
              </w:rPr>
            </w:pPr>
            <w:r>
              <w:rPr>
                <w:rFonts w:ascii="Arial" w:cs="Arial" w:eastAsia="Arial" w:hAnsi="Arial"/>
                <w:sz w:val="18"/>
                <w:szCs w:val="18"/>
                <w:color w:val="auto"/>
              </w:rPr>
              <w:t>(Registrant)</w:t>
            </w:r>
          </w:p>
        </w:tc>
      </w:tr>
      <w:tr>
        <w:trPr>
          <w:trHeight w:val="392"/>
        </w:trPr>
        <w:tc>
          <w:tcPr>
            <w:tcW w:w="3700" w:type="dxa"/>
            <w:vAlign w:val="bottom"/>
            <w:gridSpan w:val="3"/>
          </w:tcPr>
          <w:p>
            <w:pPr>
              <w:ind w:left="460"/>
              <w:spacing w:after="0"/>
              <w:rPr>
                <w:sz w:val="20"/>
                <w:szCs w:val="20"/>
                <w:color w:val="auto"/>
              </w:rPr>
            </w:pPr>
            <w:r>
              <w:rPr>
                <w:rFonts w:ascii="Arial" w:cs="Arial" w:eastAsia="Arial" w:hAnsi="Arial"/>
                <w:sz w:val="18"/>
                <w:szCs w:val="18"/>
                <w:color w:val="auto"/>
              </w:rPr>
              <w:t>Date: November 1, 2018</w:t>
            </w:r>
          </w:p>
        </w:tc>
        <w:tc>
          <w:tcPr>
            <w:tcW w:w="7720" w:type="dxa"/>
            <w:vAlign w:val="bottom"/>
            <w:gridSpan w:val="6"/>
          </w:tcPr>
          <w:p>
            <w:pPr>
              <w:ind w:left="1460"/>
              <w:spacing w:after="0"/>
              <w:rPr>
                <w:sz w:val="20"/>
                <w:szCs w:val="20"/>
                <w:color w:val="auto"/>
              </w:rPr>
            </w:pPr>
            <w:r>
              <w:rPr>
                <w:rFonts w:ascii="Arial" w:cs="Arial" w:eastAsia="Arial" w:hAnsi="Arial"/>
                <w:sz w:val="18"/>
                <w:szCs w:val="18"/>
                <w:color w:val="auto"/>
              </w:rPr>
              <w:t>By: /s/ Michael D. Popielec</w:t>
            </w:r>
          </w:p>
        </w:tc>
      </w:tr>
      <w:tr>
        <w:trPr>
          <w:trHeight w:val="222"/>
        </w:trPr>
        <w:tc>
          <w:tcPr>
            <w:tcW w:w="9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Michael D. Popielec</w:t>
            </w:r>
          </w:p>
        </w:tc>
        <w:tc>
          <w:tcPr>
            <w:tcW w:w="4040" w:type="dxa"/>
            <w:vAlign w:val="bottom"/>
            <w:gridSpan w:val="3"/>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5"/>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960" w:type="dxa"/>
            <w:vAlign w:val="bottom"/>
            <w:gridSpan w:val="5"/>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628"/>
        </w:trPr>
        <w:tc>
          <w:tcPr>
            <w:tcW w:w="3700" w:type="dxa"/>
            <w:vAlign w:val="bottom"/>
            <w:gridSpan w:val="3"/>
          </w:tcPr>
          <w:p>
            <w:pPr>
              <w:ind w:left="460"/>
              <w:spacing w:after="0"/>
              <w:rPr>
                <w:sz w:val="20"/>
                <w:szCs w:val="20"/>
                <w:color w:val="auto"/>
              </w:rPr>
            </w:pPr>
            <w:r>
              <w:rPr>
                <w:rFonts w:ascii="Arial" w:cs="Arial" w:eastAsia="Arial" w:hAnsi="Arial"/>
                <w:sz w:val="18"/>
                <w:szCs w:val="18"/>
                <w:color w:val="auto"/>
              </w:rPr>
              <w:t>Date: November 1, 2018</w:t>
            </w:r>
          </w:p>
        </w:tc>
        <w:tc>
          <w:tcPr>
            <w:tcW w:w="7720" w:type="dxa"/>
            <w:vAlign w:val="bottom"/>
            <w:gridSpan w:val="6"/>
          </w:tcPr>
          <w:p>
            <w:pPr>
              <w:ind w:left="1460"/>
              <w:spacing w:after="0"/>
              <w:rPr>
                <w:sz w:val="20"/>
                <w:szCs w:val="20"/>
                <w:color w:val="auto"/>
              </w:rPr>
            </w:pPr>
            <w:r>
              <w:rPr>
                <w:rFonts w:ascii="Arial" w:cs="Arial" w:eastAsia="Arial" w:hAnsi="Arial"/>
                <w:sz w:val="18"/>
                <w:szCs w:val="18"/>
                <w:color w:val="auto"/>
              </w:rPr>
              <w:t>By: /s/ Philip A. Fain</w:t>
            </w:r>
          </w:p>
        </w:tc>
      </w:tr>
      <w:tr>
        <w:trPr>
          <w:trHeight w:val="202"/>
        </w:trPr>
        <w:tc>
          <w:tcPr>
            <w:tcW w:w="9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40" w:type="dxa"/>
            <w:vAlign w:val="bottom"/>
            <w:tcBorders>
              <w:top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Philip A. Fain</w:t>
            </w:r>
          </w:p>
        </w:tc>
        <w:tc>
          <w:tcPr>
            <w:tcW w:w="4020" w:type="dxa"/>
            <w:vAlign w:val="bottom"/>
            <w:gridSpan w:val="2"/>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5"/>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5"/>
          </w:tcPr>
          <w:p>
            <w:pPr>
              <w:ind w:left="18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4"/>
          </w:tcPr>
          <w:p>
            <w:pPr>
              <w:ind w:left="18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80" w:type="dxa"/>
            <w:vAlign w:val="bottom"/>
            <w:gridSpan w:val="3"/>
          </w:tcPr>
          <w:p>
            <w:pPr>
              <w:ind w:left="19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15"/>
        </w:trPr>
        <w:tc>
          <w:tcPr>
            <w:tcW w:w="9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60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r>
        <w:trPr>
          <w:trHeight w:val="432"/>
        </w:trPr>
        <w:tc>
          <w:tcPr>
            <w:tcW w:w="820" w:type="dxa"/>
            <w:vAlign w:val="bottom"/>
          </w:tcPr>
          <w:p>
            <w:pPr>
              <w:spacing w:after="0"/>
              <w:rPr>
                <w:sz w:val="24"/>
                <w:szCs w:val="24"/>
                <w:color w:val="auto"/>
              </w:rPr>
            </w:pPr>
          </w:p>
        </w:tc>
        <w:tc>
          <w:tcPr>
            <w:tcW w:w="9600" w:type="dxa"/>
            <w:vAlign w:val="bottom"/>
          </w:tcPr>
          <w:p>
            <w:pPr>
              <w:ind w:left="414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0420"/>
          </w:cols>
          <w:pgMar w:left="900" w:top="580" w:right="579" w:bottom="1440" w:gutter="0" w:footer="0" w:header="0"/>
        </w:sectPr>
      </w:pPr>
    </w:p>
    <w:bookmarkStart w:id="31" w:name="page32"/>
    <w:bookmarkEnd w:id="31"/>
    <w:p>
      <w:pPr>
        <w:ind w:left="104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980" w:type="dxa"/>
            <w:vAlign w:val="bottom"/>
            <w:gridSpan w:val="3"/>
          </w:tcPr>
          <w:p>
            <w:pPr>
              <w:spacing w:after="0"/>
              <w:rPr>
                <w:sz w:val="20"/>
                <w:szCs w:val="20"/>
                <w:color w:val="auto"/>
              </w:rPr>
            </w:pPr>
            <w:r>
              <w:rPr>
                <w:rFonts w:ascii="Arial" w:cs="Arial" w:eastAsia="Arial" w:hAnsi="Arial"/>
                <w:sz w:val="18"/>
                <w:szCs w:val="18"/>
                <w:color w:val="auto"/>
              </w:rPr>
              <w:t>Date: November 1, 2018</w:t>
            </w:r>
          </w:p>
        </w:tc>
        <w:tc>
          <w:tcPr>
            <w:tcW w:w="4640" w:type="dxa"/>
            <w:vAlign w:val="bottom"/>
            <w:gridSpan w:val="2"/>
          </w:tcPr>
          <w:p>
            <w:pPr>
              <w:ind w:left="12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w w:val="96"/>
              </w:rPr>
              <w:t>President and Chief Executive Officer</w:t>
            </w:r>
          </w:p>
        </w:tc>
      </w:tr>
    </w:tbl>
    <w:p>
      <w:pPr>
        <w:sectPr>
          <w:pgSz w:w="11900" w:h="16838" w:orient="portrait"/>
          <w:cols w:equalWidth="0" w:num="1">
            <w:col w:w="11420"/>
          </w:cols>
          <w:pgMar w:left="240" w:top="121" w:right="239" w:bottom="1440" w:gutter="0" w:footer="0" w:header="0"/>
        </w:sectPr>
      </w:pPr>
    </w:p>
    <w:bookmarkStart w:id="32" w:name="page33"/>
    <w:bookmarkEnd w:id="32"/>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980" w:type="dxa"/>
            <w:vAlign w:val="bottom"/>
            <w:gridSpan w:val="3"/>
          </w:tcPr>
          <w:p>
            <w:pPr>
              <w:spacing w:after="0"/>
              <w:rPr>
                <w:sz w:val="20"/>
                <w:szCs w:val="20"/>
                <w:color w:val="auto"/>
              </w:rPr>
            </w:pPr>
            <w:r>
              <w:rPr>
                <w:rFonts w:ascii="Arial" w:cs="Arial" w:eastAsia="Arial" w:hAnsi="Arial"/>
                <w:sz w:val="18"/>
                <w:szCs w:val="18"/>
                <w:color w:val="auto"/>
              </w:rPr>
              <w:t>Date: November 1, 2018</w:t>
            </w:r>
          </w:p>
        </w:tc>
        <w:tc>
          <w:tcPr>
            <w:tcW w:w="4460" w:type="dxa"/>
            <w:vAlign w:val="bottom"/>
            <w:gridSpan w:val="2"/>
          </w:tcPr>
          <w:p>
            <w:pPr>
              <w:ind w:left="120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40" w:type="dxa"/>
            <w:vAlign w:val="bottom"/>
          </w:tcPr>
          <w:p>
            <w:pPr>
              <w:ind w:left="22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30, 2018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980" w:type="dxa"/>
            <w:vAlign w:val="bottom"/>
            <w:gridSpan w:val="3"/>
          </w:tcPr>
          <w:p>
            <w:pPr>
              <w:spacing w:after="0"/>
              <w:rPr>
                <w:sz w:val="20"/>
                <w:szCs w:val="20"/>
                <w:color w:val="auto"/>
              </w:rPr>
            </w:pPr>
            <w:r>
              <w:rPr>
                <w:rFonts w:ascii="Arial" w:cs="Arial" w:eastAsia="Arial" w:hAnsi="Arial"/>
                <w:sz w:val="18"/>
                <w:szCs w:val="18"/>
                <w:color w:val="auto"/>
              </w:rPr>
              <w:t>Date: November 1, 2018</w:t>
            </w:r>
          </w:p>
        </w:tc>
        <w:tc>
          <w:tcPr>
            <w:tcW w:w="4480" w:type="dxa"/>
            <w:vAlign w:val="bottom"/>
            <w:gridSpan w:val="4"/>
          </w:tcPr>
          <w:p>
            <w:pPr>
              <w:ind w:left="12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Michael D. Popielec</w:t>
            </w:r>
          </w:p>
        </w:tc>
        <w:tc>
          <w:tcPr>
            <w:tcW w:w="2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60" w:type="dxa"/>
            <w:vAlign w:val="bottom"/>
            <w:gridSpan w:val="3"/>
          </w:tcPr>
          <w:p>
            <w:pPr>
              <w:ind w:left="220"/>
              <w:spacing w:after="0"/>
              <w:rPr>
                <w:sz w:val="20"/>
                <w:szCs w:val="20"/>
                <w:color w:val="auto"/>
              </w:rPr>
            </w:pPr>
            <w:r>
              <w:rPr>
                <w:rFonts w:ascii="Arial" w:cs="Arial" w:eastAsia="Arial" w:hAnsi="Arial"/>
                <w:sz w:val="18"/>
                <w:szCs w:val="18"/>
                <w:color w:val="auto"/>
                <w:w w:val="90"/>
              </w:rPr>
              <w:t>President and Chief Executive Officer</w:t>
            </w:r>
          </w:p>
        </w:tc>
      </w:tr>
      <w:tr>
        <w:trPr>
          <w:trHeight w:val="412"/>
        </w:trPr>
        <w:tc>
          <w:tcPr>
            <w:tcW w:w="2980" w:type="dxa"/>
            <w:vAlign w:val="bottom"/>
            <w:gridSpan w:val="3"/>
          </w:tcPr>
          <w:p>
            <w:pPr>
              <w:spacing w:after="0"/>
              <w:rPr>
                <w:sz w:val="20"/>
                <w:szCs w:val="20"/>
                <w:color w:val="auto"/>
              </w:rPr>
            </w:pPr>
            <w:r>
              <w:rPr>
                <w:rFonts w:ascii="Arial" w:cs="Arial" w:eastAsia="Arial" w:hAnsi="Arial"/>
                <w:sz w:val="18"/>
                <w:szCs w:val="18"/>
                <w:color w:val="auto"/>
              </w:rPr>
              <w:t>Date: November 1, 2018</w:t>
            </w:r>
          </w:p>
        </w:tc>
        <w:tc>
          <w:tcPr>
            <w:tcW w:w="4480" w:type="dxa"/>
            <w:vAlign w:val="bottom"/>
            <w:gridSpan w:val="4"/>
          </w:tcPr>
          <w:p>
            <w:pPr>
              <w:ind w:left="1200"/>
              <w:spacing w:after="0"/>
              <w:rPr>
                <w:sz w:val="20"/>
                <w:szCs w:val="20"/>
                <w:color w:val="auto"/>
              </w:rPr>
            </w:pPr>
            <w:r>
              <w:rPr>
                <w:rFonts w:ascii="Arial" w:cs="Arial" w:eastAsia="Arial" w:hAnsi="Arial"/>
                <w:sz w:val="18"/>
                <w:szCs w:val="18"/>
                <w:color w:val="auto"/>
              </w:rPr>
              <w:t>By: /s/ Philip A. Fain</w:t>
            </w:r>
          </w:p>
        </w:tc>
      </w:tr>
      <w:tr>
        <w:trPr>
          <w:trHeight w:val="202"/>
        </w:trPr>
        <w:tc>
          <w:tcPr>
            <w:tcW w:w="4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60" w:type="dxa"/>
            <w:vAlign w:val="bottom"/>
            <w:tcBorders>
              <w:top w:val="single" w:sz="8" w:color="auto"/>
            </w:tcBorders>
          </w:tcPr>
          <w:p>
            <w:pPr>
              <w:ind w:left="220"/>
              <w:spacing w:after="0" w:line="202" w:lineRule="exact"/>
              <w:rPr>
                <w:sz w:val="20"/>
                <w:szCs w:val="20"/>
                <w:color w:val="auto"/>
              </w:rPr>
            </w:pPr>
            <w:r>
              <w:rPr>
                <w:rFonts w:ascii="Arial" w:cs="Arial" w:eastAsia="Arial" w:hAnsi="Arial"/>
                <w:sz w:val="18"/>
                <w:szCs w:val="18"/>
                <w:color w:val="auto"/>
              </w:rPr>
              <w:t>Philip A. Fain</w:t>
            </w:r>
          </w:p>
        </w:tc>
        <w:tc>
          <w:tcPr>
            <w:tcW w:w="300" w:type="dxa"/>
            <w:vAlign w:val="bottom"/>
            <w:gridSpan w:val="2"/>
          </w:tcPr>
          <w:p>
            <w:pPr>
              <w:spacing w:after="0"/>
              <w:rPr>
                <w:sz w:val="17"/>
                <w:szCs w:val="17"/>
                <w:color w:val="auto"/>
              </w:rPr>
            </w:pP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60" w:type="dxa"/>
            <w:vAlign w:val="bottom"/>
            <w:gridSpan w:val="3"/>
          </w:tcPr>
          <w:p>
            <w:pPr>
              <w:ind w:left="22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decimal"/>
      <w:start w:val="13"/>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1."/>
      <w:numFmt w:val="decimal"/>
      <w:start w:val="14"/>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2019-12-28T18:37:47Z</dcterms:created>
  <dcterms:modified xsi:type="dcterms:W3CDTF">2019-12-28T18:37:47Z</dcterms:modified>
</cp:coreProperties>
</file>