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10-K</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ANNUAL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3420" w:right="2020" w:hanging="3412"/>
        <w:spacing w:after="0" w:line="493" w:lineRule="auto"/>
        <w:tabs>
          <w:tab w:leader="none" w:pos="64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ind w:left="44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0-20852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ULTRALIFE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40" w:type="dxa"/>
        <w:tblCellMar>
          <w:top w:w="0" w:type="dxa"/>
          <w:left w:w="0" w:type="dxa"/>
          <w:bottom w:w="0" w:type="dxa"/>
          <w:right w:w="0" w:type="dxa"/>
        </w:tblCellMar>
      </w:tblPr>
      <w:tr>
        <w:trPr>
          <w:trHeight w:val="220"/>
        </w:trPr>
        <w:tc>
          <w:tcPr>
            <w:tcW w:w="504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4840" w:type="dxa"/>
            <w:vAlign w:val="bottom"/>
          </w:tcPr>
          <w:p>
            <w:pPr>
              <w:jc w:val="center"/>
              <w:ind w:left="890"/>
              <w:spacing w:after="0"/>
              <w:rPr>
                <w:sz w:val="20"/>
                <w:szCs w:val="20"/>
                <w:color w:val="auto"/>
              </w:rPr>
            </w:pPr>
            <w:r>
              <w:rPr>
                <w:rFonts w:ascii="Arial" w:cs="Arial" w:eastAsia="Arial" w:hAnsi="Arial"/>
                <w:sz w:val="18"/>
                <w:szCs w:val="18"/>
                <w:b w:val="1"/>
                <w:bCs w:val="1"/>
                <w:color w:val="auto"/>
                <w:w w:val="89"/>
              </w:rPr>
              <w:t>16-1387013</w:t>
            </w:r>
          </w:p>
        </w:tc>
      </w:tr>
      <w:tr>
        <w:trPr>
          <w:trHeight w:val="216"/>
        </w:trPr>
        <w:tc>
          <w:tcPr>
            <w:tcW w:w="5040" w:type="dxa"/>
            <w:vAlign w:val="bottom"/>
          </w:tcPr>
          <w:p>
            <w:pPr>
              <w:jc w:val="center"/>
              <w:ind w:right="970"/>
              <w:spacing w:after="0"/>
              <w:rPr>
                <w:sz w:val="20"/>
                <w:szCs w:val="20"/>
                <w:color w:val="auto"/>
              </w:rPr>
            </w:pPr>
            <w:r>
              <w:rPr>
                <w:rFonts w:ascii="Arial" w:cs="Arial" w:eastAsia="Arial" w:hAnsi="Arial"/>
                <w:sz w:val="18"/>
                <w:szCs w:val="18"/>
                <w:color w:val="auto"/>
                <w:w w:val="93"/>
              </w:rPr>
              <w:t>(State or other jurisdiction of</w:t>
            </w:r>
          </w:p>
        </w:tc>
        <w:tc>
          <w:tcPr>
            <w:tcW w:w="484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5040" w:type="dxa"/>
            <w:vAlign w:val="bottom"/>
          </w:tcPr>
          <w:p>
            <w:pPr>
              <w:jc w:val="center"/>
              <w:ind w:right="930"/>
              <w:spacing w:after="0"/>
              <w:rPr>
                <w:sz w:val="20"/>
                <w:szCs w:val="20"/>
                <w:color w:val="auto"/>
              </w:rPr>
            </w:pPr>
            <w:r>
              <w:rPr>
                <w:rFonts w:ascii="Arial" w:cs="Arial" w:eastAsia="Arial" w:hAnsi="Arial"/>
                <w:sz w:val="18"/>
                <w:szCs w:val="18"/>
                <w:color w:val="auto"/>
                <w:w w:val="93"/>
              </w:rPr>
              <w:t>incorporation or organization)</w:t>
            </w:r>
          </w:p>
        </w:tc>
        <w:tc>
          <w:tcPr>
            <w:tcW w:w="4840" w:type="dxa"/>
            <w:vAlign w:val="bottom"/>
          </w:tcPr>
          <w:p>
            <w:pPr>
              <w:jc w:val="center"/>
              <w:ind w:left="8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04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2000 Technology Parkway Newark, New York 14513</w:t>
            </w:r>
          </w:p>
        </w:tc>
        <w:tc>
          <w:tcPr>
            <w:tcW w:w="4840" w:type="dxa"/>
            <w:vAlign w:val="bottom"/>
          </w:tcPr>
          <w:p>
            <w:pPr>
              <w:jc w:val="right"/>
              <w:ind w:right="1310"/>
              <w:spacing w:after="0"/>
              <w:rPr>
                <w:sz w:val="20"/>
                <w:szCs w:val="20"/>
                <w:color w:val="auto"/>
              </w:rPr>
            </w:pPr>
            <w:r>
              <w:rPr>
                <w:rFonts w:ascii="Arial" w:cs="Arial" w:eastAsia="Arial" w:hAnsi="Arial"/>
                <w:sz w:val="18"/>
                <w:szCs w:val="18"/>
                <w:b w:val="1"/>
                <w:bCs w:val="1"/>
                <w:color w:val="auto"/>
              </w:rPr>
              <w:t>(315) 332-7100</w:t>
            </w:r>
          </w:p>
        </w:tc>
      </w:tr>
      <w:tr>
        <w:trPr>
          <w:trHeight w:val="230"/>
        </w:trPr>
        <w:tc>
          <w:tcPr>
            <w:tcW w:w="5040" w:type="dxa"/>
            <w:vAlign w:val="bottom"/>
          </w:tcPr>
          <w:p>
            <w:pPr>
              <w:jc w:val="center"/>
              <w:ind w:right="930"/>
              <w:spacing w:after="0"/>
              <w:rPr>
                <w:sz w:val="20"/>
                <w:szCs w:val="20"/>
                <w:color w:val="auto"/>
              </w:rPr>
            </w:pPr>
            <w:r>
              <w:rPr>
                <w:rFonts w:ascii="Arial" w:cs="Arial" w:eastAsia="Arial" w:hAnsi="Arial"/>
                <w:sz w:val="18"/>
                <w:szCs w:val="18"/>
                <w:color w:val="auto"/>
                <w:w w:val="92"/>
              </w:rPr>
              <w:t>(Address of principal executive offices) (Zip Code)</w:t>
            </w:r>
          </w:p>
        </w:tc>
        <w:tc>
          <w:tcPr>
            <w:tcW w:w="4840" w:type="dxa"/>
            <w:vAlign w:val="bottom"/>
          </w:tcPr>
          <w:p>
            <w:pPr>
              <w:jc w:val="center"/>
              <w:ind w:left="910"/>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1121" w:right="239" w:bottom="0" w:gutter="0" w:footer="0" w:header="0"/>
        </w:sectPr>
      </w:pPr>
    </w:p>
    <w:p>
      <w:pPr>
        <w:spacing w:after="0" w:line="221" w:lineRule="exact"/>
        <w:rPr>
          <w:sz w:val="24"/>
          <w:szCs w:val="24"/>
          <w:color w:val="auto"/>
        </w:rPr>
      </w:pPr>
    </w:p>
    <w:p>
      <w:pPr>
        <w:jc w:val="center"/>
        <w:ind w:left="2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50" w:lineRule="exact"/>
        <w:rPr>
          <w:sz w:val="24"/>
          <w:szCs w:val="24"/>
          <w:color w:val="auto"/>
        </w:rPr>
      </w:pPr>
    </w:p>
    <w:p>
      <w:pPr>
        <w:jc w:val="center"/>
        <w:ind w:left="2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ULBI</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NASDAQ</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360" w:space="720"/>
            <w:col w:w="1800" w:space="720"/>
            <w:col w:w="3820"/>
          </w:cols>
          <w:pgMar w:left="240" w:top="1121"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121" w:right="239" w:bottom="0" w:gutter="0" w:footer="0" w:header="0"/>
          <w:type w:val="continuous"/>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highlight w:val="black"/>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140" w:space="720"/>
            <w:col w:w="4560"/>
          </w:cols>
          <w:pgMar w:left="240" w:top="1121" w:right="239" w:bottom="0" w:gutter="0" w:footer="0" w:header="0"/>
          <w:type w:val="continuous"/>
        </w:sectPr>
      </w:pPr>
    </w:p>
    <w:p>
      <w:pPr>
        <w:spacing w:after="0" w:line="3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On June 30, 2019, the aggregate market value of the common stock held by non-affiliates as defined in Rule 405 under the Securities Act of 1933) of the registrant was approximately $78,106,659 (in whole dollars) based upon the closing price for such common stock as reported on the NASDAQ Global Market on June 30, 2019.</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February 3, 2020, the registrant had 15,870,688 shares of common stock outstanding.</w:t>
      </w:r>
    </w:p>
    <w:p>
      <w:pPr>
        <w:sectPr>
          <w:pgSz w:w="11900" w:h="16838" w:orient="portrait"/>
          <w:cols w:equalWidth="0" w:num="1">
            <w:col w:w="11420"/>
          </w:cols>
          <w:pgMar w:left="240" w:top="1121" w:right="2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Certain portions of the registrant’s definitive proxy statement relating to the Annual Meeting of Shareholders are specifically incorporated by reference in Part III, Items 10, 11, 12, 13 and 14 of this Annual Report on Form 10-K, except for the equity plan information required by Item 12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72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80" w:type="dxa"/>
            <w:vAlign w:val="bottom"/>
            <w:gridSpan w:val="2"/>
          </w:tcPr>
          <w:p>
            <w:pPr>
              <w:ind w:left="340"/>
              <w:spacing w:after="0"/>
              <w:rPr>
                <w:sz w:val="20"/>
                <w:szCs w:val="20"/>
                <w:color w:val="auto"/>
              </w:rPr>
            </w:pPr>
            <w:r>
              <w:rPr>
                <w:rFonts w:ascii="Arial" w:cs="Arial" w:eastAsia="Arial" w:hAnsi="Arial"/>
                <w:sz w:val="18"/>
                <w:szCs w:val="18"/>
                <w:color w:val="auto"/>
              </w:rPr>
              <w:t>ITEM</w:t>
            </w:r>
          </w:p>
        </w:tc>
        <w:tc>
          <w:tcPr>
            <w:tcW w:w="1100" w:type="dxa"/>
            <w:vAlign w:val="bottom"/>
          </w:tcPr>
          <w:p>
            <w:pPr>
              <w:ind w:left="640"/>
              <w:spacing w:after="0"/>
              <w:rPr>
                <w:sz w:val="20"/>
                <w:szCs w:val="20"/>
                <w:color w:val="auto"/>
              </w:rPr>
            </w:pPr>
            <w:r>
              <w:rPr>
                <w:rFonts w:ascii="Arial" w:cs="Arial" w:eastAsia="Arial" w:hAnsi="Arial"/>
                <w:sz w:val="18"/>
                <w:szCs w:val="18"/>
                <w:color w:val="auto"/>
                <w:w w:val="87"/>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1ARisk Factors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1BUnresolved Staff Comments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Proceedings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 Safety Disclosures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Market for Registrant’s Common Equity, Related Stockholder Matters and Issuer Purchases of Equity Securities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Selected Financial Data</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7AQuantitative and Qualitative Disclosures About Market Risk</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Statements and Supplementary Data</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9AControls and Procedures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9BOther Information</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10</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11</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Compensation</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12</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13</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14</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Accountant Fees and Services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15</w:t>
            </w:r>
          </w:p>
        </w:tc>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Exhibits, Financial Statement Schedules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Signatures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Index to Exhibits</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entrance into new end-markets which could lead to additional financial exposure; fluctuations in the price of oil and the resulting impact on the level of downhole drilling; our ability to retain top management and key personnel; our resources being overwhelmed by our growth prospects; our inability to comply with changes to the regulations for the shipment of our products; our customers’ demand falling short of volume expectations in our supply agreements; possible impairments of our goodwill and other intangible assets; negative publicity of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plan”, “intend”, “foresee”, “may”, “could”, “will”, “likely” or “expect” or words of similar import are intended to identify some, but not all of, such forward-looking statements. For further discussion of certain of the matters described above and other risks and uncertainties, see “Risk Factors” in Item 1A of this Annual Report on Form 10-K.</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Form 10-K Annual Report, unless otherwise indicated, the terms “the Company”, “we”, “our” and “us” refer to Ultralife Corporation (“Ultralife”) and includes our wholly-owned subsidiaries, ABLE New Energy Co., Limited and its wholly-owned subsidiary ABLE New Energy Co., Ltd; Ultralife UK LTD and its wholly-owned subsidiary, Accutronics Ltd; Ultralife Batteries (UK) Ltd.; Southwest Electronic Energy Corporation and its wholly-owned subsidiary, CLB, INC.; and our majority-owned joint venture Ultralife Batteries India Private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throughout this Form 10-K Annual Report are presented in thousands of dollars, except for per share amounts.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jc w:val="both"/>
        <w:spacing w:after="0" w:line="226" w:lineRule="auto"/>
        <w:rPr>
          <w:sz w:val="20"/>
          <w:szCs w:val="20"/>
          <w:color w:val="auto"/>
        </w:rPr>
      </w:pPr>
      <w:r>
        <w:rPr>
          <w:rFonts w:ascii="Arial" w:cs="Arial" w:eastAsia="Arial" w:hAnsi="Arial"/>
          <w:sz w:val="17"/>
          <w:szCs w:val="17"/>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Batteries,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Lithium Power</w:t>
      </w:r>
      <w:r>
        <w:rPr>
          <w:rFonts w:ascii="Arial" w:cs="Arial" w:eastAsia="Arial" w:hAnsi="Arial"/>
          <w:sz w:val="30"/>
          <w:szCs w:val="30"/>
          <w:color w:val="auto"/>
          <w:vertAlign w:val="superscript"/>
        </w:rPr>
        <w:t>®</w:t>
      </w:r>
      <w:r>
        <w:rPr>
          <w:rFonts w:ascii="Arial" w:cs="Arial" w:eastAsia="Arial" w:hAnsi="Arial"/>
          <w:sz w:val="18"/>
          <w:szCs w:val="18"/>
          <w:color w:val="auto"/>
        </w:rPr>
        <w:t>, McDowell Research</w:t>
      </w:r>
      <w:r>
        <w:rPr>
          <w:rFonts w:ascii="Arial" w:cs="Arial" w:eastAsia="Arial" w:hAnsi="Arial"/>
          <w:sz w:val="30"/>
          <w:szCs w:val="30"/>
          <w:color w:val="auto"/>
          <w:vertAlign w:val="superscript"/>
        </w:rPr>
        <w:t>®</w:t>
      </w:r>
      <w:r>
        <w:rPr>
          <w:rFonts w:ascii="Arial" w:cs="Arial" w:eastAsia="Arial" w:hAnsi="Arial"/>
          <w:sz w:val="18"/>
          <w:szCs w:val="18"/>
          <w:color w:val="auto"/>
        </w:rPr>
        <w:t>, AMTI</w:t>
      </w:r>
      <w:r>
        <w:rPr>
          <w:rFonts w:ascii="Arial" w:cs="Arial" w:eastAsia="Arial" w:hAnsi="Arial"/>
          <w:sz w:val="30"/>
          <w:szCs w:val="30"/>
          <w:color w:val="auto"/>
          <w:vertAlign w:val="superscript"/>
        </w:rPr>
        <w:t>TM</w:t>
      </w:r>
      <w:r>
        <w:rPr>
          <w:rFonts w:ascii="Arial" w:cs="Arial" w:eastAsia="Arial" w:hAnsi="Arial"/>
          <w:sz w:val="18"/>
          <w:szCs w:val="18"/>
          <w:color w:val="auto"/>
        </w:rPr>
        <w:t>, ABLE</w:t>
      </w:r>
      <w:r>
        <w:rPr>
          <w:rFonts w:ascii="Arial" w:cs="Arial" w:eastAsia="Arial" w:hAnsi="Arial"/>
          <w:sz w:val="30"/>
          <w:szCs w:val="30"/>
          <w:color w:val="auto"/>
          <w:vertAlign w:val="superscript"/>
        </w:rPr>
        <w:t>TM</w:t>
      </w:r>
      <w:r>
        <w:rPr>
          <w:rFonts w:ascii="Arial" w:cs="Arial" w:eastAsia="Arial" w:hAnsi="Arial"/>
          <w:sz w:val="18"/>
          <w:szCs w:val="18"/>
          <w:color w:val="auto"/>
        </w:rPr>
        <w:t>, ACCUTRONICS™, ACCUPRO™, ENTELLION™, SWE Southwest Electronic Energy Group™, SWE DRILL-DATA™, and SWE SEASAFE™ brands. We have sales, operations and product development facilities in North America, Europe and Asia.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manufacture and/or market a family of Lithium Manganese Dioxide (Li-MnO2), Lithium Manganese Dioxide Carbon Monofluoride (Li-CFx/MnO2) hybrid and Lithium Thionyl Chloride (Li-SOCl2) non-rechargeable batteries including 9-volt, HiRate® cylindrical, ThinCell®, and other form factors.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ability to design and produce lightweight, high-energy Lithium ion and Nickel Metal Hydride (NiMH) rechargeable batteries and charging systems in a variety of custom sizes, shapes, and thicknesses offers substantial benefits to our customers. We market Lithium ion and NiMH rechargeable batteries comprising cells manufactured by qualified cell manufacturers. Our rechargeable products can be used in a wide variety of applications including communications, medical and other portable electronic devices.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be awarded development contracts resulting in intellectual property that we believe will enhance our efforts to commercialize new products that we develop. Revenues in this segment that pertain to product development may vary widely each year, depending upon the quantity and size of contracts awarded.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Revenues for this segment for the year ended December 31, 2019 were $83,996 and segment contribution (gross profit) was $22,813.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requirements. These systems include RF amplifiers, power supplies, power cables, connector assemblies, amplified speakers, equipment mounts, case equipment, man-portable systems and integrated communication systems for fixed or vehicle applications such as vehicle amplifier-adaptors (“VAA”) for multiple programs. These programs include Vehicle Installed Power Enhanced Rifleman Appliqué (“VIPER”) systems, U.S. Army Leader Radio Program, U.S. Army’s Security Force Assistance Brigades (SFABs) and SATCOM systems. All systems are packaged to meet specific customer needs in rugged enclosures to allow for their use in extreme environments. We market these products to all branches of the U.S. military and foreign defense organizations that we are permitted to sell our products to, as well as, U.S. and international prime defense contractors.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this segment for the year ended December 31, 2019 were $22,799 and segment contribution (gross profit) was $8,352.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 revenues and cost of sales between the above operating segments. The balance of income and expense, including but not limited to research and development expenses, and selling, general and administrative expenses, are reported as Corporate operating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had no revenues for the year ended December 31, 2019 and our Corporate operating expenses for the year ended December 31, 2019 were $23,797.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and the 2019 Consolidated Financial Statements and Notes thereto contained in this Annual Report on Form 10-K for additional information on the expenses referred to above. For information relating to total assets by segment, revenues for the last two years by segment, and contribution by segment for the last two years, see Note 11 in the notes to consolidated financial statements.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Ultralife was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July 2006, we finalized the acquisition of substantially all the assets of McDowell Research, Ltd. (“McDowell”), a manufacturer of military communications accessories located originally in Waco, Texas. This acquisition expanded our channels into the military communications area and strengthened our presence in global defense markets. During the second half of 2007, the operations of the Waco, Texas facility were relocated to our Newark, New York facility. In January 2012, we relocated these operations to our Virginia Beach, Virginia facility in order to gain operational efficiencies.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7"/>
          <w:szCs w:val="17"/>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 pulmonary care, oxygen concentration and aspiration. We acquired Accutronics to advance our strategy of commercial revenue diversification, to expand our geographical penetration, and to achieve revenue growth from new product development. We are experiencing sales synergies between Accutronics and our existing commercial battery business as we cross-sell our existing products and the acquired Accutronics’ products to our respective customer bases.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w:t>
      </w:r>
    </w:p>
    <w:p>
      <w:pPr>
        <w:jc w:val="both"/>
        <w:ind w:firstLine="8"/>
        <w:spacing w:after="0" w:line="253" w:lineRule="auto"/>
        <w:tabs>
          <w:tab w:leader="none" w:pos="193" w:val="left"/>
        </w:tabs>
        <w:numPr>
          <w:ilvl w:val="0"/>
          <w:numId w:val="3"/>
        </w:numPr>
        <w:rPr>
          <w:rFonts w:ascii="Arial" w:cs="Arial" w:eastAsia="Arial" w:hAnsi="Arial"/>
          <w:sz w:val="18"/>
          <w:szCs w:val="18"/>
          <w:color w:val="auto"/>
        </w:rPr>
      </w:pPr>
      <w:r>
        <w:rPr>
          <w:rFonts w:ascii="Arial" w:cs="Arial" w:eastAsia="Arial" w:hAnsi="Arial"/>
          <w:sz w:val="18"/>
          <w:szCs w:val="18"/>
          <w:color w:val="auto"/>
        </w:rPr>
        <w:t>gas, remote monitoring, process control and marine, which demand uncompromised safety, service, reliability and quality. We acquired SWE as a bolt-on acquisition to further support our strategy of commercial revenue diversification by providing entry to the oil and gas exploration and production, and subsea electrification markets, which are currently unserved by us.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Dioxide Carbon Monofluoride hybrid, and Lithium Thionyl Chloride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Non-Rechargeable Batteries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non-rechargeable products include the following product configurations: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9-Volt Lithium Battery. </w:t>
      </w:r>
      <w:r>
        <w:rPr>
          <w:rFonts w:ascii="Arial" w:cs="Arial" w:eastAsia="Arial" w:hAnsi="Arial"/>
          <w:sz w:val="16"/>
          <w:szCs w:val="16"/>
          <w:color w:val="auto"/>
        </w:rPr>
        <w:t>Our 9-volt Lithium battery delivers a unique combination of the highest available energy density and stable voltage, which results in a</w:t>
      </w:r>
      <w:r>
        <w:rPr>
          <w:rFonts w:ascii="Arial" w:cs="Arial" w:eastAsia="Arial" w:hAnsi="Arial"/>
          <w:sz w:val="16"/>
          <w:szCs w:val="16"/>
          <w:i w:val="1"/>
          <w:iCs w:val="1"/>
          <w:color w:val="auto"/>
        </w:rPr>
        <w:t xml:space="preserve"> </w:t>
      </w:r>
      <w:r>
        <w:rPr>
          <w:rFonts w:ascii="Arial" w:cs="Arial" w:eastAsia="Arial" w:hAnsi="Arial"/>
          <w:sz w:val="16"/>
          <w:szCs w:val="16"/>
          <w:color w:val="auto"/>
        </w:rPr>
        <w:t>longer operating life for the battery and, accordingly, fewer battery replacements. While our 9-volt battery price is generally higher than conventional 9-volt Carbon zinc and alkaline batteries, we believe the enhanced operating performance and decreased costs associated with battery replacement make our 9-volt battery more cost effective than conventional batteries on a cost per unit of energy or volume basis when used in a variety of applications.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battery is to major smoke alarm OEMs for use in their long-life smoke alarms. We also manufacture our 9-volt Lithium battery under private labels for a variety of companies. Additionally, we sell our 9-volt battery to the broader consumer market through national and regional retail chains and Internet retailers.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current 9-volt battery manufacturing capacity is adequate to meet forecasted customer demand over the next three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99" w:lineRule="auto"/>
        <w:rPr>
          <w:sz w:val="20"/>
          <w:szCs w:val="20"/>
          <w:color w:val="auto"/>
        </w:rPr>
      </w:pPr>
      <w:r>
        <w:rPr>
          <w:rFonts w:ascii="Arial" w:cs="Arial" w:eastAsia="Arial" w:hAnsi="Arial"/>
          <w:sz w:val="16"/>
          <w:szCs w:val="16"/>
          <w:i w:val="1"/>
          <w:iCs w:val="1"/>
          <w:color w:val="auto"/>
        </w:rPr>
        <w:t xml:space="preserve">Cylindrical Batteries. </w:t>
      </w:r>
      <w:r>
        <w:rPr>
          <w:rFonts w:ascii="Arial" w:cs="Arial" w:eastAsia="Arial" w:hAnsi="Arial"/>
          <w:sz w:val="16"/>
          <w:szCs w:val="16"/>
          <w:color w:val="auto"/>
        </w:rPr>
        <w:t>Featuring high energy, wide temperature range, long shelf life and operating life, our cylindrical cells and batteries, based on Lithium</w:t>
      </w:r>
      <w:r>
        <w:rPr>
          <w:rFonts w:ascii="Arial" w:cs="Arial" w:eastAsia="Arial" w:hAnsi="Arial"/>
          <w:sz w:val="16"/>
          <w:szCs w:val="16"/>
          <w:i w:val="1"/>
          <w:iCs w:val="1"/>
          <w:color w:val="auto"/>
        </w:rPr>
        <w:t xml:space="preserve"> </w:t>
      </w:r>
      <w:r>
        <w:rPr>
          <w:rFonts w:ascii="Arial" w:cs="Arial" w:eastAsia="Arial" w:hAnsi="Arial"/>
          <w:sz w:val="16"/>
          <w:szCs w:val="16"/>
          <w:color w:val="auto"/>
        </w:rPr>
        <w:t>Manganese Dioxide, Lithium Manganese Dioxide Carbon Monofluoride hybrid and Lithium Thionyl Chloride technologies, represent some of the most advanced Lithium power sources currently available. We market a wide range of cylindrical non-rechargeable Lithium cells and batteries in various sizes</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both the Ultralife HiRate and ABLE brands. These include: D, C, 5/4 C, 1/2 AA, 2/3 A, CR123A and other sizes, which are sold individually as well as packaged into multi-cell battery packs, including our leading BA-5390 military battery, an alternative to the competing Li-SO2 BA-5590 battery, and one of the most widely used battery types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Li-SO2 D-cell.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market our line of Lithium cells and batteries to the OEM market for commercial, defense, medical, asset tracking and search and rescue applications, among others. Significant commercial applications include oil &amp; gas, pipeline inspection equipment, automatic re-closers and oceanographic and subsea devices. Asset tracking applications include RFID (Radio Frequency Identification) systems. Among the defense uses are manpack radios, night vision goggles, chemical agent monitors and thermal imaging equipment. Medical applications include: AED’s (Automated External Defibrillators), infusion pumps and telemetry systems. Search and rescue applications include ELT’s (Emergency Locator Transmitters) for aircraft and EPIRB’s (Emergency Position Indicating Radio Beacons) for ships. Oil &amp; gas applications include battery packs for downhole drilling applications such as Measurement While Drilling (“MWD”) and Logging While Drilling (“LWD”) and pipeline inspection.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Thin Cell Batteries. </w:t>
      </w:r>
      <w:r>
        <w:rPr>
          <w:rFonts w:ascii="Arial" w:cs="Arial" w:eastAsia="Arial" w:hAnsi="Arial"/>
          <w:sz w:val="16"/>
          <w:szCs w:val="16"/>
          <w:color w:val="auto"/>
        </w:rPr>
        <w:t>We manufacture a range of thin Lithium Manganese Dioxide batteries under the Thin Cell</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 Thin Cell batteries are flat, lightweight</w:t>
      </w:r>
      <w:r>
        <w:rPr>
          <w:rFonts w:ascii="Arial" w:cs="Arial" w:eastAsia="Arial" w:hAnsi="Arial"/>
          <w:sz w:val="16"/>
          <w:szCs w:val="16"/>
          <w:i w:val="1"/>
          <w:iCs w:val="1"/>
          <w:color w:val="auto"/>
        </w:rPr>
        <w:t xml:space="preserve"> </w:t>
      </w:r>
      <w:r>
        <w:rPr>
          <w:rFonts w:ascii="Arial" w:cs="Arial" w:eastAsia="Arial" w:hAnsi="Arial"/>
          <w:sz w:val="16"/>
          <w:szCs w:val="16"/>
          <w:color w:val="auto"/>
        </w:rPr>
        <w:t>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devices.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Rechargeable Batteries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contrast to non-rechargeable batteries, after a rechargeable battery is discharged, it can be recharged and reused many times. Generally, discharge and recharge cycles can be repeated hundreds or thousands of times in rechargeable batteries depending on the technology of the battery. The achievable number of cycles (cycle life) varies among technologies and is an important competitive factor. All rechargeable batteries experience a small, but measurable, loss in energy with each cycle. The industry commonly reports cycle life in the number of cycles a battery can achieve until 80% of the battery's initial energy capacity remains. In the rechargeable battery market, the principal competing technologies are Nickel Cadmium, Nickel Metal Hydride and Lithium 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 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 ion batteries generally have some of the highest energy density and longest cycle life available.</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Lithium Ion Cells and Batteries. </w:t>
      </w:r>
      <w:r>
        <w:rPr>
          <w:rFonts w:ascii="Arial" w:cs="Arial" w:eastAsia="Arial" w:hAnsi="Arial"/>
          <w:sz w:val="17"/>
          <w:szCs w:val="17"/>
          <w:color w:val="auto"/>
        </w:rPr>
        <w:t>We market a variety of Lithium ion cells and rechargeable batteries comprising cells manufactured by qualified cell</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These products are used in a wide variety of applications including communications, medical and other portable electronic devices.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Battery Charging Systems and Accessories. </w:t>
      </w:r>
      <w:r>
        <w:rPr>
          <w:rFonts w:ascii="Arial" w:cs="Arial" w:eastAsia="Arial" w:hAnsi="Arial"/>
          <w:sz w:val="17"/>
          <w:szCs w:val="17"/>
          <w:color w:val="auto"/>
        </w:rPr>
        <w:t>To provide our customers with complete power system solutions, we offer a wide range of rugged military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battery charging systems and accessories including smart chargers, multi-bay charging systems and a variety of cables.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i w:val="1"/>
          <w:iCs w:val="1"/>
          <w:color w:val="auto"/>
        </w:rPr>
        <w:t xml:space="preserve">Multi-Kilowatt Module. </w:t>
      </w:r>
      <w:r>
        <w:rPr>
          <w:rFonts w:ascii="Arial" w:cs="Arial" w:eastAsia="Arial" w:hAnsi="Arial"/>
          <w:sz w:val="18"/>
          <w:szCs w:val="18"/>
          <w:color w:val="auto"/>
        </w:rPr>
        <w:t>Our Multi-Kilowatt Module lithium ion battery system is a large format battery utilizable for energy storage, battery back-up, and</w:t>
      </w:r>
      <w:r>
        <w:rPr>
          <w:rFonts w:ascii="Arial" w:cs="Arial" w:eastAsia="Arial" w:hAnsi="Arial"/>
          <w:sz w:val="18"/>
          <w:szCs w:val="18"/>
          <w:i w:val="1"/>
          <w:iCs w:val="1"/>
          <w:color w:val="auto"/>
        </w:rPr>
        <w:t xml:space="preserve"> </w:t>
      </w:r>
      <w:r>
        <w:rPr>
          <w:rFonts w:ascii="Arial" w:cs="Arial" w:eastAsia="Arial" w:hAnsi="Arial"/>
          <w:sz w:val="18"/>
          <w:szCs w:val="18"/>
          <w:color w:val="auto"/>
        </w:rPr>
        <w:t>remote power applications. This product is a direct replacement of 1.25 kWh and greater lead acid batteries in 24V or 48V applications. It can be connected in multiples to obtain higher-voltages and is capable of over 3,000 cycles while maintaining 80% of its capacity.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Technology Contracts. </w:t>
      </w:r>
      <w:r>
        <w:rPr>
          <w:rFonts w:ascii="Arial" w:cs="Arial" w:eastAsia="Arial" w:hAnsi="Arial"/>
          <w:sz w:val="18"/>
          <w:szCs w:val="18"/>
          <w:color w:val="auto"/>
        </w:rPr>
        <w:t>Our technology contract activities involve the development of new products or the enhancement of existing products through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both government agencies and other private sector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amplifier-adaptors and SATCOM systems. We package all systems to meet specific customer needs in rugged enclosures to allow their use in extreme environments.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RF Amplifiers. </w:t>
      </w:r>
      <w:r>
        <w:rPr>
          <w:rFonts w:ascii="Arial" w:cs="Arial" w:eastAsia="Arial" w:hAnsi="Arial"/>
          <w:sz w:val="18"/>
          <w:szCs w:val="18"/>
          <w:color w:val="auto"/>
        </w:rPr>
        <w:t>Our RF amplifiers include: 20, 50 and 75-watt amplifiers and 20-watt accessories and kits. These amplifiers are used to extend the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manpack and handheld tactical transceivers and can be used on mobile or fixed site applications.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Integrated Systems. </w:t>
      </w:r>
      <w:r>
        <w:rPr>
          <w:rFonts w:ascii="Arial" w:cs="Arial" w:eastAsia="Arial" w:hAnsi="Arial"/>
          <w:sz w:val="17"/>
          <w:szCs w:val="17"/>
          <w:color w:val="auto"/>
        </w:rPr>
        <w:t>Our integrated systems include: vehicle mounted systems; SATCOM systems; rugged, deployable case systems; multiband transceiver</w:t>
      </w:r>
      <w:r>
        <w:rPr>
          <w:rFonts w:ascii="Arial" w:cs="Arial" w:eastAsia="Arial" w:hAnsi="Arial"/>
          <w:sz w:val="17"/>
          <w:szCs w:val="17"/>
          <w:i w:val="1"/>
          <w:iCs w:val="1"/>
          <w:color w:val="auto"/>
        </w:rPr>
        <w:t xml:space="preserve"> </w:t>
      </w:r>
      <w:r>
        <w:rPr>
          <w:rFonts w:ascii="Arial" w:cs="Arial" w:eastAsia="Arial" w:hAnsi="Arial"/>
          <w:sz w:val="17"/>
          <w:szCs w:val="17"/>
          <w:color w:val="auto"/>
        </w:rPr>
        <w:t>kits; enroute communications cases; and radio cases. These systems give communications operators everything that is needed to provide reliable links to support C4ISR (Command, Control, Communications, Computers and Information, Surveillance and Reconnaissance).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Power Systems. </w:t>
      </w:r>
      <w:r>
        <w:rPr>
          <w:rFonts w:ascii="Arial" w:cs="Arial" w:eastAsia="Arial" w:hAnsi="Arial"/>
          <w:sz w:val="18"/>
          <w:szCs w:val="18"/>
          <w:color w:val="auto"/>
        </w:rPr>
        <w:t>Our power systems include: universal AC/DC power supplies with battery backup for tactical manpack and handheld transceivers; ROVER™</w:t>
      </w:r>
      <w:r>
        <w:rPr>
          <w:rFonts w:ascii="Arial" w:cs="Arial" w:eastAsia="Arial" w:hAnsi="Arial"/>
          <w:sz w:val="18"/>
          <w:szCs w:val="18"/>
          <w:i w:val="1"/>
          <w:iCs w:val="1"/>
          <w:color w:val="auto"/>
        </w:rPr>
        <w:t xml:space="preserve"> </w:t>
      </w:r>
      <w:r>
        <w:rPr>
          <w:rFonts w:ascii="Arial" w:cs="Arial" w:eastAsia="Arial" w:hAnsi="Arial"/>
          <w:sz w:val="18"/>
          <w:szCs w:val="18"/>
          <w:color w:val="auto"/>
        </w:rPr>
        <w:t>power supplies; interoperable power adaptors and chargers; portable power systems and AC to DC power supplies, among many others. We can provide power supplies for virtually all tactical communications devices.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Communications and Electronics. </w:t>
      </w:r>
      <w:r>
        <w:rPr>
          <w:rFonts w:ascii="Arial" w:cs="Arial" w:eastAsia="Arial" w:hAnsi="Arial"/>
          <w:sz w:val="18"/>
          <w:szCs w:val="18"/>
          <w:color w:val="auto"/>
        </w:rPr>
        <w:t>Our communications and electronics services include the design, integration, and fielding of portable, mobile and fixed-site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systems.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when and if possible, but the ability to adjust prices is generally based on market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distribute some of our products through domestic and international distributors and retailers. These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significant portion of our business comes from sales of products and services to the U.S. and foreign governments through various contracts. These contracts are subject to procurement laws and regulations that specify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applicable procurement laws or regulations can result in civil, criminal or administrative proceedings involving fines, penalties, suspension of payments, or suspension or debarment from government contracting or subcontracting for a period of time. Even if a contract is awarded there is no guarantee that the government will order product under the contract.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342" w:lineRule="auto"/>
        <w:rPr>
          <w:sz w:val="20"/>
          <w:szCs w:val="20"/>
          <w:color w:val="auto"/>
        </w:rPr>
      </w:pPr>
      <w:r>
        <w:rPr>
          <w:rFonts w:ascii="Arial" w:cs="Arial" w:eastAsia="Arial" w:hAnsi="Arial"/>
          <w:sz w:val="16"/>
          <w:szCs w:val="16"/>
          <w:color w:val="auto"/>
        </w:rPr>
        <w:t>We have two major customers, both large defense primary contractors, which comprised 14% and 12% of our total revenues in 2019, respectively, and 7% and 16% of our total revenues in 2018, respectively. There were no other customers that comprised greater than 10% of our total revenues during these years.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2019, sales to U.S. and non-U.S. customers were approximately $63,375 and $43,420, respectively. In 2018, sales to U.S. and non-U.S. customers were approximately $53,054 and $34,136,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target sales of our non-rechargeable products to manufacturers of security and safety equipment, medical devices, search and rescue equipment, specialty instruments, oil &amp; gas downhole drilling and pipe inspection equipment,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retail distribution channels.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An inability by us to pass these tests for our new products in a timely fashion could have a material adverse effect on future growth prospects. When a government contract is awarded, there is a government procedure that permits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market our products to defense organizations in the U.S. and other countries, which has resulted in awards of significant contracts. In March 2017, we were awarded a production contract by the U. S. Government’s Defense Logistics Agency for up to five years, with a maximum total potential of $21,400, to provide an updated BA-5390 non-rechargeable Lithium Manganese Dioxide batteries to the U.S. military. While production deliveries are expected to begin in 2020, we continue to receive orders for our legacy BA-5390 batteries from the Defense Logistics Agency. In December 2019, we received a $4,869 contract from the Defense Logistics Agency to ship our legacy BA-5390 batteries in 2020. In September 2019, we were awarded a production contract from the Defense Logistics Agency for up to five years, with a maximum value of $14,422, to provide our BA-5368 batteries. In January 2018, we received a $3,348 contract from the Defense Logistics Agency to ship our legacy BA-5390 batteries within one hundred ninety days of the contract date. In October 2017, we were awarded a production contract by the Defense Logistics Agency for five years, with a maximum potential of $49,800, to provide our hybrid lithium manganese dioxide/carbon monofluoride (CFx) non-rechargeable BA-5790 and BA-5795 batteries. Manufacturing and production deliveries under this award are expected to begin in 2020.</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target sales of our Lithium ion rechargeable batteries and charging systems to OEM customers, as well as distributors and resellers focused on our target markets. We respond to RFPs to design products for OEMs, and believe that our design capabilities, product characteristics and solution integration will drive OEMs to incorporate our batteries into their product offerings, resulting in revenue growth opportunities for us.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expand our marketing activities as part of our strategic plan, a comprehensive forward-looking document which sets forth our strategic growth plans, tactical actions and financial projections over a rolling three-year period,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network of distributors and value-added distributors throughout the world.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and 2018, our backlog related to Battery &amp; Energy Products was approximately $35,700 and $29,300 respectively. The 22% year-over-year increase in our Battery &amp; Energy Products backlog at December 31, 2019 primarily resulted from the December 2019 legacy BA-5390 delivery contract received from the Defense Logistics Agency and the inclusion of SWE which was acquired on May 1, 2019. The 2019 year-end backlog is related to orders that are expected to ship throughout 2020 and does not include future shipments under the indefinite delivery/indefinite quantity Defense Logistic Awards for our BA-5390 batteries ($21,400) and BA-5790/BA-5795 batteries ($49,800).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to defense contractors and U.S. and foreign militaries in the U.S. and internationally. We market our products to defense organizations and OEMs in the U.S. and internationally.</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December 31, 2019 and 2018, our backlog related to Communications Systems orders was approximately $6,800 and $21,700, respectively. The 69% decrease in our Communications Systems backlog at December 31, 2019 is primarily a result of 2019 shipments under two October 2018 contract awards totaling $19,200 to supply our Vehicle Amplifier-Adaptors (“VAA”) and Mounted Power Amplifiers to a large global defense contractor to support the U.S. Army’s Network Modernization initiatives, Leader Radio Program and other opportunities. The 2019 backlog includes the remainder of the shipments under these contracts as well as a purchase order received on an October 2018 indefinite-delivery/indefinite quantity contract for vehicle communication kits for use by the U.S. Department of Defense. The 2019 year-end backlog is related to orders that are expected to ship throughout 2020.</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 Secrets and Trademarks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obtain access to our proprietary information, know-how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hold thirty-five patents issued in the U.S., four patents issued in South Korea, three patents issued in Canada, three patents issue in the European Union member states, two patents issued in the European Union, two patent issued in the United Kingdom, one patent issued in Australia, one patent issued in China, one patent issued in Hong Kong, one patent issued in India, one patent issued in Japan and one patent issued in Taiwan. We believe our patents protect technology that makes automated production more cost-effective and protects important competitive features of our products. However, we do not consider our business to be dependent on patent protection.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and country by country so we cannot assure that they will be enforceable in accordance with their terms, if at all.</w:t>
      </w:r>
    </w:p>
    <w:p>
      <w:pPr>
        <w:spacing w:after="0" w:line="1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Trademarks are an important aspect of our business. We sell our products under a number of trademarks, which we own. The following are registered trademarks of ours: Ultralife®, Ultralife Thin Cell®, Ultralife HiRate®, Ultralife &amp; design®, Ultra®, LithiumPower“, LithiumPower &amp; Design“, SmartCircuit“, Smart Circuit®, Smart Circuit &amp; design®, We Are Power“, AMTI“, ABLEÔ, ACCUTRONICS®, ACCUPRO®, ENTELLION®, Intelligent Power Vault®, McDowell Research®, RPS“, SWE Southwest Electronic Energy Group®, SWE DRILL-DATA®, and SWE SEASAFE®.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manufacture our products from raw materials and component parts that we purchase. Our manufacturing facilities in Newark, New York are ISO 9001 and ISO 13485 certified. Our manufacturing facilities in Shenzhen, China are ISO 9001, ISO 1401 and ISO 13485 certified. Our manufacturing facility in Missouri City, Texas is ISO 9001 certified. Our manufacturing facilities in Virginia Beach, Virginia are ISO 9001 certified. Our manufacturing facilities in the United Kingdom are ISO 9001 and ISO 13485 certified.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We expect our future raw material purchases to fluctuate based on global demand of our products, our knowledge regarding the timing of customer orders, the related need to build inventory in anticipation of orders and actual shipment dates.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Newark, New York and Shenzhen, China facilities have the capacity to produce cylindrical cells, 9-volt batteries, and thin cells. Capacity, however, is also affected by demand for particular products, and product mix changes can produce bottlenecks in an individual operation, constraining overall capacity. We have acquired new machinery and equipment in areas where production bottlenecks have resulted in the past and we believe that we have sufficient capacity in these areas. We continually evaluate our requirements for additional capital equipment, and we believe that planned increases will be adequate to meet foreseeable customer demand.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materials used in our products, other than rechargeable batteries,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material,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which have not had a material adverse effect on us, we cannot assure that they would not have an adverse effect on us in the future.</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believe that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Newark, New York facility has the capacity to produce significant volumes of rechargeable batteries. This operation generally assembles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of primary (non-rechargeable) and rechargeable batteries beyond current volumes and are not constrained by manufacturing equipment capacity. Our Missouri City, Texas facility has the capacity to produce significant quantities of primary battery packs and is not constrained by manufacturing equipment capacity.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carrying value of our Battery &amp; Energy Products inventory, including raw materials, work in process and finished goods, amounted to approximately $19,990 and $14,007 as of December 31, 2019 and 2018, respectively. The year-over-year 43% increase primarily reflects our acquisition of SWE in May 2019 and the purchase of battery cells to service our backlog going into 2020. Management continuously monitors inventory levels in an effort to optimize such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w:t>
      </w:r>
      <w:r>
        <w:rPr>
          <w:rFonts w:ascii="Arial" w:cs="Arial" w:eastAsia="Arial" w:hAnsi="Arial"/>
          <w:sz w:val="18"/>
          <w:szCs w:val="18"/>
          <w:b w:val="1"/>
          <w:bCs w:val="1"/>
          <w:i w:val="1"/>
          <w:iCs w:val="1"/>
          <w:color w:val="auto"/>
        </w:rPr>
        <w: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Virginia Beach, Virginia facility has the capacity to produce communications products and systems. This operation generally assembles products and is limited only by physical space and is not constrained by manufacturing equipment capacity.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carrying value of our Communications Systems inventory, including raw materials, work in process and finished goods, amounted to approximately $9,769 and $8,836 as of December 31, 2019 and 2018, respectively. The year-over-year 11% increase primarily reflects components received in 2019 which will service our backlog going into 2020. Management continuously monitors inventory levels in an effort to optimize such levels.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devote significant resources to research and development activities to improve the technological capabilities of our products and to design new products for customers’ applications. We conduct our research and development in Newark, New York; Virginia Beach, Virginia; Tallahassee, Florida; Missouri City, Texas; Newcastle-under-Lyme, United Kingdom and Shenzhen, China. During 2019 and 2018, we expended $8,025 and $5,230, respectively, on research and development, including $1,220 and $722, respectively, on customer sponsored research and development activities, which are included in cost of goods sold. The year-over-year increase primarily reflects our acquisition of SWE in May 2019 and the timing of development and testing costs associated with our new products, including Vehicle Amplifier-Adaptor and power amplifier products for our Communications Systems business and new products for our Battery &amp; Energy Products business. We expect that research and development expenditures in the future could increase by 10% or more over 2019 levels, based on current initiatives underway. These current initiatives include completing the development and testing of new battery and power solutions in our facilities in Newark, New York, Missouri City, Texas and Newcastle-under-Lyme, UK facilities; our Thionyl Chloride battery project in China and our integrated vehicle VAA systems for our Communications Systems business, and our expectation is that new product development will drive our growth. As in the past, we will continue to make funding decisions for our research and development efforts based upon strategic demand for customer applications.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internally develop non-rechargeable cells and batteries with the goal of broadening our product offering to our customers.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government sponsors research and development programs, which Ultralife participates in, designed to improve the performance and safety of existing battery systems and to develop new battery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internally develop a variety of communications accessories and systems for the global defense market to meet the ever-changing demands of our customers.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Regulatory Matters; Environmental Considerations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materials utilized in our batteries may pose safety problems if improperly used, stored, or handled. We have designed our batteries to minimize safety hazards both in manufacturing and use. Our batteries are subject to the regulations noted below, among others.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7"/>
          <w:szCs w:val="17"/>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assure that the cost of complying with such new regulations would not have a material adverse effect on us. Our commercial chargers are substantially in compliance with the EU RoHS Directive.</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schemes aimed at high level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EU Battery Directive requires that producers or importers of particular classes of electrical goods are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 SJ/T 11364-2014 (“Marking Standard”).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 In 2019 and 2018, we spent approximately $188 and $266, respectively, on environmental compliance, including costs to properly dispose of potentially hazardous waste.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ITAR is a set of United States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Products and services developed and manufactured in our foreign locations are subject to the export and import controls of the nation in which the foreign location operates.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our current sales volumes, our future estimated costs associated with our compliance with ITAR, EAR, and the foreign export and import controls are not significant. However, we continue to evaluate the impact of these regulations, and actual costs could differ from our current estimates.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9-volt battery, among other sizes, is designed to conform to the dimensional and electrical standards of the American National Standards Institute.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Authorized certification bodies such as Underwriters Laboratories, Intertek and SGS recognize several of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aware of any regulatory requirements regarding the disposal of communications products.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June 1, 2019 for the 2018 calendar year and we continue to utilize appropriate measures with our suppliers in order to better ascertain the origin of the conflict minerals in our products.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7"/>
          <w:szCs w:val="17"/>
          <w:color w:val="auto"/>
        </w:rPr>
        <w:t>Historically, although other entities may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entrants from commencing production. Through our experience in battery cell manufacturing, we have also developed significant production and design expertise in the non-rechargeable battery market, which we believe would be difficult for new entrants to reproduce without substantial time and expense.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we employed a total of 573 permanent and temporary employees: 39 in research and development, 455 in production and 79 in sales and administration. None of our employees are represented by a labor union.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faces many risks. As such, prospective investors and shareholders should carefully consider and evaluate all of the risk factors described below as well as other factors discussed in this Annual Report on Form 10-K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is derived from certain key customers.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two customers, Thales Defense &amp; Security, Inc. and L3Harris Technologies, both large defense primary contractors, which comprised 14% and 12% of our total revenues in 2019, respectively, and 7% and 16% of our total revenues in 2018, respectively. There were no other customers that comprised greater than 10% of our total revenues during these years. While we consider our relationship with our major customers to be good, the reduction, delay or cancellation of orders from these customers or their insolvency / inability to pay, for any reason, would reduce our revenue and operating income and could materially and adversely affect our business, operating results and financial condition in other ways.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decline in demand for products using our batteries or communications systems could reduce demand for our products and/or our products could become obsolete resulting in lower revenues and profitability.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substantial portion of our business depends on the continued demand for products using our batteries and communications systems sold by our customers, including original equipment manufacturers.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4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faced by the customer in its particular industry,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the customer’s product or service,</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engineering, sales, marketing and management capabilities of the customer,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technical challenges unrelated to our technology or products faced by the customer in developing its products or services,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and other resources of the customer.</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market for our products is characterized by changing technology and evolving industry standards, often resulting in product obsolescence or short product lifecycles. Although we believe that our products utilize state-of-the-art technology, there can be no assurance that competitors will not develop technologies or products that would render our technologies and products obsolete or less marketable. Many of the companies with which we compete with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Furthermore, we have noted an increase in foreign competition, especially in Asia, over the last several years which tend to compete on price in the battery industry.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in China are subject to unique risks and uncertainties, including political shifts, tariffs and trade restrictions.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the continued impact of the imposition of tariffs by the U.S. Government on 9-Volt batteries that we manufacture in China as well as any retaliating trade policies or restrictions, and an outbreak of a contagious disease which may cause us or our suppliers and/or customers to temporarily suspend operations in the affected city. Any such disruptions could depress our earnings and have other material adverse effects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both"/>
        <w:spacing w:after="0" w:line="293" w:lineRule="auto"/>
        <w:rPr>
          <w:sz w:val="20"/>
          <w:szCs w:val="20"/>
          <w:color w:val="auto"/>
        </w:rPr>
      </w:pPr>
      <w:r>
        <w:rPr>
          <w:rFonts w:ascii="Arial" w:cs="Arial" w:eastAsia="Arial" w:hAnsi="Arial"/>
          <w:sz w:val="16"/>
          <w:szCs w:val="16"/>
          <w:color w:val="auto"/>
        </w:rPr>
        <w:t>For example, during 2014 the landlord for our China facility informed us that the local village government in Shenzhen was exercising its right of eminent domain and that the lease for our facility would not be extended past its expiration in October 2014 due to zoning changes. Accordingly, we developed and executed a plan which we completed in 2015. Under the plan we found a replacement facility, entered into an initial five-year lease, negotiated compensation from the local government for our forfeited leasehold improvements and moving expenses, refurbished the replacement facility to meet our operational needs and relocated all of our operations and employees to the new facility. While this situation was handled on time, on plan and with no known disruption to our business, there can be no assurances that other situations posing such risks to the business will be successfully remediated to the same extent.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incur significant costs or liabilities to satisfy obligations under the terms of the warranties we supply and the contractual terms under which we sell our products and services.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in manufacture or workmanship for a period up to one year from the date of purchase. With respect to our communications systems products, we now offer up to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Excessive warranty claims could have a material adverse effect on our business, financial condition and results of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supply of raw materials and components could be disrupted or delayed due to business conditions, weather, or other factors out of our control, or the cost of those raw materials and components may materially increase.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Due to our supplying defense products to the U.S.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We believe that alternative suppliers are available to supply materials and components that could replace materials and components currently used and that, if necessary, we would be able to redesign our products to make use of such alternatives. However,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deliveries from sole source suppliers in the future. Of particular note is the increased demand for Lithium-based cells from the electric vehicle manufacturers. While this has resulted in increased supply of such cells, we continue to monitor our supply chain closely to ensure that any potential supply interruptions are minimized.</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 the improvement of the U.S. economy, our lead times for certain critical components from our suppliers could be extended resulting in shipping delays causing us to miss contractual timelines. Our internal purchasing process is focused on the current economic environment, and lead times are considered when placing orders from our vendors, but we cannot control the ability of our vendors or potential vendors to be qualified to meet our deadlines.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could face increasing pricing pressure from our suppliers dependent upon volume due to rising costs by these suppliers that could be passed on to us in higher prices for our raw materials, which could increase our cost of business, lower our margins and have other materially adverse effects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efforts to develop new products or new commercial applications for our products could be prolonged or could fail.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develop certain products for new commercial applications, we cannot assure that these new products will be accepted due to the highly competitive nature of the industry. There are many new product and technology entrants into the markets into which we sell our products, and we must continually reassess the markets in which our products can be successful and seek to engage customers in those markets that will adopt our products for use in their products. In addition, these customers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 and reduce our revenue and operating income.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i w:val="1"/>
          <w:iCs w:val="1"/>
          <w:color w:val="auto"/>
        </w:rPr>
        <w:t>Reductions or delays in U.S. and foreign military spending could have a material adverse effect on our business, financial condition and results of operations.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our revenues is derived from contracts with the U.S. and foreign militaries or OEMs that supply the U.S. and foreign militaries. In the years ended December 31, 2019 and 2018, approximately $47,100 or 44% and $46,100 or 53%, respectively, of our revenues were comprised of sales made directly or indirectly to the U.S. and foreign militaries.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significant gains have been made in commercial markets with our Battery &amp; Energy Products business, we are still highly dependent on sales to U.S. Government customers. The amounts and percentages of our net revenue that were derived from sales to U.S. Government customers, including the Department of Defense, whether directly or through prime contractors, was approximately $41,300 or 39% in 2019 and $39,900 or 46% in 2018. Therefore, any significant disruption or deterioration of our relationship with the U.S. Government or any prime defense contractor could significantly reduce our revenue. Our competitors continuously engage in efforts to expand their business relationships with the U.S. Government and will continue these efforts in the future, and the U.S. Government may choose to use other contractors or suppliers.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Budget and appropriations decisions made by the U.S. Government, including possible future sequestration periods or other similar formulaic reductions in federal expenditures, are outside of our control and have long-term consequences for our business. A decline in U.S. military expenditures could result in a reduction in the military’s demand for our products, which could have a material adverse effect on our business, financial condition and results of operations.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Breaches in security, whether cyber or physical, and other disruptions and/or our inability to prevent or respond to such breaches, could diminish our ability to generate revenues or contain costs, compromise our assets, and negatively impact our business in other ways.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face certain security threats, including threats to our information technology infrastructure, attempts to gain access to our proprietary or classified information, and threats to physical and cyber security. Our information technology networks and related systems are critical to the operation of our business and essential to our ability to successfully perform day-to-day operations. The risks of a security breach, cyber- 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our results of operations and liquidity. In 2017, we formed a cyber security executive management committee with oversight responsibility to minimize the risk of breaches. In 2018, the Committee with the assistance of outside security consultants completed a comprehensive Systems Security Plan (“SSP”) and a Plan of Action Memorandum (“POAM”) in compliance with the requirements of National Institute of Standards and Technology (“NIST”) Special Publication 800-171, Protecting Controlled Unclassified Information in Nonfederal Information Systems and Organizations. In 2019, the Company made further progress in implementing many of the security measures in our SSP and POAM, including increasing the security awareness across our employee base. The Committee continues to review all key aspects of cyber security utilizing our outside security consultants to ensure a robust plan is in place and provides quarterly updates to our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and annual results and the price of our common stock could fluctuate significantly.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operating results may vary significantly from quarter-to-quarter and from year-to-year depending on factors such as the timing and shipment of significant orders, new product introductions, the transition of new products to higher-volume production, major project wins, U.S. and foreign government demand,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changes in revenue. Due to such variances in operating results, we have sometimes failed to meet, and in the future may not meet, market expectations regarding our future operating results.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all of which may be unrelated to our operating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i w:val="1"/>
          <w:iCs w:val="1"/>
          <w:color w:val="auto"/>
        </w:rPr>
        <w:t>Our entrance into new markets could lead to additional exposure to financial risk or increased liability, and our failure to enter into those markets could lead to negative customer perception or loss of business from existing customers.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new products supporting our commercial diversification strategy will likely result in the introduction of our products in new end markets that we have not participate in before. These new market opportunities may carry certain risks that we may not have experienced in the past or that we may be fully aware. While we perform intensive due diligence in the launch of our products in new end markets and mitigate our risks with our contracts and insurance coverage, we may not be fully aware of the risks that may exist until we gain more experience in these markets.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Fluctuations in the price of oil &amp; gas and the resulting volatility in the level of downhole drilling could have a material adverse effect on our business, financial condition and results of operations.</w:t>
      </w:r>
    </w:p>
    <w:p>
      <w:pPr>
        <w:spacing w:after="0" w:line="17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pricing ups and downs typically encountered in the oil &amp; gas industry, especially over the past few years, have placed financial strain not only on the producers, but also the companies that provide oilfield services and equipment to them. The cyclicality in this industry, whether driven by geopolitical developments; international tensions; supply and demand economics; the introduction of new global, national, and industry-specific regulations; and technology, is an ongoing reality. A significant downturn in the price of oil resulting in a decrease in downhole drilling could have an impact on our financial results. In response, we would expect to mitigate a portion, but not all of this risk, by seeking product/market diversification including subsea electrification.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safety risks, including the risk of fire, inherent in the manufacture, use and transportation of Lithium batteries.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 our available cash and our operating and net income and have other material adverse effects on our reputation, business, financial condition and results of operation.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loss of top management and key personnel could significantly harm our business, and our ability to put in place a succession plan and recruit experienced, competent management is critical to the success of the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continuity of our officers and executive team is vital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This formal succession plan is updated annually and presented to our Board of Directors. There is no guarantee that we will be successful in our efforts to effectively implement our succession plan.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and expansion strategy could strain or overwhelm our resources.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Rapid growth of our business could significantly strain management, operations and technical resources. If we are successful in obtaining rapid market growth of our products, we will likely be required to deliver large volumes of quality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We also may be required to continue to improve our operations, management and financial systems and controls in order to remain competitive. The failure to manage growth and expansion effectively could have an adverse effect on our business, financial condition, and results of operations. We address these risks in the annual update of our three-year Strategic Plan which is presented to our Board of Directors.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customers may not meet the volume expectations in our supply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and we may not be able to adjust prices in various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impairment of goodwill and indefinite-lived intangible assets, and other intangible assets, could negatively impact our results of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goodwill and indefinite-lived intangible assets are subject to an impairment test on an annual basis and are also tested whenever events and circumstances indicate that goodwill and other indefinite-lived intangible assets may be impaired. Any excess goodwill and/or indefinite-lived intangible assets value resulting from the impairment test must be written off in the period of determination. Intangible assets (other than goodwill and indefinite-lived intangible assets) are generally amortized over the useful life of such assets. In addition, from time to time, we may acquire or make an investment in a business which will require us to record goodwill based on the purchase price and the value of the acquired tangible and intangible assets. We may subsequently experience unforeseen issues with an acquisition which may adversely affect the anticipated results of the business or value of the intangible assets and trigger an evaluation of the recoverability of the recorded goodwill and intangible assets for such business. There is a possibility that our goodwill and other intangible assets could be impaired should there be a significant change in our internal forecasts and other assumptions we use in our impairment analysis. Future determinations of significant write-offs of goodwill or intangible assets as a result of an impairment test or accelerated amortization of other intangible assets could have a negative impact, although not affecting cash, on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publicity of Lithium ion batteries may negatively impact the industries or markets we operate 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unable to predict the impact, severity or duration of negative publicity related to fire/mishandling of Lithium ion batteries or the environmental impact of their disposal, and how it may impact the industries or markets we serve. Ongoing negative attention being given to Lithium ion batteries that are used in certain cellular phones or are integrated into the power systems of new commercial aircraft and electric motor vehicles may have an impact on the Lithium ion battery industry as a whole, regardless of the design or usage of those batteries. The residual effects of such events could have an adverse effect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We are subject to foreign currency fluctuations.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maintain manufacturing operations in North America, Europe and China, and we export products to various countries. We purchase materials and sell our products in foreign currencies, and therefore currency fluctuations may impact our pricing of products sold and materials purchased. Sales to non-U.S. customers make up a significant percentage of our total revenues. For example, the percentage of our business with customers outside of the U.S. slightly increased in 2019 to 41% compared to 39% in 2018. A future strengthening of the U.S. Dollar relative to our customers’ currencies could make our products relatively more expensive to them, and may adversely affect our sales levels and reduce profitability. In addition, our United Kingdom and China subsidiaries maintain their books in local currency and the translation of the subsidiary financial statements into U.S. dollars for our consolidated financial statements could have an adverse effect on our consolidated financial results due to changes in local currency value relative to the U.S. dollar. With the rapid pace of geopolitical events, it is difficult at this time to assess any future impact to the Company, despite our proactive efforts to minimize the short-term risks of currency fluctuations.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our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be sufficiently broad to protect our technology, (2) that any patents issued to us will not be challenged, invalidated or circumvented, or (3) as to the degree or adequacy of protection any patents or patent applications may or will afford. Further, if we are found to be infringing third party patents, we cannot assure that we will not be subjected to significant damages or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develop battery products and communications systems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ability to use our net operating loss and tax credit carryforwards in the future may be limited, which could increase our tax liabilities and reduce our cash flow and net income.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2019, we had approximately $58,400 of U.S. net operating loss carryforwards and $1,907 of U.S. tax credit carryforward available to offset future taxable income, as well as net operating loss carryforwards of $10,600 in the U.K. We continually assess the carrying value of these assets based on the relevant accounting standards. At December 31, 2018, the Company recognized the release of the valuation allowance on our net operating loss carryforwards and other U.S. deferred tax assets on the basis of management’s assessment. Based on the results of our assessment, management concluded that, due to projected profitability, it is more likely than not that our U.S. deferred tax assets will be fully realized. While we achieved profitable growth in 2019 for the fifth consecutive year, failure to achieve our business targets could result in future charges to our income tax provision if any of the net operating loss or tax credit carryforwards are not utilized. See discussion in Management’s Discussion &amp; Analysis on Page 26.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We could be adversely affected by violations of the US Foreign Corrupt Practices Act (“FCPA”), the U.K. Bribery Act or other anti-corruption laws.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 party partners or agents), we could suffer from civil and criminal penalties or other sanctions, incur significant internal investigation costs and suffer reputational harm.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Compliance with government regulations regarding the use of </w:t>
      </w:r>
      <w:r>
        <w:rPr>
          <w:rFonts w:ascii="Arial" w:cs="Arial" w:eastAsia="Arial" w:hAnsi="Arial"/>
          <w:sz w:val="18"/>
          <w:szCs w:val="18"/>
          <w:color w:val="auto"/>
        </w:rPr>
        <w:t>"</w:t>
      </w:r>
      <w:r>
        <w:rPr>
          <w:rFonts w:ascii="Arial" w:cs="Arial" w:eastAsia="Arial" w:hAnsi="Arial"/>
          <w:sz w:val="18"/>
          <w:szCs w:val="18"/>
          <w:i w:val="1"/>
          <w:iCs w:val="1"/>
          <w:color w:val="auto"/>
        </w:rPr>
        <w:t>conflict minerals</w:t>
      </w:r>
      <w:r>
        <w:rPr>
          <w:rFonts w:ascii="Arial" w:cs="Arial" w:eastAsia="Arial" w:hAnsi="Arial"/>
          <w:sz w:val="18"/>
          <w:szCs w:val="18"/>
          <w:color w:val="auto"/>
        </w:rPr>
        <w:t>"</w:t>
      </w:r>
      <w:r>
        <w:rPr>
          <w:rFonts w:ascii="Arial" w:cs="Arial" w:eastAsia="Arial" w:hAnsi="Arial"/>
          <w:sz w:val="18"/>
          <w:szCs w:val="18"/>
          <w:i w:val="1"/>
          <w:iCs w:val="1"/>
          <w:color w:val="auto"/>
        </w:rPr>
        <w:t xml:space="preserve"> may result in increased costs and risks to the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The disclosure rules were effective in May 2014.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the supply chain is complex, we may face reputational challenges if we are unable to sufficiently verify the origins of conflict minerals used in our products. Additionally, customers may demand that the products they purchase be free of conflict minerals. This may limit the number of suppliers that can provide products in sufficient quantities to meet customer demand or at competitive prices.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U.S. and foreign governments can audit our contracts with their respective defense and government agencies and, under certain circumstances, can adjust the economic terms, delivery schedule or other terms of those contracts.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known and unknown environmental matters.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except as noted below,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our customers or us. Such changes in regulations could reduce our operating income and margins and have other material adverse effects on our business, financial condition and results of operations. We could incur substantial costs as a result of violations of environmental laws, including clean-up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China RoHS 2 directive provides a regulatory framework, including similar hazardous substance restrictions as are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(“Marking Standard”).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2019, we own two buildings in Newark, New York comprising approximately 250,000 square feet, which serve operations primarily in the Battery &amp; Energy Products operating segment. Our corporate headquarters are located in our Newark, New York facility. We own one building in Missouri City, Texas comprising 69,000 square feet, which houses our recently acquired SWE business. We also lease approximately 97,000 square feet in two buildings on one campus in Shenzhen, China and approximately 25,000 square feet in six buildings in a contiguous area in Newcastle-under-Lyme, United Kingdom, which serve operations in the Battery &amp; Energy Products operating segment. The Shenzhen, China campus location includes a dormitory facility.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our Battery &amp; Energy Products are conducted at our Newark, New York, Missouri City, Texas, Newcastle-under-Lyme, United Kingdom and Shenzhen, China facilities, while our research and development efforts for our Communications Systems products are conducted in our leased facilities in Tallahassee, Florida and in Virginia Beach, Virginia. We believe that our facilities are adequate and suitable for our current needs. However, we may require additional manufacturing and administrative space if demand for our products and services grows.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in the period in which any such effects are recorded. We are not aware of any such situations at this time.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Ultralife’s common stock is listed on the NASDAQ Global Market under the symbol “ULBI.”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6, 2020, there were approximately 3,200 registered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and under which the Company was authorized to repurchase up to 2.5 million shares of its outstanding common stock over a period not to exceed twelve months. The Share Repurchase Program concluded on October 31, 2019.</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the inception of the Share Repurchase Program on November 1, 2018 though its conclusion on October 31, 2019, we repurchased a total of 372,974 shares of our common stock for an aggregate consideration (including fees and commissions) of $2,699. In 2018, we repurchased a total of 105,674 shares of our common stock for an aggregate consideration of $742 (including fees and commissions). In 2019, we repurchased a total of 267,300 shares of our common stock for an aggregate consideration (including fees and commissions) of $1,957.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2018 and 2019 purchases of our common stock under this program: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Total Number of</w:t>
            </w:r>
          </w:p>
        </w:tc>
      </w:tr>
      <w:tr>
        <w:trPr>
          <w:trHeight w:val="216"/>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86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As Part of</w:t>
            </w:r>
          </w:p>
        </w:tc>
      </w:tr>
      <w:tr>
        <w:trPr>
          <w:trHeight w:val="216"/>
        </w:trPr>
        <w:tc>
          <w:tcPr>
            <w:tcW w:w="486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Publicly</w:t>
            </w:r>
          </w:p>
        </w:tc>
      </w:tr>
      <w:tr>
        <w:trPr>
          <w:trHeight w:val="216"/>
        </w:trPr>
        <w:tc>
          <w:tcPr>
            <w:tcW w:w="486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Price Paid</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Announced</w:t>
            </w:r>
          </w:p>
        </w:tc>
      </w:tr>
      <w:tr>
        <w:trPr>
          <w:trHeight w:val="234"/>
        </w:trPr>
        <w:tc>
          <w:tcPr>
            <w:tcW w:w="486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Program</w:t>
            </w:r>
          </w:p>
        </w:tc>
      </w:tr>
      <w:tr>
        <w:trPr>
          <w:trHeight w:val="210"/>
        </w:trPr>
        <w:tc>
          <w:tcPr>
            <w:tcW w:w="48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November 2018</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29,691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29,691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December 2018</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75,983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6.89</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75,983</w:t>
            </w:r>
          </w:p>
        </w:tc>
      </w:tr>
      <w:tr>
        <w:trPr>
          <w:trHeight w:val="20"/>
        </w:trPr>
        <w:tc>
          <w:tcPr>
            <w:tcW w:w="48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for 2018</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105,674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105,674</w:t>
            </w:r>
          </w:p>
        </w:tc>
      </w:tr>
      <w:tr>
        <w:trPr>
          <w:trHeight w:val="20"/>
        </w:trPr>
        <w:tc>
          <w:tcPr>
            <w:tcW w:w="48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January 2019</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267,100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7.29</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267,100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February 2019</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r>
      <w:tr>
        <w:trPr>
          <w:trHeight w:val="20"/>
        </w:trPr>
        <w:tc>
          <w:tcPr>
            <w:tcW w:w="48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 for 2019</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267,300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7.29</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267,300</w:t>
            </w:r>
          </w:p>
        </w:tc>
      </w:tr>
      <w:tr>
        <w:trPr>
          <w:trHeight w:val="20"/>
        </w:trPr>
        <w:tc>
          <w:tcPr>
            <w:tcW w:w="48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372,974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372,974</w:t>
            </w:r>
          </w:p>
        </w:tc>
      </w:tr>
      <w:tr>
        <w:trPr>
          <w:trHeight w:val="20"/>
        </w:trPr>
        <w:tc>
          <w:tcPr>
            <w:tcW w:w="48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in Item 8 of this Form 10-K.</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thin cell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product offerings.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We acquired Accutronics to advance our strategy of commercial revenue diversification, to expand our geographic penetration, and to achieve revenue growth from new product development.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w:t>
      </w:r>
    </w:p>
    <w:p>
      <w:pPr>
        <w:jc w:val="both"/>
        <w:ind w:firstLine="8"/>
        <w:spacing w:after="0" w:line="253" w:lineRule="auto"/>
        <w:tabs>
          <w:tab w:leader="none" w:pos="191"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 remote monitoring, process control and marine, which demand uncompromised safety, service, reliability and quality. We acquired SWE as a bolt-on acquisition to further support our strategy of commercial revenue diversification by providing entry to the oil and gas exploration and production, and subsea electrification markets, which were previously unserved by us.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Currently, we do not experience significant seasonal sales trends in any of our operating segments, although sales to the U.S. Defense Department and other international defense organizations can be sporadic based on the needs of those particular customers.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Consolidated revenues increased by $19,605 or 22.5% to $106,795 for the year ended December 31, 2019 compared to $87,190 for the year ended December 31, 2018. During 2019, we experienced revenue growth of 19.1% for our Battery &amp; Energy products business and 36.6% for our Communications Systems business. This 2019 performance reflected a $18,638 or 45.4% increase in sales to our commercial customers and a $967 or 2.1% increase in sales to government and defense customers. The increase in our commercial business was due primarily to the acquisition of SWE in May 2019, partially offset by lower demand for 9-Volt batteries, especially in U.S. markets impacted from the tariffs imposed on China sourced products. The increase in government and defense sales primarily resulted from 2019 shipments under two October 2018 contract awards totaling $19,200 for our Communications Systems business to supply Vehicle Amplifier-Adaptors (“VAA”) and Mounted Power Amplifiers to a large global defense contractor to support the U.S. Army’s Network Modernization initiatives, Leader Radio Program and other opportunities. This was partially offset by the 2018 fulfillment of a $3,348 contract received in January 2018 from the U.S. Government’s Defense Logistics Agency to supply our legacy BA-5390 batteries and shipments to fulfill VIPER and SFAB awards in 2018. A follow-up order for $4,869 of our legacy BA-5390 was received in December 2019 for shipment in 2020.</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slightly decreased to 29.2% for the year ended December 31, 2019 from 29.3% for the year ended December 31, 2018. The 10-basis point decrease was due primarily to costs incurred for the transition of new products to high volume production in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by $4,769 or 25.1% to $23,797 during the year ended December 31, 2019, compared to $19,028 during the year ended December 31, 2018. This increase was due primarily to our acquisition of SWE in May 2019 and a $817 or 18.1% increase in new product development spending for our core businesses. Operating expenses as a percentage of revenues increased 50 basis points from 21.8% in 2018 to 22.3% in 2019 due to our higher investment in new product development in 2019.</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provision was $1,457 for the year ended December 31, 2019 compared to an income tax benefit of $18,386 for the year ended December 31, 2018. A non-cash tax benefit of $18,652 was included in our 2018 results reflecting our release of the valuation allowance on our U.S. deferred tax assets as of December 31, 2018 based on management’s assessment of a number of factors including the expectation of future sustained profitability of our business sufficient to utilize our net operating losses and tax credits. The release of the valuation allowance in 2018 resulted in the use of the U.S. statutory tax rate in accordance with U.S. Generally Accepted Accounting Principles (“GAAP”) to report the tax provision on domestic generated income in 2019. Accordingly, the 2019 effective tax rate was 21.5%. Excluding the one-time tax benefit in 2018, and including the use of U.S. net operating loss carryforwards, the tax provisions for 2019 and 2018 would have been $221 or a 3.3% effective rate and $266 or a 4.0% effective rate, respectively, primarily reflecting income generated by our foreign operations.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income attributable to Ultralife was $5,205 for 2019 and $24,930 for 2018, which includes the non-cash tax benefit of $18,652 reflecting the prior year release of the U.S. valuation allowance. Reported earnings per share for 2019 was $0.33 per basic share ($0.32 per diluted share), compared to $1.57 per basic share ($1.53 per diluted share) which includes $0.40 from our operating performance plus $1.17 related to the tax benefit. Recognizing the use of net operating losses and tax credits on U.S. generated income, Adjusted earnings per share for 2019 was $0.41 per basic share ($0.40 per diluted share). See the section “Adjusted Earnings Per Share” beginning on page 32 for a reconciliation of Adjusted EPS to EPS and to net income attributable to Ultralife.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defined as net income attributable to Ultralife before net interest expense, provision (benefit) for income taxes, depreciation and amortization, plus/minus expenses/income that we do not consider reflective of our continuing operations, amounted to $11,007 for the year ended December 31, 2019 compared to $9,902 for the prior period. See the section “Adjusted EBITDA” beginning on page 31 for a reconciliation of Adjusted EBITDA to Net Income Attributable to Ultralife.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liquidity remains solid, with cash on hand of $7,405, working capital of $53,183 and a current ratio of 4.1. As of December 31, 2018, prior to the acquisition of SWE, the Company had cash on hand of $25,934, working capital of $51,774 and a current ratio of 4.4.</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Having invested in engineering resources to support new product development, we are focused on capturing new opportunities and continued end-market diversification in 2020. These new opportunities combined with a Battery &amp; Energy Products backlog that is higher than the beginning of 2019 give us confidence that we will extend our track record of profitable growth.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7"/>
              </w:rPr>
              <w:t>Year Ended December 31, 2019 Compared with the Year Ended December 31, 2018:</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(Decrease)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83,996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70,497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13,499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106,795</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87,190</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19,605</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61,183</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50,923</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14,447</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75,630</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61,607</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Battery &amp; Energy Products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22,813</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19,574</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Systems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8,352</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31,165</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25,583</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23,797</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19,028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7,368</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6,555</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Income Before Taxes</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6,771</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6,613</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(18,386)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19,843</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5,314</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24,999</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(19,685)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tcPr>
          <w:p>
            <w:pPr>
              <w:ind w:left="500"/>
              <w:spacing w:after="0"/>
              <w:rPr>
                <w:sz w:val="20"/>
                <w:szCs w:val="20"/>
                <w:color w:val="auto"/>
              </w:rPr>
            </w:pPr>
            <w:r>
              <w:rPr>
                <w:rFonts w:ascii="Arial" w:cs="Arial" w:eastAsia="Arial" w:hAnsi="Arial"/>
                <w:sz w:val="18"/>
                <w:szCs w:val="18"/>
                <w:color w:val="auto"/>
              </w:rPr>
              <w:t>Net Income Attributable to Ultralife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5,205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24,930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Ultralife Common Shares – Basic</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0.33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 Attributable to Ultralife Common Shares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15,782,583</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15,881,976</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(99,393)</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16,179,119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16,346,980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(167,861)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Total revenues for the year ended December 31, 2019 amounted to $106,795, an increase of $19,605, or 22.5% from the $87,190 reported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2018.</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Battery &amp; Energy Products revenues increased $13,499, or 19.1%, for the year ended December 31, 2019. Commercial revenues of this business increased 45.4% from 2018 and now comprise 71.1% of total segment sales versus 58.2% last year. The year-over-year increase primarily resulted from the acquisition of SWE in May 2019 partially offset by a 22.0% decline in 9-Volt sales, especially in U.S. markets impacted by the tariffs imposed on China sourced products. Government and defense sales of this business decreased 17.4% from 2018 and now comprise 28.9% of total segment sales versus 41.8% last year. The decrease primarily reflects the timing of orders including a $3,348 contract received in January 2018 from the U.S. Government’s Defense Logistics Agency to supply our legacy BA-5390 batteries in 2018. A follow-up order for $4,869 of our legacy BA-5390 was received in December 2019 for shipment in 2020.</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Communications Systems revenues increased $6,106 or 36.6% for the year ended December 31, 2019. The increase primarily resulted from 2019 shipments under two October 2018 contract awards totaling $19,200 to supply Vehicle Amplifier-Adaptors (“VAA”) and Mounted Power Amplifiers to a large global defense contractor to support the U.S. Army’s Network Modernization initiatives, Leader Radio Program and other opportunities. Approximately 71% of the products provided for in these contracts were shipped in 2019, which exceeded shipments to fulfill VIPER and SFAB in 2018, with the remainder to be shipped in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jc w:val="both"/>
        <w:spacing w:after="0" w:line="269" w:lineRule="auto"/>
        <w:rPr>
          <w:sz w:val="20"/>
          <w:szCs w:val="20"/>
          <w:color w:val="auto"/>
        </w:rPr>
      </w:pPr>
      <w:r>
        <w:rPr>
          <w:rFonts w:ascii="Arial" w:cs="Arial" w:eastAsia="Arial" w:hAnsi="Arial"/>
          <w:sz w:val="17"/>
          <w:szCs w:val="17"/>
          <w:color w:val="auto"/>
        </w:rPr>
        <w:t>Our order backlog at December 31, 2019 was $42,558, a decrease of $8,386 or 16.5% from the backlog at December 31, 2018, which was $50,944. For our Battery &amp; Energy Products business, the backlog increased $6,489 or 22.2% to $35,744 from $29,255. The increase primarily resulted from the December 2019 legacy BA-5390 delivery contract received from the Defense Logistics Agency in December 2019 and the inclusion of the SWE backlog, which was acquired on May 1, 2019. The 2019 year-end backlog is related to orders that are expected to ship throughout 2020 and does not include future shipments under the indefinite delivery/indefinite quantity Defense Logistic Awards for our BA-5390 batteries ($21,400) and BA-5790/BA-5795 batteries ($49,800). For our Communications Systems business, the backlog decreased $14,875 or 68.6% to $6,814 from $21,689. The decrease is primarily a result of 2019 shipments under two October 2018 contract awards totaling $19,200 to supply our Vehicle Amplifier-Adaptors (“VAA”) and Mounted Power Amplifiers to a large global defense contractor to support the U.S. Army’s Network Modernization initiatives, Leader Radio Program and other opportunities. The 2019 backlog includes the remainder of the shipments under these contracts as well as a purchase order received on an October 2018 indefinite-delivery/indefinite quantity contract for vehicle communication kits for use by the U.S. Department of Defense. The 2019 year-end backlog is related to orders that are expected to ship throughout 2020.</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Products Sold and Gross Profit. </w:t>
      </w:r>
      <w:r>
        <w:rPr>
          <w:rFonts w:ascii="Arial" w:cs="Arial" w:eastAsia="Arial" w:hAnsi="Arial"/>
          <w:sz w:val="18"/>
          <w:szCs w:val="18"/>
          <w:color w:val="auto"/>
        </w:rPr>
        <w:t>Cost of products sold for the year ended December 31, 2019 increased $14,023 or 22.8% from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Consolidated cost of products sold as a percentage of total revenue slightly increased from 70.7% for the year ended December 31, 2018 to 70.8% for the year ended December 31, 2019. Correspondingly, consolidated gross margin was 29.2% for the year ended December 31, 2019, compared with 29.3% for the year ended December 31, 2018. The 10-basis point decline in gross margin is due primarily to the transition of new products to high-volume production for both businesses.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Battery &amp; Energy Products segment, the cost of products sold increased $10,260 or 20.1%, from the year ended December 31, 2018. Battery &amp; Energy Products’ gross profit for 2019 was $22,813 or 27.2% of revenues, an increase of $3,239 or 16.5% from gross profit of $19,574, or 27.8% of revenues, for 2018. As a result, Battery &amp; Energy Products’ gross margin as a percentage of revenues decreased for the year ended December 31, 2019 by 60 basis points from the prior year to 27.2%, reflecting costs associated with the transition of new products to higher volume production, including recently qualified military batteries and our new CR123A product.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Communications Systems segment, the cost of products sold increased by $3,763 or 35.2% from the year ended December 31, 2018. Communications Systems’ gross profit for the year ended December 31, 2019 was $8,352 or 36.6% of revenues, an increase of $2,343 or 39.0% from gross profit of $6,009 or 36.0% of revenues, for the year ended December 31, 2018. The 60 basis points increase in gross margin as a percentage of revenue during 2019 to 36.6% is primarily due to sales product mix, partially offset by the costs to transition new products to high volume production, including vehicle amplifier-adaptors and mounted power amplifier new products supporting the U.S. Army’s Network Modernization initiatives, Leader Radio Program and other opportunities.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December 31, 2019 increased $4,769 or 25.1% from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due primarily to our acquisition of SWE in May 2019 and a $817 or 18.1% increase in new product development spending for our core businesses.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operating expenses as a percentage of revenues were 22.3% for the year ended December 31, 2019 compared to 21.8% for the comparable 2018 period. Amortization expense associated with intangible assets related to our acquisitions increased to $525 for the year ended December 31, 2019 ($395 in selling, general and administrative expenses and $130 in research and development costs) from $397 for the year ended December 31, 2018 ($250 in selling, general and administrative expenses and $147 in research and development costs). This increase was due to our acquisition of SWE in May 2019. Research and development costs were $6,805 in 2019, an increase of $2,297 or 51.0%, from $4,508 reported in 2018. This increase was due primarily to our acquisition of SWE in May 2019 and a $817 or 18.1% increase in new product development spending for both of our core businesses. Selling, general, and administrative expenses increased $2,472 or 17.0%, to $16,992 for the year ended December 31, 2019 from $14,520 for the year ended December 31, 2018. The increase resulted from our acquisition of SWE. We continued tight control over discretionary spending across the Company.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Expense (Income). </w:t>
      </w:r>
      <w:r>
        <w:rPr>
          <w:rFonts w:ascii="Arial" w:cs="Arial" w:eastAsia="Arial" w:hAnsi="Arial"/>
          <w:sz w:val="18"/>
          <w:szCs w:val="18"/>
          <w:color w:val="auto"/>
        </w:rPr>
        <w:t>Other expense (income) totaled $597 for the year ended December 31, 2019 compared to ($58)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Interest and financing expense, net of interest income, increased $476 to $539 for 2019 from $63 for 2018 due to interest expense on the financing for our acquisition of SWE in May 2019. Miscellaneous expense (income) amounted to $58 for 2019 compared with ($121) for 2018, primarily due to transactions impacted by foreign currency fluctuation between the U. S. Dollar, Pound Sterling and Euro.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income tax provision was $1,457 for the year ended December 31, 2019 compared to an income tax benefit of $18,386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 non-cash tax benefit of $18,652 was included in our 2018 results reflecting our release of the valuation allowance on our U.S. deferred tax assets as of December 31, 2018 based on management’s assessment of a number of factors including the expectation of future sustained profitability of our business sufficient to utilize our domestic net operating losses and tax credits. The release of the valuation allowance in 2018 resulted in the use of the U.S. statutory tax rate in accordance with GAAP to report the tax provision on domestic generated income in 2019. Accordingly, the 2019 effective tax rate was 21.5%. Excluding the one-time tax benefit in 2018, and including the use of U.S. net operating loss carryforwards, the tax provisions for 2019 and 2018 would have been $221 or a 3.3% effective rate and $266 or a 4.0% effective rate, respectively, primarily reflecting income generated by our foreign operations.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December 31, 2018, the Company recognized the release of the valuation allowance on our net operating loss carryforwards and other U.S. deferred tax assets on the basis of management’s assessment. In evaluating the realizability of our U.S. deferred tax assets, management considered all available evidence and concluded that positive factors, including further demonstration of sustained profitability in our core business and continued improvement in our ability to achieve internal earnings forecasts, outweighed all negative factors, including our history of operating losses (prior to 2015) and historical operating volatility in our core business. Our assessment also considered our expectation to utilize our domestic net operating loss carryforwards, which expire 2020 thru 2035, and our general business tax credits, which expire 2028 thru 2037. Based on the results of our assessment, management concluded that it is more likely than not that our U.S. deferred tax assets will be fully realized. As anticipated, domestic net operating loss carryforwards due to expire 2019 were fully utilized. As of December 31, 2019, management continues to believe it is more likely than not that our U.S. deferred tax assets will be fully realized, including our domestic net operating loss carryforwards of $58,400 and general business tax credits of $1,907. Reversal of the valuation allowance on our U.S. deferred tax assets indicates our positive sentiment about Ultralife’s future profitability.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and 2018, for certain past operations in the U.K., we continue to report a valuation allowance for net operating loss carryforwards of $10,600, nearly all of which can be carried forward indefinitely. Management has concluded that the realizability of the UK net operating loss carryforwards is not more likely than not, as utilization of the net operating losses may be limited due to the change in the past U.K. operation. These net operating losses in the U.K. cannot currently be used to reduce taxable income at our other U.K. subsidiary, Accutronics Ltd. There are no other deferred tax assets related to the past U.K. operations. As of December 31, 2019 and 2018,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Net Income Attributable to Ultralife</w:t>
      </w:r>
      <w:r>
        <w:rPr>
          <w:rFonts w:ascii="Arial" w:cs="Arial" w:eastAsia="Arial" w:hAnsi="Arial"/>
          <w:sz w:val="16"/>
          <w:szCs w:val="16"/>
          <w:color w:val="auto"/>
        </w:rPr>
        <w:t>. Net income attributable to Ultralife was $5,205 for 2019 and $24,930 for 2018, which includes the non-cash tax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of $18,652. Reported earnings per share for 2019 was $0.33 per basic share ($0.32 per diluted share), compared to $1.57 per basic share ($1.53 per diluted share) which includes $0.40 from our operating performance plus $1.17 related to the tax benefit. Recognizing the use of net operating losses and tax credits on U.S. generated income, Adjusted earnings per share for 2019 was $0.41 per basic share ($0.40 per diluted share). See the section “Adjusted Earnings Per Share” beginning on page 31 for a reconciliation of Adjusted EPS to EPS and to net income attributable to Ultralife. Average common shares outstanding used to compute diluted earnings per share decreased from 16,346,980 in the 2018 period to 16,179,119 in the 2019 period, due primarily to shares repurchased under the Company’s Share Repurchase Program which commenced on November 1, 2018 and concluded on October 31,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attributable to Ultralife before net interest expense, provision (benefit) for income taxes, depreciation and amortization, and stock-based compensation expense.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GAAP.</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87" w:lineRule="exact"/>
        <w:rPr>
          <w:sz w:val="20"/>
          <w:szCs w:val="20"/>
          <w:color w:val="auto"/>
        </w:rPr>
      </w:pPr>
    </w:p>
    <w:p>
      <w:pPr>
        <w:jc w:val="both"/>
        <w:ind w:left="1080" w:hanging="316"/>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1080" w:hanging="316"/>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5,205</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24,930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Income tax provision (benefit)</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1,457</w:t>
            </w: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(18,386)</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2,220</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Amortization of intangible assets &amp; financing fees</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569</w:t>
            </w:r>
          </w:p>
        </w:tc>
        <w:tc>
          <w:tcPr>
            <w:tcW w:w="9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Non-cash purchase accounting adjustments</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9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EBIDTA</w:t>
            </w:r>
          </w:p>
        </w:tc>
        <w:tc>
          <w:tcPr>
            <w:tcW w:w="100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11,007</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EPS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evaluating our business, we consider and use Adjusted EPS, a non-GAAP financial measure, as a supplemental measure of our business performance in addition to GAAP financial measures. We define Adjusted EPS as net income attributable to Ultralife Corporation excluding the provision for deferred taxes divided by our weighted average shares outstanding on both a basic and diluted basis. We believe that this information is useful in providing period-to-period comparisons of our results by reflecting the portion of our tax provision that will be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2"/>
              </w:rPr>
              <w:t>Year Ended December 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6"/>
              </w:rPr>
              <w:t>Per</w:t>
            </w:r>
          </w:p>
        </w:tc>
        <w:tc>
          <w:tcPr>
            <w:tcW w:w="160" w:type="dxa"/>
            <w:vAlign w:val="bottom"/>
          </w:tcPr>
          <w:p>
            <w:pPr>
              <w:spacing w:after="0"/>
              <w:rPr>
                <w:sz w:val="16"/>
                <w:szCs w:val="16"/>
                <w:color w:val="auto"/>
              </w:rPr>
            </w:pPr>
          </w:p>
        </w:tc>
        <w:tc>
          <w:tcPr>
            <w:tcW w:w="9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Per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Basic</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Diluted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Basic</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Share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(18,643)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Adjusted net income attributable to Ultralife</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20" w:type="dxa"/>
            <w:vAlign w:val="bottom"/>
            <w:vMerge w:val="restart"/>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6,287</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Corporation</w:t>
            </w:r>
          </w:p>
        </w:tc>
        <w:tc>
          <w:tcPr>
            <w:tcW w:w="1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and General Business Matters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cash totaled $7,405 (including restricted cash of $270), a decrease of $18,529, or 71.4%, from the beginning of the year primarily attributable to the Company’s acquisition of SWE, strategic capital expenditures, increase in core inventory to complete shipments on a contract with a large global defense prime and the timing of collecting the accounts receivable relating to that contract. During the year ended December 31, 2019, we used $2,970 of cash from operating activities as compared to generating $10,886 of cash for the year ended December 31, 2018, a decrease of $13,856. In 2019, cash used from operating activities was primarily a result of our net income of $5,314 plus non-cash expenses of depreciation, amortization, and stock-based compensation totaling $3,542 and deferred taxes of $1,211, offset by a $13,037 increase in working capital. The working capital increase reflects the increase in our core inventory to complete shipments on a contract with a large global defense prime and the timing of collecting the accounts receivable relating to that contract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increased from $4,185 in 2018 to $31,529 in 2019, attributable to our acquisition of SWE and increased capital expenditures. The year-over-year increase in capital expenditures was due primarily to strategic capital expenditures for improving and broadening our thionyl chloride products and automation equipment for cell production for our Battery and Energy Products business, and cyber-security improvements.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generated $16,124 in cash from financing activities during 2019, compared to $1,168 from financing activities during 2018. In 2019, the Company drew down $8,000 on its Term Loan Facility and $10,182 under its Revolving Credit Facility primarily for the acquisition of SWE and paid $866 on the Term Loan Facility and $157 on debt placement costs (see </w:t>
      </w:r>
      <w:r>
        <w:rPr>
          <w:rFonts w:ascii="Arial" w:cs="Arial" w:eastAsia="Arial" w:hAnsi="Arial"/>
          <w:sz w:val="16"/>
          <w:szCs w:val="16"/>
          <w:i w:val="1"/>
          <w:iCs w:val="1"/>
          <w:color w:val="auto"/>
        </w:rPr>
        <w:t>Debt Commitment</w:t>
      </w:r>
      <w:r>
        <w:rPr>
          <w:rFonts w:ascii="Arial" w:cs="Arial" w:eastAsia="Arial" w:hAnsi="Arial"/>
          <w:sz w:val="16"/>
          <w:szCs w:val="16"/>
          <w:color w:val="auto"/>
        </w:rPr>
        <w:t>s). In 2019 and 2018, we received $930 and $1,568, respectively, in funds from the issuance of common stock in connection with the exercise of stock options by our employees. In 2019 and 2018, we used $8 and $55, respectively, for tax withholdings related to stock-based awards. In 2019 and 2018, we spent $1,957 and $742 (including fees and commissions), respectively, to repurchase our common stock under the Company’s Share Repurchase Program, which commenced on November 1, 2018 and ended on October 31, 2019. We also received $397 in 2018 for a government grant awarded in the People’s Republic of China to fund specified future technological research and development initiatives.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continue to have significant U.S. net operating loss carryforwards available to utilize as an offset to taxable income. As of December 31, 2019, none of our U.S. net operating loss carryforwards have expired. See Note 7 to the consolidated financial statements for additional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made commitments to purchase approximately $1,185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Going forward, we expect positive operating cash flow to be adequate to meet obligations for both financing and investing.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 2019, in connection with financing the SWE acquisition (see Note 2 to the consolidated financial statements), the Company drew down $8,000 on its Term Loan Facility and $6,782 under its Revolving Credit Facility. As of December 31, 2019, we had $7,134 outstanding principal on the Term Loan Facility, of which $1,372 is due to be paid over the next twelve months, and $10,182 outstanding principal on the Revolving Credit Facility. As of December 31, 2019, the Company is in full compliance with its debt covenants under the Credit Facilities. Management believes that cash flow generated from future operations and remaining availability under our Revolving Credit Facility will be sufficient to meet our general funding requirements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manufacture or workmanship for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discussion and analysis of our financial condition and results of operations are based upon our consolidated financial statements, which have been prepared in accordance with GAAP. The preparation of our consolidated financial statements requires the application of accounting policies and the use of estimates. The accounting policies most important to the preparation of the consolidated financial statements and estimates that require management’s most difficult, subjective or complex judgments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contracts with customers generally have an original expected duration of less than one year. Pursuant to Topic 606, we have applied the practical expedient with respect to disclosure of the deferral and future expected timing of revenue recognition for transaction price allocated to remaining performance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Valuation of Inventory: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Inventories are stated at the lower of cost or net realizable value, with cost determined using the first-in, first-out (“FIFO”) method. Our inventory includes raw materials, work in process and finished goods. We recognize provisions for excess, obsolete or slow-moving inventory. Inherent in our estimates of net realizable value in determining inventory valuation are assumptions related to expectations of future demand for our products, product lifecycles, product support, technical obsolescence, regulatory requirements, and economic and market conditions. Estimates related to the valuation of inventory are susceptible to changes as the underlying assumptions are continuously evaluated. If our assumptions are adversely different from those estimated by management, inventory adjustments to reduce inventory values would result in an increase in inventory write-offs and a decrease in gross margins.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regularly assess all of our long-lived assets for impairment when events or circumstances indicate their carrying amounts may not be recoverable.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Goodwill and Other Indefinite Lived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recognized over their estimated useful life.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conducted our annual impairment test for goodwill and other indefinite-lived intangible assets as of September 30, 2019 (the first day of our fiscal fourth quarter). We identified five goodwill reporting units. We performed a quantitative impairment test of goodwill using a discounted cash flow model and concluded that the fair value of each reporting unit exceeded its respective carrying value. To estimate the fair value of the reporting units, we used significant estimates and judgments, including an assessment of our future revenue prospects, revenue growth rates and profit margins based on past results, internal forecasts, industry and market based terminal growth rates, inputs to the weighted-average cost of capital used to discount future cash flows, excess working capital requirements and earnings multiples. We performed a quantitative impairment test of each of our four trademarks as of September 30, 2019 using the relief from royalty method and concluded that the fair value of each trademark exceeded its carrying value. Significant estimates and judgments included an assessment of our future revenue prospects, industry and market based terminal growth rates, inputs to the weighted-average cost of capital used to discount future cash flows, and royalty rates based on external market data. Based on the results of our quantitative impairment tests, and consideration of qualitative factors, no impairments were identified. Fair value exceeded carrying value for all reporting units and trademarks by more than 10%. There is a possibility that our goodwill and other intangible assets could be impaired in the future should there be a significant change in our internal forecasts and other assumptions we use in our impairment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relating to share-based payment transactions in our financial statements. The cost is measured at the grant date, based on the estimated fair value of the award, and is recognized as an expense over the employee’s requisite service period (generally the vesting period of the equity award). We calculate implied volatility for stock options based on an average of historical volatility over the expected life of the awards. The computation of expected term is determined based on historical experience of similar awards, giving consideration to the contractual terms of the awards and the vesting period. The interest rate for periods within the contractual life of the award is based on the U.S. Treasury yield in effect at the time of grant. Our awards are generally valued using the Black-Scholes method. If required, our market based awards are valued using a Monte Carlo simulation.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the realizability of our deferred tax assets is evaluated based on all available evidence, both positive and negative, weighted based on objective verifiability. Our assessment of the realizability of our deferred tax assets is based on a number of factors including but not limited to the sustainability of earnings from our core business, the accuracy of our internal earnings forecasts for future periods, our history of operating losses, our historical operating volatility, and the general business climate. As a significant portion of our deferred tax assets is comprised of net operating loss carryforwards, our ability to utilize our net operating loss carryforwards (before expiration) is also an important factor considered in our assessment. A valuation allowance is recognized when, based on the results of our assessment, the realizability of deferred tax assets is not more likely than not.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71" w:lineRule="auto"/>
        <w:rPr>
          <w:sz w:val="20"/>
          <w:szCs w:val="20"/>
          <w:color w:val="auto"/>
        </w:rPr>
      </w:pPr>
      <w:r>
        <w:rPr>
          <w:rFonts w:ascii="Arial" w:cs="Arial" w:eastAsia="Arial" w:hAnsi="Arial"/>
          <w:sz w:val="17"/>
          <w:szCs w:val="17"/>
          <w:color w:val="auto"/>
        </w:rPr>
        <w:t>As of December 31, 2018, the Company recognized the release of the valuation allowance on our net operating loss carryforwards and other U.S. deferred tax assets on the basis of management’s assessment. In evaluating the realizability of our U.S. deferred tax assets, management considered all available evidence and concluded that positive factors, including further demonstration of sustained profitability in our core business and continued improvement in our ability to achieve internal earnings forecasts, outweighed all negative factors, including our history of operating losses (prior to 2015) and historical operating volatility in our core business. Our assessment also considered our expectation to utilize our domestic net operating loss carryforwards, which expire 2020 thru 2035, and our general business tax credits, which expire 2028 thru 2037. Based on the results of our assessment, management concluded that it is more likely than not that our U.S. deferred tax assets will be fully realized. As of December 31, 2019, our domestic net operating loss carryforwards and general business tax credits were $58,400 and $1,907, respectively.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and 2018, for certain past operations in the U.K., we continue to report a valuation allowance for net operating loss carryforwards of $10,600, nearly all of which can be carried forward indefinitely. Management has concluded that the realizability of the U.K. net operating loss carryforwards is not more likely than not, as utilization of the net operating losses may be limited due to the change in the past U.K. operation. There are no other deferred tax assets related to the past U.K. operations. As of December 31, 2019 and 2018,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businesses acquired using the acquisition method of accounting. Under this method, all acquisition-related costs are expensed as incurred. The underlying net assets are recorded at their respective acquisition-date fair values.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acquisition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offer standard warranties against product defects. We do not offer separate service-type warranties. We estimate future warranty costs to be incurred for product failure rates, material usage and service costs in the development of our warranty obligations. Estimated future costs and related reserves are based on actual past experience and are generally estimated as a percentage of sales over the warranty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Environmental Issues: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10600" w:type="dxa"/>
            <w:vAlign w:val="bottom"/>
            <w:gridSpan w:val="2"/>
          </w:tcPr>
          <w:p>
            <w:pPr>
              <w:spacing w:after="0"/>
              <w:rPr>
                <w:sz w:val="20"/>
                <w:szCs w:val="20"/>
                <w:color w:val="auto"/>
              </w:rPr>
            </w:pPr>
            <w:r>
              <w:rPr>
                <w:rFonts w:ascii="Arial" w:cs="Arial" w:eastAsia="Arial" w:hAnsi="Arial"/>
                <w:sz w:val="18"/>
                <w:szCs w:val="18"/>
                <w:color w:val="auto"/>
              </w:rPr>
              <w:t>The financial statements and schedules listed in Item 15(a)(1) are included in this Report beginning on page 40.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76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0"/>
              </w:rPr>
              <w:t>Page</w:t>
            </w:r>
          </w:p>
        </w:tc>
        <w:tc>
          <w:tcPr>
            <w:tcW w:w="400" w:type="dxa"/>
            <w:vAlign w:val="bottom"/>
          </w:tcPr>
          <w:p>
            <w:pPr>
              <w:spacing w:after="0"/>
              <w:rPr>
                <w:sz w:val="24"/>
                <w:szCs w:val="24"/>
                <w:color w:val="auto"/>
              </w:rPr>
            </w:pPr>
          </w:p>
        </w:tc>
      </w:tr>
      <w:tr>
        <w:trPr>
          <w:trHeight w:val="21"/>
        </w:trPr>
        <w:tc>
          <w:tcPr>
            <w:tcW w:w="76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Balance Sheets as of December 31, 2019 and 2018</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Income and Comprehensive Income for the years ended December 31, 2019 and 2018</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Changes in Shareholders' Equity for the years ended December 31, 2019 and 2018</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Cash Flows for the years ended December 31, 2019 and 2018</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9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459"/>
        </w:trPr>
        <w:tc>
          <w:tcPr>
            <w:tcW w:w="10600" w:type="dxa"/>
            <w:vAlign w:val="bottom"/>
            <w:gridSpan w:val="2"/>
          </w:tcPr>
          <w:p>
            <w:pPr>
              <w:jc w:val="right"/>
              <w:ind w:right="471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9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Ultralife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the accompanying consolidated balance sheets of Ultralife Corporation (the Company) and its subsidiaries as of December 31, 2019 and 2018, and the related consolidated statements of income and comprehensive income, changes in stockholders' equity and cash flows for the years then ended, and the related notes to the consolidated financial statements (collectively, the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Southwest Electronic Energy Corporation (SWE) from its assessment of internal control over financial reporting as of December 31, 2019, because it was acquired by the Company in a purchase business combination in the second quarter of 2019. We have also excluded SWE from our audit of internal control over financial reporting. SWE is a wholly owned subsidiary whose total assets and revenue represent approximately 12% and 18%, respectively, of the related consolidated financial statement amounts as of and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CPAs,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7,405</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$324 and $296, respectively</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30,106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22,525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26,753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1,963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144,557</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70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9,388</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4,775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17,190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15,780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1,278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34,807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 par value $.10 per share; authorized 40,000,000 shares; issued – 20,268,050 shares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4"/>
              </w:rPr>
              <w:t>20,053,335 shares, respectively; outstanding – 15,866,868 shares and 15,920,585 shares, respectively</w:t>
            </w: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184,292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stock - at cost; 4,401,182 shares and 4,132,750 shares, respectively</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Ultralife Corporation equity</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109,726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109,750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144,557</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740" w:type="dxa"/>
            <w:vAlign w:val="bottom"/>
            <w:gridSpan w:val="4"/>
          </w:tcPr>
          <w:p>
            <w:pPr>
              <w:jc w:val="center"/>
              <w:ind w:left="15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jc w:val="right"/>
              <w:ind w:right="225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41" w:name="page42"/>
    <w:bookmarkEnd w:id="41"/>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INCOME AND COMPREHENSIVE INCOME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Net income per share attributable to Ultralife Corporation common shareholders – Basic:</w:t>
            </w: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income per share attributable to Ultralife Corporation common shareholders – Diluted:</w:t>
            </w: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5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Weighted average shares outstanding – Diluted</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16,179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2" w:name="page43"/>
    <w:bookmarkEnd w:id="42"/>
    <w:p>
      <w:pPr>
        <w:jc w:val="center"/>
        <w:spacing w:after="0" w:line="266" w:lineRule="auto"/>
        <w:rPr>
          <w:sz w:val="20"/>
          <w:szCs w:val="20"/>
          <w:color w:val="auto"/>
        </w:rPr>
      </w:pPr>
      <w:r>
        <w:rPr>
          <w:rFonts w:ascii="Arial" w:cs="Arial" w:eastAsia="Arial" w:hAnsi="Arial"/>
          <w:sz w:val="18"/>
          <w:szCs w:val="18"/>
          <w:b w:val="1"/>
          <w:bCs w:val="1"/>
          <w:color w:val="auto"/>
        </w:rPr>
        <w:t>ULTRALIFE CORPORATION AND SUBSIDIARIES CONSOLIDATED STATEMENTS OF CHANGES IN SHAREHOLDERS’ EQUITY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20" w:type="dxa"/>
            <w:vAlign w:val="bottom"/>
            <w:gridSpan w:val="4"/>
            <w:vMerge w:val="restart"/>
          </w:tcPr>
          <w:p>
            <w:pPr>
              <w:jc w:val="right"/>
              <w:ind w:right="37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9"/>
                <w:szCs w:val="19"/>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2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in excess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97"/>
              </w:rPr>
              <w:t>Number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1"/>
              </w:rPr>
              <w:t>of par</w:t>
            </w:r>
          </w:p>
        </w:tc>
        <w:tc>
          <w:tcPr>
            <w:tcW w:w="140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comprehensive</w:t>
            </w:r>
          </w:p>
        </w:tc>
        <w:tc>
          <w:tcPr>
            <w:tcW w:w="1180" w:type="dxa"/>
            <w:vAlign w:val="bottom"/>
            <w:gridSpan w:val="3"/>
          </w:tcPr>
          <w:p>
            <w:pPr>
              <w:spacing w:after="0" w:line="195"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6"/>
                <w:szCs w:val="16"/>
                <w:color w:val="auto"/>
              </w:rPr>
            </w:pPr>
          </w:p>
        </w:tc>
        <w:tc>
          <w:tcPr>
            <w:tcW w:w="1000" w:type="dxa"/>
            <w:vAlign w:val="bottom"/>
            <w:gridSpan w:val="2"/>
          </w:tcPr>
          <w:p>
            <w:pPr>
              <w:jc w:val="right"/>
              <w:ind w:right="340"/>
              <w:spacing w:after="0" w:line="195" w:lineRule="exact"/>
              <w:rPr>
                <w:sz w:val="20"/>
                <w:szCs w:val="20"/>
                <w:color w:val="auto"/>
              </w:rPr>
            </w:pPr>
            <w:r>
              <w:rPr>
                <w:rFonts w:ascii="Arial" w:cs="Arial" w:eastAsia="Arial" w:hAnsi="Arial"/>
                <w:sz w:val="18"/>
                <w:szCs w:val="18"/>
                <w:color w:val="auto"/>
                <w:w w:val="90"/>
              </w:rPr>
              <w:t>Treasury</w:t>
            </w:r>
          </w:p>
        </w:tc>
        <w:tc>
          <w:tcPr>
            <w:tcW w:w="104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97"/>
              </w:rPr>
              <w:t>controlling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value</w:t>
            </w:r>
          </w:p>
        </w:tc>
        <w:tc>
          <w:tcPr>
            <w:tcW w:w="100" w:type="dxa"/>
            <w:vAlign w:val="bottom"/>
          </w:tcPr>
          <w:p>
            <w:pPr>
              <w:spacing w:after="0"/>
              <w:rPr>
                <w:sz w:val="20"/>
                <w:szCs w:val="20"/>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income (loss)</w:t>
            </w: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December 31,</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19,670,928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180,211</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Cumulative effect adjustment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Share repurchases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Tax withholdings on option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exercises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Stock-based compensation -</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w w:val="99"/>
              </w:rPr>
              <w:t>Stock-based compensation -</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24,930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24,999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rPr>
              <w:t>Balance – December 31,</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20,053,335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182,630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(58,035)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(19,266)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Share repurchases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(1,957)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w w:val="99"/>
              </w:rPr>
              <w:t>Stock-based compensation -</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Stock-based compensation -</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w w:val="99"/>
              </w:rPr>
              <w:t>Tax withholding on restricted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shares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5,205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rPr>
              <w:t>Balance – December 31,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20,268,050</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2,026</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184,292</w:t>
            </w:r>
          </w:p>
        </w:tc>
        <w:tc>
          <w:tcPr>
            <w:tcW w:w="32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(2,531)</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(52,830)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(21,231)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109,750</w:t>
            </w:r>
          </w:p>
        </w:tc>
        <w:tc>
          <w:tcPr>
            <w:tcW w:w="0" w:type="dxa"/>
            <w:vAlign w:val="bottom"/>
          </w:tcPr>
          <w:p>
            <w:pPr>
              <w:spacing w:after="0"/>
              <w:rPr>
                <w:sz w:val="1"/>
                <w:szCs w:val="1"/>
                <w:color w:val="auto"/>
              </w:rPr>
            </w:pPr>
          </w:p>
        </w:tc>
      </w:tr>
      <w:tr>
        <w:trPr>
          <w:trHeight w:val="194"/>
        </w:trPr>
        <w:tc>
          <w:tcPr>
            <w:tcW w:w="232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2019</w:t>
            </w:r>
          </w:p>
        </w:tc>
        <w:tc>
          <w:tcPr>
            <w:tcW w:w="9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5,314</w:t>
            </w:r>
          </w:p>
        </w:tc>
        <w:tc>
          <w:tcPr>
            <w:tcW w:w="10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2,220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Amortization of financing fees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Deferred income tax expense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(10,416)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gross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Arial" w:cs="Arial" w:eastAsia="Arial" w:hAnsi="Arial"/>
                <w:sz w:val="18"/>
                <w:szCs w:val="18"/>
                <w:color w:val="auto"/>
              </w:rPr>
              <w:t>Inventory reserves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1,123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640"/>
              <w:spacing w:after="0"/>
              <w:rPr>
                <w:sz w:val="20"/>
                <w:szCs w:val="20"/>
                <w:color w:val="auto"/>
              </w:rPr>
            </w:pPr>
            <w:r>
              <w:rPr>
                <w:rFonts w:ascii="Arial" w:cs="Arial" w:eastAsia="Arial" w:hAnsi="Arial"/>
                <w:sz w:val="18"/>
                <w:szCs w:val="18"/>
                <w:color w:val="auto"/>
              </w:rPr>
              <w:t>Income taxes receivable and payable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(2,970)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10,886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SWE, net of cash acquired</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(25,248)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(6,281)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(31,529)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revolving credit facility</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10,182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term loan facility</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Payment of term loan facility</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Payment of debt issuance costs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Tax withholdings on stock-based awards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government grant</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16,124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(18,529)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 Beginning of year</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25,934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7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7,405</w:t>
            </w:r>
          </w:p>
        </w:tc>
        <w:tc>
          <w:tcPr>
            <w:tcW w:w="1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25,934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Construction in process in accounts payable</w:t>
            </w:r>
          </w:p>
        </w:tc>
        <w:tc>
          <w:tcPr>
            <w:tcW w:w="7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tcPr>
          <w:p>
            <w:pPr>
              <w:ind w:left="320"/>
              <w:spacing w:after="0" w:line="196" w:lineRule="exact"/>
              <w:rPr>
                <w:sz w:val="20"/>
                <w:szCs w:val="20"/>
                <w:color w:val="auto"/>
              </w:rPr>
            </w:pPr>
            <w:r>
              <w:rPr>
                <w:rFonts w:ascii="Arial" w:cs="Arial" w:eastAsia="Arial" w:hAnsi="Arial"/>
                <w:sz w:val="18"/>
                <w:szCs w:val="18"/>
                <w:color w:val="auto"/>
              </w:rPr>
              <w:t>Income taxes paid</w:t>
            </w:r>
          </w:p>
        </w:tc>
        <w:tc>
          <w:tcPr>
            <w:tcW w:w="720" w:type="dxa"/>
            <w:vAlign w:val="bottom"/>
          </w:tcPr>
          <w:p>
            <w:pPr>
              <w:spacing w:after="0"/>
              <w:rPr>
                <w:sz w:val="17"/>
                <w:szCs w:val="17"/>
                <w:color w:val="auto"/>
              </w:rPr>
            </w:pP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266</w:t>
            </w:r>
          </w:p>
        </w:tc>
        <w:tc>
          <w:tcPr>
            <w:tcW w:w="1000" w:type="dxa"/>
            <w:vAlign w:val="bottom"/>
            <w:gridSpan w:val="2"/>
          </w:tcPr>
          <w:p>
            <w:pPr>
              <w:jc w:val="right"/>
              <w:ind w:right="84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Interest paid</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576</w:t>
            </w:r>
          </w:p>
        </w:tc>
        <w:tc>
          <w:tcPr>
            <w:tcW w:w="1000" w:type="dxa"/>
            <w:vAlign w:val="bottom"/>
            <w:gridSpan w:val="2"/>
            <w:shd w:val="clear" w:color="auto" w:fill="CCEEFF"/>
          </w:tcPr>
          <w:p>
            <w:pPr>
              <w:jc w:val="right"/>
              <w:ind w:right="84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Operations and Significant Accounting Policies</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annual report, unless otherwise indicated, the terms “we”, “our” and “us” refer to Ultralife Corporation (“Ultralife”) and includes our wholly-owned subsidiaries, ABLE New Energy Co., Limited and its wholly-owned subsidiary ABLE New Energy Co.; Ltd; Ultralife UK LTD and its wholly-owned subsidiary, Accutronics Ltd; Ultralife Batteries (UK) Ltd.; Southwest Electronic Energy Corporation and its wholly-owned subsidiary, CLB, INC.; and our majority-owned joint venture Ultralife Batteries India Private Limited.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consolidated financial statements are prepared in accordance with generally accepted accounting principles in the United States (“GAAP”) and include the accounts of Ultralife Corporation, our wholly-owned subsidiaries, Ultralife Batteries (UK) Ltd., Ultralife UK LTD, and its wholly-owned subsidiary Accutronics Ltd, ABLE New Energy Co., Limited and its wholly-owned subsidiary ABLE New Energy Co., Ltd. (“ABLE” collectively), Southwest Electronic Energy Corporation and its wholly-owned subsidiary, CLB, INC. (“SWE” collectively) (Note 2), and our majority-owned subsidiary Ultralife Batteries India Private Limited (“India JV”). Intercompany accounts and transactions have been eliminated in consolidation.</w:t>
      </w:r>
    </w:p>
    <w:p>
      <w:pPr>
        <w:spacing w:after="0" w:line="17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Management's Use of Judgment and Estimates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deferred tax assets, excess and obsolete inventory, warranties, and bad debts; (c) valuation of assets acquired and liabilities assumed in business combinations; (d) various expense accruals; and (e) stock-based compensation. Our actual results could differ from these estimates.</w:t>
      </w:r>
    </w:p>
    <w:p>
      <w:pPr>
        <w:spacing w:after="0" w:line="17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items previously reported in specific financial statement captions are reclassified to conform to the current presentation. There were no material reclassifications for the years ended December 31, 2019 and 2018.</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e</w:t>
      </w: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cash balances may at times exceed federally insured limits. We have not experienced any losses in these accounts and believe we are not exposed to any significant risk with respect to cash.</w:t>
      </w:r>
    </w:p>
    <w:p>
      <w:pPr>
        <w:spacing w:after="0" w:line="17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Payment terms are generally 30 days. Trade accounts receivable are recorded at their invoiced amounts, net of allowance for doubtful accounts. We evaluate the adequacy of our allowance for doubtful accounts quarterly. Accounts outstanding for longer than contractual payment terms are considered past due and are reviewed for collectability. We maintain reserves for potential credit losses based upon our historical experience and the aging of specific receivables. Receivable balances are written off when collection is deemed unlikely.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Inventories are stated at the lower of cost or net realizable value with cost determined under the first-in, first-out (FIFO) method. We record provisions for excess, obsolete or slow-moving inventory based on changes in customer demand, technology developments or other economic factors.</w:t>
      </w:r>
    </w:p>
    <w:p>
      <w:pPr>
        <w:spacing w:after="0" w:line="14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are stated at cost. Depreciation and amortization are computed using the straight-line method over the estimated useful lives.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are as follows (in years):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60" w:type="dxa"/>
            <w:vAlign w:val="bottom"/>
          </w:tcPr>
          <w:p>
            <w:pPr>
              <w:jc w:val="right"/>
              <w:spacing w:after="0"/>
              <w:rPr>
                <w:sz w:val="20"/>
                <w:szCs w:val="20"/>
                <w:color w:val="auto"/>
              </w:rPr>
            </w:pPr>
            <w:r>
              <w:rPr>
                <w:rFonts w:ascii="Arial" w:cs="Arial" w:eastAsia="Arial" w:hAnsi="Arial"/>
                <w:sz w:val="18"/>
                <w:szCs w:val="18"/>
                <w:color w:val="auto"/>
              </w:rPr>
              <w:t>5</w:t>
            </w:r>
          </w:p>
        </w:tc>
        <w:tc>
          <w:tcPr>
            <w:tcW w:w="1880" w:type="dxa"/>
            <w:vAlign w:val="bottom"/>
          </w:tcPr>
          <w:p>
            <w:pPr>
              <w:ind w:left="40"/>
              <w:spacing w:after="0"/>
              <w:rPr>
                <w:sz w:val="20"/>
                <w:szCs w:val="20"/>
                <w:color w:val="auto"/>
              </w:rPr>
            </w:pPr>
            <w:r>
              <w:rPr>
                <w:rFonts w:ascii="Arial" w:cs="Arial" w:eastAsia="Arial" w:hAnsi="Arial"/>
                <w:sz w:val="18"/>
                <w:szCs w:val="18"/>
                <w:color w:val="auto"/>
              </w:rPr>
              <w:t>– 10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2960" w:type="dxa"/>
            <w:vAlign w:val="bottom"/>
          </w:tcPr>
          <w:p>
            <w:pPr>
              <w:jc w:val="right"/>
              <w:spacing w:after="0"/>
              <w:rPr>
                <w:sz w:val="20"/>
                <w:szCs w:val="20"/>
                <w:color w:val="auto"/>
              </w:rPr>
            </w:pPr>
            <w:r>
              <w:rPr>
                <w:rFonts w:ascii="Arial" w:cs="Arial" w:eastAsia="Arial" w:hAnsi="Arial"/>
                <w:sz w:val="18"/>
                <w:szCs w:val="18"/>
                <w:color w:val="auto"/>
              </w:rPr>
              <w:t>3</w:t>
            </w:r>
          </w:p>
        </w:tc>
        <w:tc>
          <w:tcPr>
            <w:tcW w:w="1880" w:type="dxa"/>
            <w:vAlign w:val="bottom"/>
          </w:tcPr>
          <w:p>
            <w:pPr>
              <w:ind w:left="40"/>
              <w:spacing w:after="0"/>
              <w:rPr>
                <w:sz w:val="20"/>
                <w:szCs w:val="20"/>
                <w:color w:val="auto"/>
              </w:rPr>
            </w:pPr>
            <w:r>
              <w:rPr>
                <w:rFonts w:ascii="Arial" w:cs="Arial" w:eastAsia="Arial" w:hAnsi="Arial"/>
                <w:sz w:val="18"/>
                <w:szCs w:val="18"/>
                <w:color w:val="auto"/>
              </w:rPr>
              <w:t>– 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8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Lesser of useful life or lease term</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spacing w:after="0" w:line="18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Long-Lived Assets, Goodwill and Intangibles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all of our long-lived assets for impairment when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If the expected undiscounted future cash flows exceed the respective carrying amount as of the date of assessment, no impairment is recognized. Should aggregate future cash flows be less than the carrying value, a write-down would be required, measured as the difference between the carrying value and the fair value of the asset. Fair value is estimated as the present value of expected discounted future cash flows. The discount rate used in our evaluation is an industry-based weighted average cost of capital.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recognized over their weighted-average estimated useful life.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w:t>
      </w:r>
    </w:p>
    <w:p>
      <w:pPr>
        <w:spacing w:after="0" w:line="15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Translation of Foreign Currency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of our foreign subsidiaries are translated from the functional currency into U.S. dollar equivalents, with translation adjustments recorded as the sole component of accumulated other comprehensive loss. Exchange gains and losses related to foreign currency transactions and balances denominated in currencies other than the functional currency are recognized in net income.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k</w:t>
      </w:r>
      <w:r>
        <w:rPr>
          <w:rFonts w:ascii="Arial" w:cs="Arial" w:eastAsia="Arial" w:hAnsi="Arial"/>
          <w:sz w:val="18"/>
          <w:szCs w:val="18"/>
          <w:i w:val="1"/>
          <w:iCs w:val="1"/>
          <w:color w:val="auto"/>
        </w:rPr>
        <w:t>.</w:t>
      </w:r>
      <w:r>
        <w:rPr>
          <w:sz w:val="20"/>
          <w:szCs w:val="20"/>
          <w:color w:val="auto"/>
        </w:rPr>
        <w:tab/>
      </w:r>
      <w:r>
        <w:rPr>
          <w:rFonts w:ascii="Arial" w:cs="Arial" w:eastAsia="Arial" w:hAnsi="Arial"/>
          <w:sz w:val="15"/>
          <w:szCs w:val="15"/>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Revenue is measured as the amount of consideration we expect to receive in exchange for shipped product. Sales, value-added and other taxes billed and collected from customers are excluded from revenue. Customers, including distributors, do not have a general right of return. For products shipped under vendor managed inventory arrangements, revenue is recognized and billed when the product is consumed by the customer, at which point control has transferred and there are no further obligations by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Revenues recognized from prior period performance obligations for the years ended December 31, 2019 and 2018 were not material.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and 2018,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unbilled revenue and deferred contract costs recorded on our consolidated balance sheets as of December 31, 2019 and 2018 were not material.</w:t>
      </w:r>
    </w:p>
    <w:p>
      <w:pPr>
        <w:spacing w:after="0" w:line="17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Warranty Reserves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offer standard warranties against product defects. We do not offer separate service-type warranties. 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Warranty costs are recorded as costs of products sold. Provision for warranty costs is recorded in other current liabilities and other long-term liabilities on our consolidated balance sheets based on the duration of the warranty. Refer to Note 6.</w:t>
      </w:r>
    </w:p>
    <w:p>
      <w:pPr>
        <w:spacing w:after="0" w:line="18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Sales Commissions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Sales commissions are expensed as incurred for contracts with an expected duration of one year or less. There were no sales commissions capitalized as of December 31, 2019 and 2018.</w:t>
      </w:r>
    </w:p>
    <w:p>
      <w:pPr>
        <w:spacing w:after="0" w:line="17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expenditures are charged to operations as incurred. The majority of research and development expenses pertain to salaries and benefits, developmental supplies, depreciation and other contracted services. For the years ended December 31, 2019 and 2018, we expended $8,025 and $5,230, respectively, on research and development, including costs of $1,220 and $722, respectively, on customer sponsored research and development activities, which are included in cost of goods sold.</w:t>
      </w:r>
    </w:p>
    <w:p>
      <w:pPr>
        <w:spacing w:after="0" w:line="18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Environmental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on the basis of all available evidence, both positive and negative, weighted based on objective verifiability.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Concentration Related to Customers and Suppliers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two customers, both large defense primary contractors, which comprised 14% and 12% of our total revenues in 2019, respectively, and 7% and 16% of our total revenues in 2018, respectively. 2019 revenues from these two customers represented 64% of our total Communications Systems segment revenues and 15% of our total Battery &amp; Energy Products segment revenues. 2018 revenues from these two customers represented 34% of our total Communications Systems segment revenues and 20% of our total Battery &amp; Energy Products segment revenues. There were no other customers that comprised greater than 10% of our total revenues during these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we do not experience significant seasonal trends in our revenues. Since a significant portion of our revenues are based on purchases from U.S. and allied country defense departments, the timing of our sales could be impacted by delays in the government budget process and the decisions to deploy resources to support military purchases of our products.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direct and indirect sales to the U.S. Department of Defense have been substantial during 2019 and 2018, we do not consider this customer to be a significant credit risk.</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8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Fair Value Measurements and Disclosures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52" w:lineRule="exact"/>
        <w:rPr>
          <w:sz w:val="20"/>
          <w:szCs w:val="20"/>
          <w:color w:val="auto"/>
        </w:rPr>
      </w:pPr>
    </w:p>
    <w:p>
      <w:pPr>
        <w:jc w:val="both"/>
        <w:ind w:left="1300" w:hanging="971"/>
        <w:spacing w:after="0" w:line="264" w:lineRule="auto"/>
        <w:tabs>
          <w:tab w:leader="none" w:pos="12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8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that are significant to the fair value of the assets or liabilities.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 of financial instruments approximated their carrying values at December 31, 2019 and 2018. The fair value of cash, trade accounts receivable, trade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14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(“EPS”) is computed by dividing net income attributable to Ultralife Corporation by the weighted average shares of common stock outstanding for the period. Diluted EPS reflects the assumed exercise and conversion of dilutive outstanding stock options and unvested restricted stock, if any, applying the treasury stock method.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2019, the calculation of diluted EPS included 899,041 stock options and 31,666 restricted stock awards. Inclusion of these shares resulted in 396,536 additional shares in the calculation of diluted EPS. There were 642,751 outstanding stock options as of December 31, 2019 excluded from the calculation of diluted EPS, as inclusion of these shares would have been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the calculation of diluted EPS included 1,127,837 stock options and 17,500 restricted stock awards. Inclusion of these shares resulted in 465,004 additional shares in the calculation of diluted EPS. There were 448,250 outstanding stock options as of December 31, 2018 excluded from the calculation of diluted EPS, as inclusion of these shares would have been anti-dilutive.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various stock-based employee compensation plans that are described more fully in Note 7.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8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spacing w:after="0" w:line="18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Effective January 1, 2019, the Company adopted Accounting Standards Update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Adoption of the new standard did not materially impact the prior year consolidated statements of operations and cash flows. The prior year consolidated balance sheet has been revised for the effects of the new standard. The effects to our consolidated balance sheet as of December 31, 2018 are presented below.</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the new standard applying the modified retrospective approach. The Company measured and recognized leases upon adoption which had commenced as of the beginning or during the prior year. The package of practical expedients permitted under the transition guidance of the new standard was elected which allowed us to carry forward the historical lease classification and determination of whether an arrangement is or contains a lease on existing leases. The use-of-hindsight transition practical expedient was applied to determine the lease term for existing leases, which resulted in the lengthening of the lease term at commencement for one of our operating facilities.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is recognized evenly over the lease term. Variable lease payments are recognized as period costs. The present value of remaining lease payments is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impact on the consolidated balance sheet as of December 31, 2018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Impact to Previously Reported Results</w:t>
            </w: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Consolidated Balance Sheet as of December 31, 2018:</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6"/>
              </w:rPr>
              <w:t>As</w:t>
            </w:r>
          </w:p>
        </w:tc>
        <w:tc>
          <w:tcPr>
            <w:tcW w:w="260" w:type="dxa"/>
            <w:vAlign w:val="bottom"/>
          </w:tcPr>
          <w:p>
            <w:pPr>
              <w:spacing w:after="0"/>
              <w:rPr>
                <w:sz w:val="24"/>
                <w:szCs w:val="24"/>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Lease</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Previously</w:t>
            </w:r>
          </w:p>
        </w:tc>
        <w:tc>
          <w:tcPr>
            <w:tcW w:w="26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Standard</w:t>
            </w:r>
          </w:p>
        </w:tc>
        <w:tc>
          <w:tcPr>
            <w:tcW w:w="3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As</w:t>
            </w:r>
          </w:p>
        </w:tc>
      </w:tr>
      <w:tr>
        <w:trPr>
          <w:trHeight w:val="234"/>
        </w:trPr>
        <w:tc>
          <w:tcPr>
            <w:tcW w:w="660" w:type="dxa"/>
            <w:vAlign w:val="bottom"/>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1"/>
              </w:rPr>
              <w:t>Reported</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2"/>
              </w:rPr>
              <w:t>Adjustment</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6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2,429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2,368</w:t>
            </w:r>
          </w:p>
        </w:tc>
      </w:tr>
      <w:tr>
        <w:trPr>
          <w:trHeight w:val="216"/>
        </w:trPr>
        <w:tc>
          <w:tcPr>
            <w:tcW w:w="6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w:t>
            </w:r>
          </w:p>
        </w:tc>
      </w:tr>
      <w:tr>
        <w:trPr>
          <w:trHeight w:val="216"/>
        </w:trPr>
        <w:tc>
          <w:tcPr>
            <w:tcW w:w="66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16"/>
        </w:trPr>
        <w:tc>
          <w:tcPr>
            <w:tcW w:w="6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(58,035)</w:t>
            </w:r>
          </w:p>
        </w:tc>
      </w:tr>
      <w:tr>
        <w:trPr>
          <w:trHeight w:val="20"/>
        </w:trPr>
        <w:tc>
          <w:tcPr>
            <w:tcW w:w="6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further disclosure regarding lease accounting.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 Simplifying the Test for Goodwill Impairment”, which eliminates the two-step process that required identification of potential impairment and a separate measure of the actual impairment. The annual assessment of goodwill impairment will be determined by using the difference between the carrying amount and the fair value of the reporting unit. The standard is effective for annual and interim impairment tests performed in periods beginning after December 15, 2019 and is to be applied on a prospective basis. The Company is currently assessing the impact that adopting this new accounting standard will have on our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2 – Acquisition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 2019, the Company completed the acquisition of 100% of the issued and outstanding shares of Southwest Electronic Energy Corporation, a Texas corporation (“SWE”), for an aggregate purchase price of $26,190 inclusive of $942 cash acquired and post-closing adjustments.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SWE is a leading independent designer and manufacturer of high-performance smart battery systems and battery packs to customer specifications using lithium cells. SWE serves a variety of industrial markets, including oil &amp; gas, remote monitoring, process control and marine, which demand uncompromised safety, service, reliability and quality. The Company acquired SWE as a bolt-on acquisition to further support our strategy of commercial revenue diversification by providing entry to the oil and gas exploration and production, and subsea electrification markets, which are currently unserved by Ultralife.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of SWE was completed pursuant to a Stock Purchase Agreement dated May 1, 2019 (the “Stock Purchase Agreement”) by and among Ultralife, SWE, Southwest Electronic Energy Medical Research Institute, a Texas non-profit (the “Seller”), and Claude Leonard Backstein, an individual (the “Shareholder”). The Stock Purchase Agreement contains customary terms and conditions including representations, warranties and indemnification provisions. A portion of the consideration paid to the Seller is being held in escrow for indemnification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purchase price for the acquisition was funded by the Company through a combination of cash on hand and borrowings under the Credit Facilities (Note 3).</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purchase price allocation was determined in accordance with the accounting treatment of a business combination pursuant to FASB ASC Topic 805, Business Combinations (ASC 805). Accordingly, the fair value of the consideration was determined, and the assets acquired and liabilities assumed have been recorded at their fair values at the date of the acquisition. The excess of the purchase price over the estimated fair values has been recorded as goodwill.</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allocation of purchase price to the assets acquired and liabilities assumed at the date of the acquisition is presented in the table below. Management is responsible for determining the fair value of the tangible and intangible assets acquired and liabilities assumed as of the date of acquisition. Management considered several factors, including reference to an analysis performed under ASC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may occur.</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Trade name</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(778)</w:t>
            </w: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52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SWE’s assembled and trained workforce, the incremental value that SWE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and cash flows of SWE are reflected in the Company’s consolidated financial statements from the date of acquisition. SWE is included in the Battery &amp; Energy Products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1" w:name="page52"/>
    <w:bookmarkEnd w:id="51"/>
    <w:p>
      <w:pPr>
        <w:jc w:val="both"/>
        <w:spacing w:after="0" w:line="312" w:lineRule="auto"/>
        <w:rPr>
          <w:sz w:val="20"/>
          <w:szCs w:val="20"/>
          <w:color w:val="auto"/>
        </w:rPr>
      </w:pPr>
      <w:r>
        <w:rPr>
          <w:rFonts w:ascii="Arial" w:cs="Arial" w:eastAsia="Arial" w:hAnsi="Arial"/>
          <w:sz w:val="16"/>
          <w:szCs w:val="16"/>
          <w:color w:val="auto"/>
        </w:rPr>
        <w:t>For the year ended December 31, 2019, SWE contributed revenue of $18,746 and net income of $1,238, inclusive of a $264 increase in cost of products sold for the fair value step-up of acquired inventory sold during the period, non-recurring expenses of $165 directly related to the acquisition, interest expense of $453 directly related to the financing of the SWE acquisition, and amortization expense of $161 on acquired identifiable intangible assets.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the Company incurred non-recurring transaction costs of $322 directly attributable to the acquisition. Debt issuance costs of $157, including placement, renewal and legal fees, are amortized to interest expense over a weighted average life of 4.6 years based on the terms of the related Credit Facilities. Other non-recurring transaction costs of $165, including one-time accounting, legal and due diligence services, were expensed during the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supplemental pro forma information presents the combined results of operations, inclusive of the purchase accounting adjustments and one-time acquisition-related expenses described above, as if the acquisition of SWE had been completed on January 1, 2018, the beginning of the comparable prior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supplemental pro forma results do not exclude the agreed upon departure of the Shareholder from SWE and dissolution of the SWE Board of Directors upon consummation of the acquisition or the realization of any expected synergies or other cost reductions following the completion of the business combination. The supplemental pro forma results are presented for informational purposes only and should not be considered indicative of the financial position or results of operations had the acquisition been completed as of the dates indicated and does not purport to indicate the future combined financial position or results of operation.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 forth below are the unaudited supplemental pro forma results of the Company and SWE for the years ended December 31, 2019 and 2018 as if the acquisition had occurred as of January 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rPr>
              <w:t>Years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4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115,590</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115,566</w:t>
            </w:r>
          </w:p>
        </w:tc>
        <w:tc>
          <w:tcPr>
            <w:tcW w:w="58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income</w:t>
            </w: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8,008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6,278</w:t>
            </w:r>
          </w:p>
        </w:tc>
        <w:tc>
          <w:tcPr>
            <w:tcW w:w="5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Corporation</w:t>
            </w: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24,280</w:t>
            </w:r>
          </w:p>
        </w:tc>
        <w:tc>
          <w:tcPr>
            <w:tcW w:w="58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income per share attributable to Ultralife Corporation:</w:t>
            </w: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5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580" w:type="dxa"/>
            <w:vAlign w:val="bottom"/>
          </w:tcPr>
          <w:p>
            <w:pPr>
              <w:spacing w:after="0"/>
              <w:rPr>
                <w:sz w:val="18"/>
                <w:szCs w:val="18"/>
                <w:color w:val="auto"/>
              </w:rPr>
            </w:pPr>
          </w:p>
        </w:tc>
      </w:tr>
      <w:tr>
        <w:trPr>
          <w:trHeight w:val="230"/>
        </w:trPr>
        <w:tc>
          <w:tcPr>
            <w:tcW w:w="4920" w:type="dxa"/>
            <w:vAlign w:val="bottom"/>
          </w:tcPr>
          <w:p>
            <w:pPr>
              <w:ind w:left="660"/>
              <w:spacing w:after="0"/>
              <w:rPr>
                <w:sz w:val="20"/>
                <w:szCs w:val="20"/>
                <w:color w:val="auto"/>
              </w:rPr>
            </w:pPr>
            <w:r>
              <w:rPr>
                <w:rFonts w:ascii="Arial" w:cs="Arial" w:eastAsia="Arial" w:hAnsi="Arial"/>
                <w:sz w:val="18"/>
                <w:szCs w:val="18"/>
                <w:color w:val="auto"/>
              </w:rPr>
              <w:t>Diluted</w:t>
            </w:r>
          </w:p>
        </w:tc>
        <w:tc>
          <w:tcPr>
            <w:tcW w:w="35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0.34</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580" w:type="dxa"/>
            <w:vAlign w:val="bottom"/>
          </w:tcPr>
          <w:p>
            <w:pPr>
              <w:spacing w:after="0"/>
              <w:rPr>
                <w:sz w:val="20"/>
                <w:szCs w:val="20"/>
                <w:color w:val="auto"/>
              </w:rPr>
            </w:pPr>
          </w:p>
        </w:tc>
      </w:tr>
      <w:tr>
        <w:trPr>
          <w:trHeight w:val="418"/>
        </w:trPr>
        <w:tc>
          <w:tcPr>
            <w:tcW w:w="4920" w:type="dxa"/>
            <w:vAlign w:val="bottom"/>
          </w:tcPr>
          <w:p>
            <w:pPr>
              <w:spacing w:after="0"/>
              <w:rPr>
                <w:sz w:val="24"/>
                <w:szCs w:val="24"/>
                <w:color w:val="auto"/>
              </w:rPr>
            </w:pPr>
          </w:p>
        </w:tc>
        <w:tc>
          <w:tcPr>
            <w:tcW w:w="2560" w:type="dxa"/>
            <w:vAlign w:val="bottom"/>
          </w:tcPr>
          <w:p>
            <w:pPr>
              <w:jc w:val="right"/>
              <w:ind w:right="159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3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2019, Ultralife,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closing of the SWE acquisition on May 1, 2019, the Company drew down the full amount of the Term Loan Facility and $6,782 under the Revolving Credit Facility. As of December 31, 2019, the Company had $7,134 outstanding principal on the Term Loan Facility, of which $1,372 is included in current portion of long-term debt on the balance sheet, and $10,182 outstanding principal on the Revolving Credit Facility. As of December 31, 2019, total unamortized debt issuance costs of $164 associated with the Amended Credit Agreement are classified as a reduction of long-term debt on the balance sheet.</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required to repay the borrowings under the Term Loan Facility in sixty (60) equal consecutive monthly payments commencing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aggregate principal amounts of long-term debt are scheduled to mature as follows: $1,420 in 2021, $11,650 in 2022, $1,519 in 2023, and $1,355 in 2024.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fixed charge coverage ratio of equal to or greater than 1.15 to 1.0, and a consolidated senior leverage ratio of equal to or less than 2.5 to 1.0, each as defined in the Amended Credit Agreement. The Company was in full compliance with its covenants as of December 31,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 As of December 31, 2019, the variable interest rates were 3.56% for the Revolving Credit Facility and 3.41% for the Term Loan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 to 0.2% based on the average daily unused availability under the Revolving Credit Facility.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4 – Share Repurchase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under which the Company is authorized to purchase up to 2.5 million shares of its outstanding common stock over a period not to exceed twelve months.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Share Repurchase Program, shares may be purchased in open market transactions, including through block purchases, through privately negotiated transactions, or pursuant to any trading plan that may be adopted in accordance with Rule 10b5-1 of the Securities Exchange Act of 1934. The timing, manner, price and amount of any repurchase will be determined at the Company’s discretion and the Share Repurchase Program may be suspended, terminated or modified by the Company’s Board of Directors at any time for any reason and does not obligate the Company to purchase any specific number of shares. Under the Program, all purchases will be made in accordance with Securities Exchange Act Rule 10b-18, which sets certain restrictions on the method, timing, price and volume of open market stock repurchases.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During 2019, we repurchased a total of 267,300 shares of our common stock for an aggregate consideration (including fees and commissions) of $1,957.</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the inception of the Share Repurchase Program on November 1, 2018, we repurchased a total of 372,974 shares of our common stock for an aggregate consideration (including fees and commissions) of $2,699.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Supplemental Balance Sheet Information</w:t>
      </w:r>
    </w:p>
    <w:p>
      <w:pPr>
        <w:spacing w:after="0" w:line="2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Cash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cash and restricted cash totaling $7,405 and $25,934 as of December 31, 2019 and 2018, respectively.</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6"/>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0"/>
        </w:trPr>
        <w:tc>
          <w:tcPr>
            <w:tcW w:w="7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25,934</w:t>
            </w: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2019 and December 31, 2018, restricted cash included $188 and $266, respectively, relating to a government grant awarded in the People’s Republic of China to fund specified technological research and development initiatives. The grant proceeds are realized to income as a direct offset to expense as the related expenditures are incurred. For the year ended December 31, 2019, grant proceeds of $78 were realized to income. As of December 31, 2019 and December 31, 2018, restricted cash included euro-denominated deposits of $82 and $85, respectively,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78"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under the first-in, first-out (FIFO) method. The composition of inventories, net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8"/>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7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18,485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Work in process</w:t>
            </w:r>
          </w:p>
        </w:tc>
        <w:tc>
          <w:tcPr>
            <w:tcW w:w="3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2,548</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Total</w:t>
            </w:r>
          </w:p>
        </w:tc>
        <w:tc>
          <w:tcPr>
            <w:tcW w:w="372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29,759</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22,843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720" w:type="dxa"/>
            <w:vAlign w:val="bottom"/>
            <w:vMerge w:val="restart"/>
          </w:tcPr>
          <w:p>
            <w:pPr>
              <w:jc w:val="right"/>
              <w:ind w:right="1570"/>
              <w:spacing w:after="0"/>
              <w:rPr>
                <w:sz w:val="20"/>
                <w:szCs w:val="20"/>
                <w:color w:val="auto"/>
              </w:rPr>
            </w:pPr>
            <w:r>
              <w:rPr>
                <w:rFonts w:ascii="Arial" w:cs="Arial" w:eastAsia="Arial" w:hAnsi="Arial"/>
                <w:sz w:val="18"/>
                <w:szCs w:val="18"/>
                <w:color w:val="auto"/>
              </w:rPr>
              <w:t>53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gridSpan w:val="2"/>
          </w:tcPr>
          <w:p>
            <w:pPr>
              <w:spacing w:after="0"/>
              <w:rPr>
                <w:sz w:val="20"/>
                <w:szCs w:val="20"/>
                <w:color w:val="auto"/>
              </w:rPr>
            </w:pPr>
            <w:r>
              <w:rPr>
                <w:rFonts w:ascii="Arial" w:cs="Arial" w:eastAsia="Arial" w:hAnsi="Arial"/>
                <w:sz w:val="18"/>
                <w:szCs w:val="18"/>
                <w:i w:val="1"/>
                <w:iCs w:val="1"/>
                <w:color w:val="auto"/>
              </w:rPr>
              <w:t>c.   Property, Plant and Equipment</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8,148</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8,267</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62,562</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51,261</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2,112</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6,528</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5,590</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4,730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4,302</w:t>
            </w: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71,601</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(62,828)</w:t>
            </w: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(60,857)</w:t>
            </w: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10,744</w:t>
            </w:r>
          </w:p>
        </w:tc>
      </w:tr>
      <w:tr>
        <w:trPr>
          <w:trHeight w:val="20"/>
        </w:trPr>
        <w:tc>
          <w:tcPr>
            <w:tcW w:w="58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$2,220 and $1,972 for the years ended December 31, 2019 and 2018, respectively.</w:t>
      </w:r>
    </w:p>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Goodwill and Other Intangible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performed its annual impairment tests of goodwill and other indefinite-lived intangible assets as of the first day of the fiscal fourth quarter of 2019 and 2018.</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performed a quantitative impairment test as of September 30, 2019 of its five identified goodwill reporting units including a reporting unit for SWE (Note 2) which is a component of the Battery &amp; Energy Products segment. The fair value for the reporting units could not be determined using readily available quoted Level 1 inputs or Level 2 inputs that were observable in active markets. Therefore, we used a discounted cash flow model to estimate the fair value of the reporting units, using Level 3 inputs. To estimate the fair value of the reporting units, we used significant estimates and judgments, including an assessment of our future revenue prospects, revenue growth rates and profit margins based on internal forecasts, industry and market based terminal growth rates, inputs to the weighted-average cost of capital used to discount future cash flows, and earnings multiples.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performed a quantitative impairment test of its four other indefinite-lived intangible assets (trademarks). The fair value of our trademarks could not be determined using readily available quoted Level 1 inputs or Level 2 inputs that were observable in active markets. Therefore, we used a relief from royalty approach to estimate the fair value of our trademarks, using Level 3 inputs. Significant estimates and judgments included an assessment of our future revenue prospects, industry and market based terminal growth rates, inputs to the weighted-average cost of capital used to discount future cash flows, and royalty rates based on external market data.</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result of the impairment tests performed for 2019 and 2018, we determined that no impairments existed. Fair value exceeded carrying value for all reporting units and trademarks by more than 10%, except for the goodwill test as of September 30, 2019 for SWE which was acquired five months prior.</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possibility that our goodwill and other intangible assets could be impaired in the future should there be a significant change in our internal forecasts and other assumptions used in our impairment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years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Battery &amp;</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Energy</w:t>
            </w:r>
          </w:p>
        </w:tc>
        <w:tc>
          <w:tcPr>
            <w:tcW w:w="1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Communications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2018</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Acquisition of SWE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tcPr>
          <w:p>
            <w:pPr>
              <w:ind w:left="500"/>
              <w:spacing w:after="0"/>
              <w:rPr>
                <w:sz w:val="20"/>
                <w:szCs w:val="20"/>
                <w:color w:val="auto"/>
              </w:rPr>
            </w:pPr>
            <w:r>
              <w:rPr>
                <w:rFonts w:ascii="Arial" w:cs="Arial" w:eastAsia="Arial" w:hAnsi="Arial"/>
                <w:sz w:val="18"/>
                <w:szCs w:val="18"/>
                <w:color w:val="auto"/>
              </w:rPr>
              <w:t>Balance – December 31, 2019</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15,260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11,493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40" w:type="dxa"/>
            <w:vAlign w:val="bottom"/>
            <w:vMerge w:val="restart"/>
          </w:tcPr>
          <w:p>
            <w:pPr>
              <w:jc w:val="right"/>
              <w:ind w:right="350"/>
              <w:spacing w:after="0"/>
              <w:rPr>
                <w:sz w:val="20"/>
                <w:szCs w:val="20"/>
                <w:color w:val="auto"/>
              </w:rPr>
            </w:pPr>
            <w:r>
              <w:rPr>
                <w:rFonts w:ascii="Arial" w:cs="Arial" w:eastAsia="Arial" w:hAnsi="Arial"/>
                <w:sz w:val="18"/>
                <w:szCs w:val="18"/>
                <w:color w:val="auto"/>
              </w:rPr>
              <w:t>54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 2019</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r>
      <w:tr>
        <w:trPr>
          <w:trHeight w:val="216"/>
        </w:trPr>
        <w:tc>
          <w:tcPr>
            <w:tcW w:w="5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4,721</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4,359</w:t>
            </w: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4,869</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r>
      <w:tr>
        <w:trPr>
          <w:trHeight w:val="216"/>
        </w:trPr>
        <w:tc>
          <w:tcPr>
            <w:tcW w:w="5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r>
      <w:tr>
        <w:trPr>
          <w:trHeight w:val="20"/>
        </w:trPr>
        <w:tc>
          <w:tcPr>
            <w:tcW w:w="5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Total other intangible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19,892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10,171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9,721</w:t>
            </w:r>
          </w:p>
        </w:tc>
      </w:tr>
      <w:tr>
        <w:trPr>
          <w:trHeight w:val="20"/>
        </w:trPr>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 2018</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r>
      <w:tr>
        <w:trPr>
          <w:trHeight w:val="216"/>
        </w:trPr>
        <w:tc>
          <w:tcPr>
            <w:tcW w:w="5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4,392</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r>
      <w:tr>
        <w:trPr>
          <w:trHeight w:val="216"/>
        </w:trPr>
        <w:tc>
          <w:tcPr>
            <w:tcW w:w="5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r>
      <w:tr>
        <w:trPr>
          <w:trHeight w:val="20"/>
        </w:trPr>
        <w:tc>
          <w:tcPr>
            <w:tcW w:w="5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Total other intangible assets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16,109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9,605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r>
      <w:tr>
        <w:trPr>
          <w:trHeight w:val="20"/>
        </w:trPr>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cost value of other intangible assets is a result of the SWE acquisition (Note 2) and the effect of foreign currency translations.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w w:val="93"/>
              </w:rPr>
              <w:t>Amortization of other intangible assets was included in the following financial statement captions: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2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12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9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0"/>
        </w:trPr>
        <w:tc>
          <w:tcPr>
            <w:tcW w:w="9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0"/>
        </w:trPr>
        <w:tc>
          <w:tcPr>
            <w:tcW w:w="98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Future amortization expense of amortizable intangible assets will be approximately $360, $341, $326, $323 and $313 for the five fiscal years ending December 31, 2020 through 2024,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Indemnity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organizational documents provide that our directors or officers will be reimbursed for all expenses, to the fullest extent permitted by law arising out of their performance.</w:t>
      </w:r>
    </w:p>
    <w:p>
      <w:pPr>
        <w:spacing w:after="0" w:line="17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have made commitments to purchase approximately $1,185 of production machinery and equipment.</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and the possible impact of the imposition of tariffs by the U.S. Government on 9 Volt batteries that we manufacture in China as well as any retaliating trade policies or restrictions. Any such disruptions could depress our earnings and have other material adverse effects on our business, financial condition and results of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ind w:left="660" w:hanging="652"/>
        <w:spacing w:after="0"/>
        <w:tabs>
          <w:tab w:leader="none" w:pos="6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Employment Contracts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employment contract with Michael D. Popielec, our President and Chief Executive Officer, which remains in effect until terminated by either party. This agreement provides for a base salary,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connection with a change in control.</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18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years ended December 31, 2019 and 2018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28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Assumed warranty obligations – SWE</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 issued</w:t>
            </w:r>
          </w:p>
        </w:tc>
        <w:tc>
          <w:tcPr>
            <w:tcW w:w="1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Settlements made</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50"/>
        </w:trPr>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w:t>
            </w:r>
          </w:p>
        </w:tc>
        <w:tc>
          <w:tcPr>
            <w:tcW w:w="1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380" w:type="dxa"/>
            <w:vAlign w:val="bottom"/>
          </w:tcPr>
          <w:p>
            <w:pPr>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i w:val="1"/>
                <w:iCs w:val="1"/>
                <w:color w:val="auto"/>
              </w:rPr>
              <w:t>.</w:t>
            </w:r>
          </w:p>
        </w:tc>
        <w:tc>
          <w:tcPr>
            <w:tcW w:w="5140" w:type="dxa"/>
            <w:vAlign w:val="bottom"/>
            <w:gridSpan w:val="2"/>
          </w:tcPr>
          <w:p>
            <w:pPr>
              <w:ind w:left="280"/>
              <w:spacing w:after="0"/>
              <w:rPr>
                <w:sz w:val="20"/>
                <w:szCs w:val="20"/>
                <w:color w:val="auto"/>
              </w:rPr>
            </w:pPr>
            <w:r>
              <w:rPr>
                <w:rFonts w:ascii="Arial" w:cs="Arial" w:eastAsia="Arial" w:hAnsi="Arial"/>
                <w:sz w:val="18"/>
                <w:szCs w:val="18"/>
                <w:i w:val="1"/>
                <w:iCs w:val="1"/>
                <w:color w:val="auto"/>
              </w:rPr>
              <w:t>Contingencies and Legal Matters</w:t>
            </w: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in the period in which any such effects are recorded.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Shareholders' Equity</w:t>
      </w:r>
    </w:p>
    <w:p>
      <w:pPr>
        <w:spacing w:after="0" w:line="22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12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23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30"/>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are more fully discussed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various stock-based employee compensation plans, for which compensation cost is recognized in the financial statements. The cost is measured at the grant date, based on the estimated fair value of the award, and is recognized as an expense over the employee’s requisite service period (generally the vesting period of the equity award).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June 2004, our shareholders adopted the 2004 Long-Term Incentive Plan (“2004 LTIP”) pursuant to which we were authorized to issue up to 750,000 shares of common stock and grant stock options, restricted stock awards, stock appreciation rights and other stock-based awards. Through shareholder approved amendments to the LTIP in 2006, 2008, 2011, and 2013, the total number of shares authorized under the 2004 LTIP was increased to 2,900,000.</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our shareholders approved the 2014 Long-Term Incentive Plan (“2014 LTIP”) as the successor plan to the 2004 LTIP that expired on June 10, 2014. Under the 2014 LTIP, a total of 1,750,000 shares of common stock will be available for grant of awards.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granted under the LTIPs are either Incentive Stock Options (“ISOs”) or Non-Qualified Stock Options (“NQSOs”). Key employees are eligible to receive ISOs and NQSOs; however, directors and consultants are eligible to receive only NQSOs. Most ISOs vest over a three-year period and expire on the seventh anniversary of the grant date. As of December 31, 2019, there were 610,628 stock options outstanding under the 2004 LTIP and 931,164 stock options outstanding under the 2014 LTIP.</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2004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The options set forth in items (ii), (iii) and (iv) were subject to shareholder approval of an amendment to the 2004 LTIP, which approval was obtained on June 7, 2011.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such options in items (i) and (ii) were due to expire on December 30, 2017. On April 19, 2017, the Company’s Board of Directors extended the expiration date to December 30, 2020.</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such options in items (iii) and (iv) were due to expire as of the later of December 30, 2017 and five years after the initial vesting commences, but in no event later than December 30, 2020. On July 25, 2018, the Company’s Board of Directors modified the option in item (iii) such that the option will vest immediately upon the Company’s common stock first reaching a closing price $10.00 for 15 trading days in a 30 trading-day period. The option became fully vested during the third quarter of 2018 and expires December 30, 2020. The transaction has been accounted for as an equity award modification pursuant to Accounting Standards Codification Topic 718, Compensation – Stock Compensation. During the third quarter 2018, the Company recognized compensation cost of $182 representing the incremental fair value of the modified award computed as of the modification date as the difference between the fair value of the modified award and the fair value of the original award immediately before it was modified. The incremental fair value was determined using a Monte Carlo simulation option-pricing model consistent with the valuation methodology used to value and recognize the original award. The market-based conditions for the option in item (iv) had not been met as of December 31, 2019.</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was $737 of total unrecognized compensation costs related to outstanding stock options, which we expect to recognize over a weighted average period of 1.2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jc w:val="both"/>
        <w:ind w:right="60"/>
        <w:spacing w:after="0" w:line="277" w:lineRule="auto"/>
        <w:rPr>
          <w:sz w:val="20"/>
          <w:szCs w:val="20"/>
          <w:color w:val="auto"/>
        </w:rPr>
      </w:pPr>
      <w:r>
        <w:rPr>
          <w:rFonts w:ascii="Arial" w:cs="Arial" w:eastAsia="Arial" w:hAnsi="Arial"/>
          <w:sz w:val="18"/>
          <w:szCs w:val="18"/>
          <w:color w:val="auto"/>
        </w:rPr>
        <w:t>We use the Black-Scholes option-pricing model to estimate fair value of stock-based awards. The following weighted average assumptions were used to value options granted during the years ended December 31, 2019 and 2018:</w:t>
      </w:r>
    </w:p>
    <w:p>
      <w:pPr>
        <w:spacing w:after="0" w:line="16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r>
      <w:tr>
        <w:trPr>
          <w:trHeight w:val="210"/>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Volatility factor</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Forfeiture rate</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We used a Monte Carlo simulation option-pricing model to estimate the fair value of market performance stock-based awards, of which there were no new awards for the years ended December 31, 2019 and 2018.</w:t>
      </w:r>
    </w:p>
    <w:p>
      <w:pPr>
        <w:spacing w:after="0" w:line="17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expected term.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data for the stock options issued by us:</w:t>
      </w:r>
    </w:p>
    <w:p>
      <w:pPr>
        <w:spacing w:after="0" w:line="2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Year ended December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0" w:type="dxa"/>
            <w:vAlign w:val="bottom"/>
          </w:tcPr>
          <w:p>
            <w:pPr>
              <w:spacing w:after="0"/>
              <w:rPr>
                <w:sz w:val="16"/>
                <w:szCs w:val="16"/>
                <w:color w:val="auto"/>
              </w:rPr>
            </w:pPr>
          </w:p>
        </w:tc>
        <w:tc>
          <w:tcPr>
            <w:tcW w:w="36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left="50"/>
              <w:spacing w:after="0" w:line="191"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1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3"/>
              </w:rPr>
              <w:t>exercise</w:t>
            </w:r>
          </w:p>
        </w:tc>
        <w:tc>
          <w:tcPr>
            <w:tcW w:w="200" w:type="dxa"/>
            <w:vAlign w:val="bottom"/>
          </w:tcPr>
          <w:p>
            <w:pPr>
              <w:spacing w:after="0"/>
              <w:rPr>
                <w:sz w:val="18"/>
                <w:szCs w:val="18"/>
                <w:color w:val="auto"/>
              </w:rPr>
            </w:pPr>
          </w:p>
        </w:tc>
        <w:tc>
          <w:tcPr>
            <w:tcW w:w="1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2"/>
              </w:rPr>
              <w:t>remaining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price</w:t>
            </w:r>
          </w:p>
        </w:tc>
        <w:tc>
          <w:tcPr>
            <w:tcW w:w="200" w:type="dxa"/>
            <w:vAlign w:val="bottom"/>
          </w:tcPr>
          <w:p>
            <w:pPr>
              <w:spacing w:after="0"/>
              <w:rPr>
                <w:sz w:val="18"/>
                <w:szCs w:val="18"/>
                <w:color w:val="auto"/>
              </w:rPr>
            </w:pPr>
          </w:p>
        </w:tc>
        <w:tc>
          <w:tcPr>
            <w:tcW w:w="10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intrinsic</w:t>
            </w:r>
          </w:p>
        </w:tc>
      </w:tr>
      <w:tr>
        <w:trPr>
          <w:trHeight w:val="234"/>
        </w:trPr>
        <w:tc>
          <w:tcPr>
            <w:tcW w:w="6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88"/>
              </w:rPr>
              <w:t>per share</w:t>
            </w:r>
          </w:p>
        </w:tc>
        <w:tc>
          <w:tcPr>
            <w:tcW w:w="200" w:type="dxa"/>
            <w:vAlign w:val="bottom"/>
          </w:tcPr>
          <w:p>
            <w:pPr>
              <w:spacing w:after="0"/>
              <w:rPr>
                <w:sz w:val="20"/>
                <w:szCs w:val="20"/>
                <w:color w:val="auto"/>
              </w:rPr>
            </w:pPr>
          </w:p>
        </w:tc>
        <w:tc>
          <w:tcPr>
            <w:tcW w:w="106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w w:val="92"/>
              </w:rPr>
              <w:t>term</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gridSpan w:val="2"/>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January 1</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1,576,087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Options 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282,500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(208,881)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16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(107,914)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under option – December 31</w:t>
            </w:r>
          </w:p>
        </w:tc>
        <w:tc>
          <w:tcPr>
            <w:tcW w:w="1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1,541,792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197"/>
        </w:trPr>
        <w:tc>
          <w:tcPr>
            <w:tcW w:w="430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Vested and expected to vest - December 31</w:t>
            </w:r>
          </w:p>
        </w:tc>
        <w:tc>
          <w:tcPr>
            <w:tcW w:w="2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1,445,563</w:t>
            </w:r>
          </w:p>
        </w:tc>
        <w:tc>
          <w:tcPr>
            <w:tcW w:w="14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6.79</w:t>
            </w:r>
          </w:p>
        </w:tc>
        <w:tc>
          <w:tcPr>
            <w:tcW w:w="1620" w:type="dxa"/>
            <w:vAlign w:val="bottom"/>
            <w:gridSpan w:val="6"/>
          </w:tcPr>
          <w:p>
            <w:pPr>
              <w:jc w:val="right"/>
              <w:ind w:right="220"/>
              <w:spacing w:after="0" w:line="196" w:lineRule="exact"/>
              <w:rPr>
                <w:sz w:val="20"/>
                <w:szCs w:val="20"/>
                <w:color w:val="auto"/>
              </w:rPr>
            </w:pPr>
            <w:r>
              <w:rPr>
                <w:rFonts w:ascii="Arial" w:cs="Arial" w:eastAsia="Arial" w:hAnsi="Arial"/>
                <w:sz w:val="18"/>
                <w:szCs w:val="18"/>
                <w:color w:val="auto"/>
              </w:rPr>
              <w:t>3.04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1,959</w:t>
            </w:r>
          </w:p>
        </w:tc>
        <w:tc>
          <w:tcPr>
            <w:tcW w:w="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300" w:type="dxa"/>
            <w:vAlign w:val="bottom"/>
            <w:gridSpan w:val="2"/>
          </w:tcPr>
          <w:p>
            <w:pPr>
              <w:ind w:left="660"/>
              <w:spacing w:after="0"/>
              <w:rPr>
                <w:sz w:val="20"/>
                <w:szCs w:val="20"/>
                <w:color w:val="auto"/>
              </w:rPr>
            </w:pPr>
            <w:r>
              <w:rPr>
                <w:rFonts w:ascii="Arial" w:cs="Arial" w:eastAsia="Arial" w:hAnsi="Arial"/>
                <w:sz w:val="18"/>
                <w:szCs w:val="18"/>
                <w:color w:val="auto"/>
              </w:rPr>
              <w:t>Options exercisable – December 31</w:t>
            </w:r>
          </w:p>
        </w:tc>
        <w:tc>
          <w:tcPr>
            <w:tcW w:w="16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1"/>
        </w:trPr>
        <w:tc>
          <w:tcPr>
            <w:tcW w:w="66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Year ended December 31, 2018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250"/>
              <w:spacing w:after="0" w:line="191" w:lineRule="exact"/>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1"/>
              </w:rPr>
              <w:t>Number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2"/>
              </w:rPr>
              <w:t>price</w:t>
            </w:r>
          </w:p>
        </w:tc>
      </w:tr>
      <w:tr>
        <w:trPr>
          <w:trHeight w:val="234"/>
        </w:trPr>
        <w:tc>
          <w:tcPr>
            <w:tcW w:w="6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b w:val="1"/>
                <w:bCs w:val="1"/>
                <w:color w:val="auto"/>
                <w:w w:val="88"/>
              </w:rPr>
              <w:t>per share</w:t>
            </w:r>
          </w:p>
        </w:tc>
        <w:tc>
          <w:tcPr>
            <w:tcW w:w="100" w:type="dxa"/>
            <w:vAlign w:val="bottom"/>
            <w:gridSpan w:val="2"/>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 January 1</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1,860,211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Options granted</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217,500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(422,793)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Options forfeited or expired</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(78,831)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under option – December 31</w:t>
            </w:r>
          </w:p>
        </w:tc>
        <w:tc>
          <w:tcPr>
            <w:tcW w:w="1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1,576,087</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197"/>
        </w:trPr>
        <w:tc>
          <w:tcPr>
            <w:tcW w:w="430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66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 December 31</w:t>
            </w:r>
          </w:p>
        </w:tc>
        <w:tc>
          <w:tcPr>
            <w:tcW w:w="16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1,064,127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22"/>
                <w:szCs w:val="22"/>
                <w:color w:val="auto"/>
              </w:rPr>
            </w:pPr>
          </w:p>
        </w:tc>
      </w:tr>
      <w:tr>
        <w:trPr>
          <w:trHeight w:val="413"/>
        </w:trPr>
        <w:tc>
          <w:tcPr>
            <w:tcW w:w="660" w:type="dxa"/>
            <w:vAlign w:val="bottom"/>
          </w:tcPr>
          <w:p>
            <w:pPr>
              <w:spacing w:after="0"/>
              <w:rPr>
                <w:sz w:val="24"/>
                <w:szCs w:val="24"/>
                <w:color w:val="auto"/>
              </w:rPr>
            </w:pPr>
          </w:p>
        </w:tc>
        <w:tc>
          <w:tcPr>
            <w:tcW w:w="364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58</w:t>
            </w:r>
          </w:p>
        </w:tc>
        <w:tc>
          <w:tcPr>
            <w:tcW w:w="1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ectPr>
          <w:pgSz w:w="11900" w:h="16838" w:orient="portrait"/>
          <w:cols w:equalWidth="0" w:num="1">
            <w:col w:w="11480"/>
          </w:cols>
          <w:pgMar w:left="240" w:top="584" w:right="17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The following table represents additional information about stock options outstanding at December 31, 2019:</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Option outstanding</w:t>
            </w: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gridSpan w:val="6"/>
          </w:tcPr>
          <w:p>
            <w:pPr>
              <w:ind w:left="1020"/>
              <w:spacing w:after="0"/>
              <w:rPr>
                <w:sz w:val="20"/>
                <w:szCs w:val="20"/>
                <w:color w:val="auto"/>
              </w:rPr>
            </w:pPr>
            <w:r>
              <w:rPr>
                <w:rFonts w:ascii="Arial" w:cs="Arial" w:eastAsia="Arial" w:hAnsi="Arial"/>
                <w:sz w:val="18"/>
                <w:szCs w:val="18"/>
                <w:color w:val="auto"/>
              </w:rPr>
              <w:t>Options exercisable</w:t>
            </w:r>
          </w:p>
        </w:tc>
      </w:tr>
      <w:tr>
        <w:trPr>
          <w:trHeight w:val="195"/>
        </w:trPr>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left="290"/>
              <w:spacing w:after="0" w:line="195" w:lineRule="exact"/>
              <w:rPr>
                <w:sz w:val="20"/>
                <w:szCs w:val="20"/>
                <w:color w:val="auto"/>
              </w:rPr>
            </w:pPr>
            <w:r>
              <w:rPr>
                <w:rFonts w:ascii="Arial" w:cs="Arial" w:eastAsia="Arial" w:hAnsi="Arial"/>
                <w:sz w:val="18"/>
                <w:szCs w:val="18"/>
                <w:color w:val="auto"/>
                <w:w w:val="92"/>
              </w:rPr>
              <w:t>Weighted-</w:t>
            </w: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left="290"/>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left="330"/>
              <w:spacing w:after="0"/>
              <w:rPr>
                <w:sz w:val="20"/>
                <w:szCs w:val="20"/>
                <w:color w:val="auto"/>
              </w:rPr>
            </w:pPr>
            <w:r>
              <w:rPr>
                <w:rFonts w:ascii="Arial" w:cs="Arial" w:eastAsia="Arial" w:hAnsi="Arial"/>
                <w:sz w:val="18"/>
                <w:szCs w:val="18"/>
                <w:color w:val="auto"/>
                <w:w w:val="90"/>
              </w:rPr>
              <w:t>Weighted-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Weighted-</w:t>
            </w:r>
          </w:p>
        </w:tc>
      </w:tr>
      <w:tr>
        <w:trPr>
          <w:trHeight w:val="216"/>
        </w:trPr>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260" w:type="dxa"/>
            <w:vAlign w:val="bottom"/>
          </w:tcPr>
          <w:p>
            <w:pPr>
              <w:jc w:val="center"/>
              <w:ind w:left="290"/>
              <w:spacing w:after="0"/>
              <w:rPr>
                <w:sz w:val="20"/>
                <w:szCs w:val="20"/>
                <w:color w:val="auto"/>
              </w:rPr>
            </w:pPr>
            <w:r>
              <w:rPr>
                <w:rFonts w:ascii="Arial" w:cs="Arial" w:eastAsia="Arial" w:hAnsi="Arial"/>
                <w:sz w:val="18"/>
                <w:szCs w:val="18"/>
                <w:color w:val="auto"/>
                <w:w w:val="91"/>
              </w:rPr>
              <w:t>remaining</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left="350"/>
              <w:spacing w:after="0"/>
              <w:rPr>
                <w:sz w:val="20"/>
                <w:szCs w:val="20"/>
                <w:color w:val="auto"/>
              </w:rPr>
            </w:pPr>
            <w:r>
              <w:rPr>
                <w:rFonts w:ascii="Arial" w:cs="Arial" w:eastAsia="Arial" w:hAnsi="Arial"/>
                <w:sz w:val="18"/>
                <w:szCs w:val="18"/>
                <w:color w:val="auto"/>
                <w:w w:val="86"/>
              </w:rPr>
              <w:t>average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r>
      <w:tr>
        <w:trPr>
          <w:trHeight w:val="216"/>
        </w:trPr>
        <w:tc>
          <w:tcPr>
            <w:tcW w:w="1760" w:type="dxa"/>
            <w:vAlign w:val="bottom"/>
            <w:gridSpan w:val="3"/>
          </w:tcPr>
          <w:p>
            <w:pPr>
              <w:ind w:left="440"/>
              <w:spacing w:after="0"/>
              <w:rPr>
                <w:sz w:val="20"/>
                <w:szCs w:val="20"/>
                <w:color w:val="auto"/>
              </w:rPr>
            </w:pPr>
            <w:r>
              <w:rPr>
                <w:rFonts w:ascii="Arial" w:cs="Arial" w:eastAsia="Arial" w:hAnsi="Arial"/>
                <w:sz w:val="18"/>
                <w:szCs w:val="18"/>
                <w:color w:val="auto"/>
              </w:rPr>
              <w:t>Range of</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260" w:type="dxa"/>
            <w:vAlign w:val="bottom"/>
          </w:tcPr>
          <w:p>
            <w:pPr>
              <w:jc w:val="center"/>
              <w:ind w:left="290"/>
              <w:spacing w:after="0"/>
              <w:rPr>
                <w:sz w:val="20"/>
                <w:szCs w:val="20"/>
                <w:color w:val="auto"/>
              </w:rPr>
            </w:pPr>
            <w:r>
              <w:rPr>
                <w:rFonts w:ascii="Arial" w:cs="Arial" w:eastAsia="Arial" w:hAnsi="Arial"/>
                <w:sz w:val="18"/>
                <w:szCs w:val="18"/>
                <w:color w:val="auto"/>
                <w:w w:val="90"/>
              </w:rPr>
              <w:t>contractual</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left="350"/>
              <w:spacing w:after="0"/>
              <w:rPr>
                <w:sz w:val="20"/>
                <w:szCs w:val="20"/>
                <w:color w:val="auto"/>
              </w:rPr>
            </w:pPr>
            <w:r>
              <w:rPr>
                <w:rFonts w:ascii="Arial" w:cs="Arial" w:eastAsia="Arial" w:hAnsi="Arial"/>
                <w:sz w:val="18"/>
                <w:szCs w:val="18"/>
                <w:color w:val="auto"/>
                <w:w w:val="89"/>
              </w:rPr>
              <w:t>exercise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options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exercise</w:t>
            </w:r>
          </w:p>
        </w:tc>
      </w:tr>
      <w:tr>
        <w:trPr>
          <w:trHeight w:val="230"/>
        </w:trPr>
        <w:tc>
          <w:tcPr>
            <w:tcW w:w="15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exercise prices</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options</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rPr>
              <w:t>life</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2"/>
              </w:rPr>
              <w:t>price</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price</w:t>
            </w:r>
          </w:p>
        </w:tc>
        <w:tc>
          <w:tcPr>
            <w:tcW w:w="100" w:type="dxa"/>
            <w:vAlign w:val="bottom"/>
          </w:tcPr>
          <w:p>
            <w:pPr>
              <w:spacing w:after="0"/>
              <w:rPr>
                <w:sz w:val="20"/>
                <w:szCs w:val="20"/>
                <w:color w:val="auto"/>
              </w:rPr>
            </w:pPr>
          </w:p>
        </w:tc>
      </w:tr>
      <w:tr>
        <w:trPr>
          <w:trHeight w:val="210"/>
        </w:trPr>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$3.22</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$3.99</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244,377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1.70</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244,377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r>
      <w:tr>
        <w:trPr>
          <w:trHeight w:val="216"/>
        </w:trPr>
        <w:tc>
          <w:tcPr>
            <w:tcW w:w="700" w:type="dxa"/>
            <w:vAlign w:val="bottom"/>
          </w:tcPr>
          <w:p>
            <w:pPr>
              <w:ind w:left="260"/>
              <w:spacing w:after="0"/>
              <w:rPr>
                <w:sz w:val="20"/>
                <w:szCs w:val="20"/>
                <w:color w:val="auto"/>
              </w:rPr>
            </w:pPr>
            <w:r>
              <w:rPr>
                <w:rFonts w:ascii="Arial" w:cs="Arial" w:eastAsia="Arial" w:hAnsi="Arial"/>
                <w:sz w:val="18"/>
                <w:szCs w:val="18"/>
                <w:color w:val="auto"/>
                <w:w w:val="93"/>
              </w:rPr>
              <w:t>$4.00</w:t>
            </w:r>
          </w:p>
        </w:tc>
        <w:tc>
          <w:tcPr>
            <w:tcW w:w="840" w:type="dxa"/>
            <w:vAlign w:val="bottom"/>
          </w:tcPr>
          <w:p>
            <w:pPr>
              <w:ind w:left="40"/>
              <w:spacing w:after="0"/>
              <w:rPr>
                <w:sz w:val="20"/>
                <w:szCs w:val="20"/>
                <w:color w:val="auto"/>
              </w:rPr>
            </w:pPr>
            <w:r>
              <w:rPr>
                <w:rFonts w:ascii="Arial" w:cs="Arial" w:eastAsia="Arial" w:hAnsi="Arial"/>
                <w:sz w:val="18"/>
                <w:szCs w:val="18"/>
                <w:color w:val="auto"/>
              </w:rPr>
              <w:t>- $5.99</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336,331</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3.81</w:t>
            </w:r>
          </w:p>
        </w:tc>
        <w:tc>
          <w:tcPr>
            <w:tcW w:w="1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269,601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16"/>
        </w:trPr>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$6.00</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$9.99</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761,084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4.02</w:t>
            </w: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369,603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r>
      <w:tr>
        <w:trPr>
          <w:trHeight w:val="216"/>
        </w:trPr>
        <w:tc>
          <w:tcPr>
            <w:tcW w:w="1540" w:type="dxa"/>
            <w:vAlign w:val="bottom"/>
            <w:gridSpan w:val="2"/>
          </w:tcPr>
          <w:p>
            <w:pPr>
              <w:ind w:left="5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1.00</w:t>
            </w: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0"/>
        </w:trPr>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ind w:left="260"/>
              <w:spacing w:after="0"/>
              <w:rPr>
                <w:sz w:val="20"/>
                <w:szCs w:val="20"/>
                <w:color w:val="auto"/>
              </w:rPr>
            </w:pPr>
            <w:r>
              <w:rPr>
                <w:rFonts w:ascii="Arial" w:cs="Arial" w:eastAsia="Arial" w:hAnsi="Arial"/>
                <w:sz w:val="18"/>
                <w:szCs w:val="18"/>
                <w:color w:val="auto"/>
                <w:w w:val="93"/>
              </w:rPr>
              <w:t>$3.22</w:t>
            </w:r>
          </w:p>
        </w:tc>
        <w:tc>
          <w:tcPr>
            <w:tcW w:w="840" w:type="dxa"/>
            <w:vAlign w:val="bottom"/>
          </w:tcPr>
          <w:p>
            <w:pPr>
              <w:ind w:left="40"/>
              <w:spacing w:after="0"/>
              <w:rPr>
                <w:sz w:val="20"/>
                <w:szCs w:val="20"/>
                <w:color w:val="auto"/>
              </w:rPr>
            </w:pPr>
            <w:r>
              <w:rPr>
                <w:rFonts w:ascii="Arial" w:cs="Arial" w:eastAsia="Arial" w:hAnsi="Arial"/>
                <w:sz w:val="18"/>
                <w:szCs w:val="18"/>
                <w:color w:val="auto"/>
              </w:rPr>
              <w:t>- $10.00</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1,541,792</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3.21</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1,083,581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0"/>
        </w:trPr>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weighted average fair value of options granted during the years ended December 31, 2019 and 2018 was $3.77 and $4.22, respectively. The total intrinsic value of options (which is the amount by which the stock price exceeded the exercise price of the options on the date of exercise) exercised during the years ended December 31, 2019 and 2018 was $931 and $1,722, respectively.</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Cash received from option exercises under our stock-based compensation plans for the years ended December 31, 2019 and 2018 was $930 and $1,568, respectively.</w:t>
      </w:r>
    </w:p>
    <w:p>
      <w:pPr>
        <w:spacing w:after="0" w:line="170"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years. Unrecognized compensation cost related to these restricted shares was $145 at December 31, 2019.</w:t>
      </w:r>
    </w:p>
    <w:p>
      <w:pPr>
        <w:spacing w:after="0" w:line="18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Reserved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486,272 shares of common stock available for future issuance under equity compensation plans as of December 31, 2019.</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84" w:right="1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we recognized income tax expense (benefit) of $1,457 and ($18,386), respectively.</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Foreign</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2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1,236</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(18,514)</w:t>
            </w: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State</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(18,643)</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2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(18,386)</w:t>
            </w: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for 2018 primarily represents a non-cash benefit of $18,652 upon recognizing the release of the valuation allowance on our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as of December 31, 2018.</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2018, the Company recognized the release of the valuation allowance on our net operating loss carryforwards and other U.S. deferred tax assets on the basis of management’s assessment. In evaluating the realizability of our U.S. deferred tax assets, management considered all available evidence and concluded that positive factors, including further demonstration of sustained profitability in our core business and continued improvement in our ability to achieve internal earnings forecasts, outweighed all negative factors, including our history of operating losses (prior to 2015) and historical operating volatility in our core business. Our assessment also considered our expectation to utilize our domestic net operating loss carryforwards, which expire 2020 thru 2035, and our general business tax credits, which expire 2028 thru 2037. Based on the results of our assessment, management concluded that it is more likely than not that our U.S. deferred tax assets will be fully realized. As of December 31, 2019, our domestic net operating loss carryforwards and general business tax credits were $58,400 and $1,907, respectively.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and 2018, for certain past operations in the U.K., we continue to report a valuation allowance for net operating loss carryforwards of approximately $10,600, nearly all of which can be carried forward indefinitely. Management has concluded that the realizability of the U.K. net operating loss carryforwards is not more likely than not, as utilization of the net operating losses may be limited due to the change in the past U.K. operation. These net operating losses in the U.K. cannot currently be used to reduce taxable income at our other U.K. subsidiary, Accutronics Ltd. There are no other deferred tax assets related to the past U.K. operations. As of December 31, 2019 and 2018, we have not recognized a valuation allowance against our other foreign deferred tax assets, as we believe that it is more likely than not that they will be realized. We will continue to evaluate the realizability of our deferred tax assets in future periods.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the carrying amounts of assets and liabilities for financial reporting purposes and the amount used for income tax purposes. Significant components of our deferred tax assets and liabilities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9"/>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34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14,579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1,907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Accrued expenses, reserves and other</w:t>
            </w:r>
          </w:p>
        </w:tc>
        <w:tc>
          <w:tcPr>
            <w:tcW w:w="24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20,034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Valuation allowance for deferred tax assets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(1,942)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(1,942)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(5,087)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(3,856)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liabilities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4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12,663</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14,853</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98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jc w:val="right"/>
              <w:ind w:right="1410"/>
              <w:spacing w:after="0"/>
              <w:rPr>
                <w:sz w:val="20"/>
                <w:szCs w:val="20"/>
                <w:color w:val="auto"/>
              </w:rPr>
            </w:pPr>
            <w:r>
              <w:rPr>
                <w:rFonts w:ascii="Arial" w:cs="Arial" w:eastAsia="Arial" w:hAnsi="Arial"/>
                <w:sz w:val="18"/>
                <w:szCs w:val="18"/>
                <w:color w:val="auto"/>
              </w:rPr>
              <w:t>60</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Net deferred tax assets (liabilities) are comprised of the following balance sheet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9"/>
              </w:rPr>
              <w:t>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1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13,222</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15,444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10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12,663</w:t>
            </w:r>
          </w:p>
        </w:tc>
        <w:tc>
          <w:tcPr>
            <w:tcW w:w="180" w:type="dxa"/>
            <w:vAlign w:val="bottom"/>
            <w:tcBorders>
              <w:right w:val="single" w:sz="8" w:color="CCEEFF"/>
            </w:tcBorders>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14,853</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40" w:type="dxa"/>
            <w:vAlign w:val="bottom"/>
            <w:gridSpan w:val="7"/>
          </w:tcPr>
          <w:p>
            <w:pPr>
              <w:spacing w:after="0"/>
              <w:rPr>
                <w:sz w:val="20"/>
                <w:szCs w:val="20"/>
                <w:color w:val="auto"/>
              </w:rPr>
            </w:pPr>
            <w:r>
              <w:rPr>
                <w:rFonts w:ascii="Arial" w:cs="Arial" w:eastAsia="Arial" w:hAnsi="Arial"/>
                <w:sz w:val="18"/>
                <w:szCs w:val="18"/>
                <w:color w:val="auto"/>
                <w:w w:val="93"/>
              </w:rPr>
              <w:t>At December 31, 2019, the Company maintains its assertion that all foreign earnings will be indefinitely reinvested in those operations.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4"/>
          </w:tcPr>
          <w:p>
            <w:pPr>
              <w:spacing w:after="0"/>
              <w:rPr>
                <w:sz w:val="20"/>
                <w:szCs w:val="20"/>
                <w:color w:val="auto"/>
              </w:rPr>
            </w:pPr>
            <w:r>
              <w:rPr>
                <w:rFonts w:ascii="Arial" w:cs="Arial" w:eastAsia="Arial" w:hAnsi="Arial"/>
                <w:sz w:val="18"/>
                <w:szCs w:val="18"/>
                <w:color w:val="auto"/>
              </w:rPr>
              <w:t>For financial reporting purposes, income from continuing operations before income taxes is as follows: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1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5,992</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Foreign</w:t>
            </w:r>
          </w:p>
        </w:tc>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180" w:type="dxa"/>
            <w:vAlign w:val="bottom"/>
          </w:tcPr>
          <w:p>
            <w:pPr>
              <w:jc w:val="right"/>
              <w:ind w:right="1410"/>
              <w:spacing w:after="0"/>
              <w:rPr>
                <w:sz w:val="20"/>
                <w:szCs w:val="20"/>
                <w:color w:val="auto"/>
              </w:rPr>
            </w:pPr>
            <w:r>
              <w:rPr>
                <w:rFonts w:ascii="Arial" w:cs="Arial" w:eastAsia="Arial" w:hAnsi="Arial"/>
                <w:sz w:val="18"/>
                <w:szCs w:val="18"/>
                <w:color w:val="auto"/>
              </w:rPr>
              <w:t>61</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income from continuing operations before income taxes as follows:</w:t>
      </w:r>
    </w:p>
    <w:p>
      <w:pPr>
        <w:spacing w:after="0" w:line="16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6180" w:type="dxa"/>
            <w:vAlign w:val="bottom"/>
            <w:gridSpan w:val="2"/>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(Increase) decrease in tax provision resulting from:</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compensation</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Income tax credits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tax rates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40"/>
              <w:spacing w:after="0"/>
              <w:rPr>
                <w:sz w:val="20"/>
                <w:szCs w:val="20"/>
                <w:color w:val="auto"/>
              </w:rPr>
            </w:pPr>
            <w:r>
              <w:rPr>
                <w:rFonts w:ascii="Arial" w:cs="Arial" w:eastAsia="Arial" w:hAnsi="Arial"/>
                <w:sz w:val="18"/>
                <w:szCs w:val="18"/>
                <w:color w:val="auto"/>
              </w:rPr>
              <w:t>Valuation allowance</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3"/>
          </w:tcPr>
          <w:p>
            <w:pPr>
              <w:spacing w:after="0"/>
              <w:rPr>
                <w:sz w:val="20"/>
                <w:szCs w:val="20"/>
                <w:color w:val="auto"/>
              </w:rPr>
            </w:pPr>
            <w:r>
              <w:rPr>
                <w:rFonts w:ascii="Arial" w:cs="Arial" w:eastAsia="Arial" w:hAnsi="Arial"/>
                <w:sz w:val="18"/>
                <w:szCs w:val="18"/>
                <w:color w:val="auto"/>
              </w:rPr>
              <w:t>Effective income tax rate</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December 31, 2019 and 2018.</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2019 remain subject to examination by the Internal Revenue Service (“IRS”) due to our net operating loss carryforwards. Our U.S. tax matters for the years 2000 through 2019 remain subject to examination by various state and local tax jurisdictions due to our net operating loss carryforwards. Our tax matters for the years 2010 through 2019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Operating Leases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operating leases predominantly for operating facilities. As of December 31, 2019, the remaining lease terms on our operating leases range from less than one year to approximately 5 years. Renewal options to extend our leases have been exercised. Termination options are not reasonably certain of exercise by the Company. There is no transfer of title or option to purchase the leased assets upon expiration. There are no residual value guarantees or material restrictive covenants. In July 2019, the Company entered into a five-year agreement to extend the operating lease term of its Shenzhen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Variable lease cost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89</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cost</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712</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1"/>
              </w:rPr>
              <w:t>Year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5460" w:type="dxa"/>
            <w:vAlign w:val="bottom"/>
            <w:tcBorders>
              <w:top w:val="single" w:sz="8" w:color="auto"/>
            </w:tcBorders>
          </w:tcPr>
          <w:p>
            <w:pPr>
              <w:ind w:left="4960"/>
              <w:spacing w:after="0"/>
              <w:rPr>
                <w:sz w:val="20"/>
                <w:szCs w:val="20"/>
                <w:color w:val="auto"/>
              </w:rPr>
            </w:pPr>
            <w:r>
              <w:rPr>
                <w:rFonts w:ascii="Arial" w:cs="Arial" w:eastAsia="Arial" w:hAnsi="Arial"/>
                <w:sz w:val="18"/>
                <w:szCs w:val="18"/>
                <w:color w:val="auto"/>
              </w:rPr>
              <w:t>62</w:t>
            </w: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6"/>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8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Balance Sheet Classification</w:t>
            </w: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Operating lease right-of-use asset</w:t>
            </w:r>
          </w:p>
        </w:tc>
        <w:tc>
          <w:tcPr>
            <w:tcW w:w="3680" w:type="dxa"/>
            <w:vAlign w:val="bottom"/>
            <w:gridSpan w:val="3"/>
          </w:tcPr>
          <w:p>
            <w:pPr>
              <w:ind w:left="1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1,866</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operating lease liability</w:t>
            </w: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Accrued expenses and other current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w w:val="96"/>
              </w:rPr>
              <w:t>Operating lease liability, net of current portion</w:t>
            </w:r>
          </w:p>
        </w:tc>
        <w:tc>
          <w:tcPr>
            <w:tcW w:w="3680" w:type="dxa"/>
            <w:vAlign w:val="bottom"/>
            <w:gridSpan w:val="3"/>
          </w:tcPr>
          <w:p>
            <w:pPr>
              <w:ind w:left="1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Weighted-average remaining lease term (years)</w:t>
            </w: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48"/>
        </w:trPr>
        <w:tc>
          <w:tcPr>
            <w:tcW w:w="7540" w:type="dxa"/>
            <w:vAlign w:val="bottom"/>
            <w:gridSpan w:val="6"/>
          </w:tcPr>
          <w:p>
            <w:pPr>
              <w:spacing w:after="0"/>
              <w:rPr>
                <w:sz w:val="20"/>
                <w:szCs w:val="20"/>
                <w:color w:val="auto"/>
              </w:rPr>
            </w:pPr>
            <w:r>
              <w:rPr>
                <w:rFonts w:ascii="Arial" w:cs="Arial" w:eastAsia="Arial" w:hAnsi="Arial"/>
                <w:sz w:val="18"/>
                <w:szCs w:val="18"/>
                <w:color w:val="auto"/>
              </w:rPr>
              <w:t>Future minimum lease payments as of December 31, 2019 are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3680" w:type="dxa"/>
            <w:vAlign w:val="bottom"/>
            <w:gridSpan w:val="2"/>
          </w:tcPr>
          <w:p>
            <w:pPr>
              <w:ind w:left="480"/>
              <w:spacing w:after="0"/>
              <w:rPr>
                <w:sz w:val="20"/>
                <w:szCs w:val="20"/>
                <w:color w:val="auto"/>
              </w:rPr>
            </w:pPr>
            <w:r>
              <w:rPr>
                <w:rFonts w:ascii="Arial" w:cs="Arial" w:eastAsia="Arial" w:hAnsi="Arial"/>
                <w:sz w:val="18"/>
                <w:szCs w:val="18"/>
                <w:b w:val="1"/>
                <w:bCs w:val="1"/>
                <w:color w:val="auto"/>
                <w:w w:val="97"/>
              </w:rPr>
              <w:t>Maturity of Operating Lease Liabilities</w:t>
            </w: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2"/>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2"/>
              </w:rPr>
              <w:t>Present value of remaining lease payments</w:t>
            </w:r>
          </w:p>
        </w:tc>
        <w:tc>
          <w:tcPr>
            <w:tcW w:w="14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left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10 - 401(k) Retirement Benefit Plan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For the year ended December 31, 2019, the Company matched 50% on the first 6% contributed by an employee, or a maximum of 3% of the employee’s income. For the year ended December 31, 2018, the Company matched 50% on the first 4% contributed by an employee. For 2019 and 2018, we contributed $319 and $204, respectively, to the 401(k) plan.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jc w:val="right"/>
              <w:ind w:right="4290"/>
              <w:spacing w:after="0"/>
              <w:rPr>
                <w:sz w:val="20"/>
                <w:szCs w:val="20"/>
                <w:color w:val="auto"/>
              </w:rPr>
            </w:pPr>
            <w:r>
              <w:rPr>
                <w:rFonts w:ascii="Arial" w:cs="Arial" w:eastAsia="Arial" w:hAnsi="Arial"/>
                <w:sz w:val="18"/>
                <w:szCs w:val="18"/>
                <w:b w:val="1"/>
                <w:bCs w:val="1"/>
                <w:color w:val="auto"/>
                <w:w w:val="86"/>
              </w:rPr>
              <w:t>2019:</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Battery &amp;</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Systems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83,996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106,795</w:t>
            </w: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22,813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8,352</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(23,797)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7,368</w:t>
            </w: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1,457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18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5,205</w:t>
            </w: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79,413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40,458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24,686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144,557</w:t>
            </w: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15,260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26,753</w:t>
            </w: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w:t>
            </w:r>
          </w:p>
        </w:tc>
      </w:tr>
      <w:tr>
        <w:trPr>
          <w:trHeight w:val="230"/>
        </w:trPr>
        <w:tc>
          <w:tcPr>
            <w:tcW w:w="1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r>
      <w:tr>
        <w:trPr>
          <w:trHeight w:val="634"/>
        </w:trPr>
        <w:tc>
          <w:tcPr>
            <w:tcW w:w="4800" w:type="dxa"/>
            <w:vAlign w:val="bottom"/>
            <w:gridSpan w:val="2"/>
          </w:tcPr>
          <w:p>
            <w:pPr>
              <w:jc w:val="right"/>
              <w:ind w:right="4290"/>
              <w:spacing w:after="0"/>
              <w:rPr>
                <w:sz w:val="20"/>
                <w:szCs w:val="20"/>
                <w:color w:val="auto"/>
              </w:rPr>
            </w:pPr>
            <w:r>
              <w:rPr>
                <w:rFonts w:ascii="Arial" w:cs="Arial" w:eastAsia="Arial" w:hAnsi="Arial"/>
                <w:sz w:val="18"/>
                <w:szCs w:val="18"/>
                <w:b w:val="1"/>
                <w:bCs w:val="1"/>
                <w:color w:val="auto"/>
                <w:w w:val="86"/>
              </w:rPr>
              <w:t>2018:</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Battery &amp;</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Systems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70,497</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87,190</w:t>
            </w: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19,574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6,009</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(19,028)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(18,386)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(18,386)</w:t>
            </w:r>
          </w:p>
        </w:tc>
      </w:tr>
      <w:tr>
        <w:trPr>
          <w:trHeight w:val="216"/>
        </w:trPr>
        <w:tc>
          <w:tcPr>
            <w:tcW w:w="18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24,930</w:t>
            </w: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50,648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27,482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42,718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120,848</w:t>
            </w: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2,948</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r>
      <w:tr>
        <w:trPr>
          <w:trHeight w:val="216"/>
        </w:trPr>
        <w:tc>
          <w:tcPr>
            <w:tcW w:w="1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8,616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20,109</w:t>
            </w:r>
          </w:p>
        </w:tc>
      </w:tr>
      <w:tr>
        <w:trPr>
          <w:trHeight w:val="216"/>
        </w:trPr>
        <w:tc>
          <w:tcPr>
            <w:tcW w:w="1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r>
      <w:tr>
        <w:trPr>
          <w:trHeight w:val="230"/>
        </w:trPr>
        <w:tc>
          <w:tcPr>
            <w:tcW w:w="1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r>
    </w:tbl>
    <w:p>
      <w:pPr>
        <w:spacing w:after="0" w:line="200" w:lineRule="exact"/>
        <w:rPr>
          <w:sz w:val="20"/>
          <w:szCs w:val="20"/>
          <w:color w:val="auto"/>
        </w:rPr>
      </w:pP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Long-lived assets (including goodwill and intangible assets) held outside the U.S., principally in the United Kingdom and China, were $12,414 and $11,502 at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2"/>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1</w:t>
            </w:r>
          </w:p>
        </w:tc>
        <w:tc>
          <w:tcPr>
            <w:tcW w:w="980" w:type="dxa"/>
            <w:vAlign w:val="bottom"/>
            <w:vMerge w:val="restart"/>
          </w:tcPr>
          <w:p>
            <w:pPr>
              <w:jc w:val="right"/>
              <w:ind w:right="840"/>
              <w:spacing w:after="0"/>
              <w:rPr>
                <w:sz w:val="20"/>
                <w:szCs w:val="20"/>
                <w:color w:val="auto"/>
              </w:rPr>
            </w:pPr>
            <w:r>
              <w:rPr>
                <w:rFonts w:ascii="Arial" w:cs="Arial" w:eastAsia="Arial" w:hAnsi="Arial"/>
                <w:sz w:val="16"/>
                <w:szCs w:val="16"/>
                <w:b w:val="1"/>
                <w:bCs w:val="1"/>
                <w:u w:val="single" w:color="auto"/>
                <w:color w:val="auto"/>
                <w:w w:val="74"/>
              </w:rPr>
              <w:t>:</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00" w:type="dxa"/>
            <w:vAlign w:val="bottom"/>
            <w:tcBorders>
              <w:bottom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8"/>
                <w:szCs w:val="18"/>
                <w:b w:val="1"/>
                <w:bCs w:val="1"/>
                <w:color w:val="auto"/>
              </w:rPr>
              <w:t>United</w:t>
            </w:r>
          </w:p>
        </w:tc>
        <w:tc>
          <w:tcPr>
            <w:tcW w:w="200" w:type="dxa"/>
            <w:vAlign w:val="bottom"/>
          </w:tcPr>
          <w:p>
            <w:pPr>
              <w:spacing w:after="0"/>
              <w:rPr>
                <w:sz w:val="4"/>
                <w:szCs w:val="4"/>
                <w:color w:val="auto"/>
              </w:rPr>
            </w:pPr>
          </w:p>
        </w:tc>
        <w:tc>
          <w:tcPr>
            <w:tcW w:w="150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Non-United</w:t>
            </w:r>
          </w:p>
        </w:tc>
        <w:tc>
          <w:tcPr>
            <w:tcW w:w="0" w:type="dxa"/>
            <w:vAlign w:val="bottom"/>
          </w:tcPr>
          <w:p>
            <w:pPr>
              <w:spacing w:after="0"/>
              <w:rPr>
                <w:sz w:val="1"/>
                <w:szCs w:val="1"/>
                <w:color w:val="auto"/>
              </w:rPr>
            </w:pPr>
          </w:p>
        </w:tc>
      </w:tr>
      <w:tr>
        <w:trPr>
          <w:trHeight w:val="650"/>
        </w:trPr>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114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22,799</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63,375</w:t>
            </w: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59%</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41%</w:t>
            </w: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United</w:t>
            </w:r>
          </w:p>
        </w:tc>
        <w:tc>
          <w:tcPr>
            <w:tcW w:w="20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Non-United</w:t>
            </w: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States</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37,898</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53,054</w:t>
            </w: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34,136</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61%</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39%</w:t>
            </w:r>
          </w:p>
        </w:tc>
      </w:tr>
    </w:tbl>
    <w:p>
      <w:pPr>
        <w:spacing w:after="0" w:line="113"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Sales classified to U.S. include shipments to U.S.-based prime contractors which in some cases may serve non-U.S. projects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w w:val="94"/>
              </w:rPr>
              <w:t>Commercial and Government/Defense Revenue Information: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650"/>
        </w:trPr>
        <w:tc>
          <w:tcPr>
            <w:tcW w:w="116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Government/</w:t>
            </w:r>
          </w:p>
        </w:tc>
      </w:tr>
      <w:tr>
        <w:trPr>
          <w:trHeight w:val="234"/>
        </w:trPr>
        <w:tc>
          <w:tcPr>
            <w:tcW w:w="4700" w:type="dxa"/>
            <w:vAlign w:val="bottom"/>
            <w:gridSpan w:val="2"/>
          </w:tcPr>
          <w:p>
            <w:pPr>
              <w:ind w:left="114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59,682</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24,314</w:t>
            </w:r>
          </w:p>
        </w:tc>
        <w:tc>
          <w:tcPr>
            <w:tcW w:w="1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22,799</w:t>
            </w:r>
          </w:p>
        </w:tc>
        <w:tc>
          <w:tcPr>
            <w:tcW w:w="16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59,682</w:t>
            </w: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47,113</w:t>
            </w:r>
          </w:p>
        </w:tc>
        <w:tc>
          <w:tcPr>
            <w:tcW w:w="160" w:type="dxa"/>
            <w:vAlign w:val="bottom"/>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11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56%</w:t>
            </w: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44%</w:t>
            </w:r>
          </w:p>
        </w:tc>
      </w:tr>
    </w:tbl>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Government/</w:t>
            </w:r>
          </w:p>
        </w:tc>
      </w:t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Commercial</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Defense</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41,044</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16,693</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41,044</w:t>
            </w: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47%</w:t>
            </w: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Evaluation Of Disclosure Controls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 Our president and chief executive officer (principal executive officer) and our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Changes In Internal Controls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change in our internal control over financial reporting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6" w:name="page67"/>
    <w:bookmarkEnd w:id="66"/>
    <w:p>
      <w:pPr>
        <w:jc w:val="both"/>
        <w:spacing w:after="0" w:line="274" w:lineRule="auto"/>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 Our management team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2019. In making this assessment, we used the criteria set forth by the Committee of Sponsoring Organizations of the Treadway Commission (“COSO”) in Internal Control-Integrated Framework (2013). Based on our assessment, we concluded that, as of December 31, 2019, our internal control over financial reporting was effective based on those criteria.</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guidance issued by the SEC, registrants are permitted to exclude acquisitions from the final assessment of internal control over financial reporting for the first fiscal year in which the acquisition occurred while integrating the acquired operations. Our management’s evaluation of internal control over financial reporting excluded SWE, which we acquired on May 1, 2019, as discussed in Note 2 to the consolidated financial statements. Total revenue of SWE from the date of acquisition included in our consolidated results represented 18% of our consolidated revenues for the year ended December 31, 2019. Total assets of SWE (excluding acquired goodwill and other intangible assets which were included in management’s evaluation) represented 12% of our consolidated total assets as of December 31, 2019.</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Freed Maxick CPAs, P.C., an independent registered public accounting firm, which has audited and reported on the consolidated financial statements contained in this Annual Report on Form 10-K, has audited the effectiveness of the Company's internal control over financial reporting as stated in their report, which is included in Part II, Item 8.</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2020 Annual Meeting of Shareholders, which information included therein is incorporated herein by reference.</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sections entitled "Election of Directors", "Executive Officers", "Delinquent Section 16(a) Reports Compliance" and "Corporate Governance" in the Proxy Statement are incorporated herein by reference.</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sections entitled "Executive Compensation", “Directors Compensation”, “Employment Arrangements” and "Compensation and Management Committee " in the Proxy Statement are incorporated herein by reference.</w:t>
      </w:r>
    </w:p>
    <w:p>
      <w:pPr>
        <w:spacing w:after="0" w:line="383"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“Security Ownership of Certain Beneficial Owners” and “Security Ownership of Management” in the Proxy Statement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480" w:type="dxa"/>
            <w:vAlign w:val="bottom"/>
            <w:gridSpan w:val="4"/>
          </w:tcPr>
          <w:p>
            <w:pPr>
              <w:ind w:left="1180"/>
              <w:spacing w:after="0"/>
              <w:rPr>
                <w:sz w:val="20"/>
                <w:szCs w:val="20"/>
                <w:color w:val="auto"/>
              </w:rPr>
            </w:pPr>
            <w:r>
              <w:rPr>
                <w:rFonts w:ascii="Arial" w:cs="Arial" w:eastAsia="Arial" w:hAnsi="Arial"/>
                <w:sz w:val="18"/>
                <w:szCs w:val="18"/>
                <w:b w:val="1"/>
                <w:bCs w:val="1"/>
                <w:color w:val="auto"/>
              </w:rPr>
              <w:t>Equity Compensation Plan Information</w:t>
            </w: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Number of securities to</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jc w:val="center"/>
              <w:ind w:right="250"/>
              <w:spacing w:after="0"/>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available for 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be issued upon exercise</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jc w:val="center"/>
              <w:ind w:right="250"/>
              <w:spacing w:after="0"/>
              <w:rPr>
                <w:sz w:val="20"/>
                <w:szCs w:val="20"/>
                <w:color w:val="auto"/>
              </w:rPr>
            </w:pPr>
            <w:r>
              <w:rPr>
                <w:rFonts w:ascii="Arial" w:cs="Arial" w:eastAsia="Arial" w:hAnsi="Arial"/>
                <w:sz w:val="18"/>
                <w:szCs w:val="18"/>
                <w:color w:val="auto"/>
                <w:w w:val="91"/>
              </w:rPr>
              <w:t>exercise price of</w:t>
            </w:r>
          </w:p>
        </w:tc>
        <w:tc>
          <w:tcPr>
            <w:tcW w:w="220" w:type="dxa"/>
            <w:vAlign w:val="bottom"/>
          </w:tcPr>
          <w:p>
            <w:pPr>
              <w:spacing w:after="0"/>
              <w:rPr>
                <w:sz w:val="18"/>
                <w:szCs w:val="18"/>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of outstanding options,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jc w:val="center"/>
              <w:ind w:right="270"/>
              <w:spacing w:after="0"/>
              <w:rPr>
                <w:sz w:val="20"/>
                <w:szCs w:val="20"/>
                <w:color w:val="auto"/>
              </w:rPr>
            </w:pPr>
            <w:r>
              <w:rPr>
                <w:rFonts w:ascii="Arial" w:cs="Arial" w:eastAsia="Arial" w:hAnsi="Arial"/>
                <w:sz w:val="18"/>
                <w:szCs w:val="18"/>
                <w:color w:val="auto"/>
                <w:w w:val="90"/>
              </w:rPr>
              <w:t>outstanding options,</w:t>
            </w:r>
          </w:p>
        </w:tc>
        <w:tc>
          <w:tcPr>
            <w:tcW w:w="22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(excluding securities reflected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jc w:val="center"/>
              <w:ind w:right="270"/>
              <w:spacing w:after="0"/>
              <w:rPr>
                <w:sz w:val="20"/>
                <w:szCs w:val="20"/>
                <w:color w:val="auto"/>
              </w:rPr>
            </w:pPr>
            <w:r>
              <w:rPr>
                <w:rFonts w:ascii="Arial" w:cs="Arial" w:eastAsia="Arial" w:hAnsi="Arial"/>
                <w:sz w:val="18"/>
                <w:szCs w:val="18"/>
                <w:color w:val="auto"/>
                <w:w w:val="90"/>
              </w:rPr>
              <w:t>warrants and rights</w:t>
            </w:r>
          </w:p>
        </w:tc>
        <w:tc>
          <w:tcPr>
            <w:tcW w:w="22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column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900"/>
              <w:spacing w:after="0"/>
              <w:rPr>
                <w:sz w:val="20"/>
                <w:szCs w:val="20"/>
                <w:color w:val="auto"/>
              </w:rPr>
            </w:pPr>
            <w:r>
              <w:rPr>
                <w:rFonts w:ascii="Arial" w:cs="Arial" w:eastAsia="Arial" w:hAnsi="Arial"/>
                <w:sz w:val="18"/>
                <w:szCs w:val="18"/>
                <w:color w:val="auto"/>
              </w:rPr>
              <w:t>Plan Category</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jc w:val="center"/>
              <w:ind w:right="250"/>
              <w:spacing w:after="0"/>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20"/>
                <w:szCs w:val="20"/>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by security holders</w:t>
            </w:r>
          </w:p>
        </w:tc>
        <w:tc>
          <w:tcPr>
            <w:tcW w:w="26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1,541,792</w:t>
            </w:r>
          </w:p>
        </w:tc>
        <w:tc>
          <w:tcPr>
            <w:tcW w:w="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6.88</w:t>
            </w:r>
          </w:p>
        </w:tc>
        <w:tc>
          <w:tcPr>
            <w:tcW w:w="28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486,272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62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60" w:type="dxa"/>
            <w:vAlign w:val="bottom"/>
            <w:vMerge w:val="restart"/>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220" w:type="dxa"/>
            <w:vAlign w:val="bottom"/>
            <w:vMerge w:val="restart"/>
            <w:shd w:val="clear" w:color="auto" w:fill="CCEEFF"/>
          </w:tcPr>
          <w:p>
            <w:pPr>
              <w:spacing w:after="0"/>
              <w:rPr>
                <w:sz w:val="17"/>
                <w:szCs w:val="17"/>
                <w:color w:val="auto"/>
              </w:rPr>
            </w:pPr>
          </w:p>
        </w:tc>
        <w:tc>
          <w:tcPr>
            <w:tcW w:w="262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approved by security holders</w:t>
            </w:r>
          </w:p>
        </w:tc>
        <w:tc>
          <w:tcPr>
            <w:tcW w:w="26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2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gridSpan w:val="2"/>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1,541,792</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1"/>
              </w:rPr>
              <w:t>6.88</w:t>
            </w:r>
          </w:p>
        </w:tc>
        <w:tc>
          <w:tcPr>
            <w:tcW w:w="2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486,272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7 in the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right="7920" w:hanging="652"/>
        <w:spacing w:after="0" w:line="51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 xml:space="preserve">Documents filed as part of this report: </w:t>
      </w: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financial statements and schedules required by this Item 15 are set forth in Part II, Item 8 of this report.</w:t>
      </w:r>
    </w:p>
    <w:p>
      <w:pPr>
        <w:spacing w:after="0" w:line="248"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a part of this report:</w:t>
      </w:r>
    </w:p>
    <w:p>
      <w:pPr>
        <w:sectPr>
          <w:pgSz w:w="11900" w:h="16838" w:orient="portrait"/>
          <w:cols w:equalWidth="0" w:num="1">
            <w:col w:w="11320"/>
          </w:cols>
          <w:pgMar w:left="240" w:top="58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Index</w:t>
            </w:r>
          </w:p>
        </w:tc>
        <w:tc>
          <w:tcPr>
            <w:tcW w:w="4420" w:type="dxa"/>
            <w:vAlign w:val="bottom"/>
            <w:gridSpan w:val="21"/>
          </w:tcPr>
          <w:p>
            <w:pPr>
              <w:spacing w:after="0"/>
              <w:rPr>
                <w:sz w:val="20"/>
                <w:szCs w:val="20"/>
                <w:color w:val="auto"/>
              </w:rPr>
            </w:pPr>
            <w:r>
              <w:rPr>
                <w:rFonts w:ascii="Arial" w:cs="Arial" w:eastAsia="Arial" w:hAnsi="Arial"/>
                <w:sz w:val="18"/>
                <w:szCs w:val="18"/>
                <w:color w:val="auto"/>
              </w:rPr>
              <w:t>Description of Document</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3960" w:type="dxa"/>
            <w:vAlign w:val="bottom"/>
            <w:tcBorders>
              <w:bottom w:val="single" w:sz="8" w:color="0000EE"/>
            </w:tcBorders>
            <w:gridSpan w:val="12"/>
          </w:tcPr>
          <w:p>
            <w:pP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Stock Purchase Agreement, dated May 1, 2019, by and</w:t>
              </w:r>
            </w:hyperlink>
          </w:p>
        </w:tc>
        <w:tc>
          <w:tcPr>
            <w:tcW w:w="46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2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among Ultralife Corporation, Southwest Electronic Energy</w:t>
              </w:r>
            </w:hyperlink>
          </w:p>
        </w:tc>
        <w:tc>
          <w:tcPr>
            <w:tcW w:w="18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420" w:type="dxa"/>
            <w:vAlign w:val="bottom"/>
            <w:gridSpan w:val="21"/>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Corporation, Southwest Electronic Energy Medical Research</w:t>
              </w:r>
            </w:hyperlink>
          </w:p>
        </w:tc>
      </w:tr>
      <w:tr>
        <w:trPr>
          <w:trHeight w:val="196"/>
        </w:trPr>
        <w:tc>
          <w:tcPr>
            <w:tcW w:w="880" w:type="dxa"/>
            <w:vAlign w:val="bottom"/>
          </w:tcPr>
          <w:p>
            <w:pPr>
              <w:spacing w:after="0"/>
              <w:rPr>
                <w:sz w:val="17"/>
                <w:szCs w:val="17"/>
                <w:color w:val="auto"/>
              </w:rPr>
            </w:pPr>
          </w:p>
        </w:tc>
        <w:tc>
          <w:tcPr>
            <w:tcW w:w="4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Institute, and Claude Leonard Benckenstein</w:t>
              </w:r>
            </w:hyperlink>
          </w:p>
        </w:tc>
        <w:tc>
          <w:tcPr>
            <w:tcW w:w="4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43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Stock Purchase Agreement Relating to Accutronics Limited</w:t>
              </w:r>
            </w:hyperlink>
          </w:p>
        </w:tc>
        <w:tc>
          <w:tcPr>
            <w:tcW w:w="10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by and between Robert Andrew Phillips and Others and</w:t>
              </w:r>
            </w:hyperlink>
          </w:p>
        </w:tc>
        <w:tc>
          <w:tcPr>
            <w:tcW w:w="40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Ultralife Corporation</w:t>
              </w:r>
            </w:hyperlink>
          </w:p>
        </w:tc>
        <w:tc>
          <w:tcPr>
            <w:tcW w:w="2900" w:type="dxa"/>
            <w:vAlign w:val="bottom"/>
            <w:gridSpan w:val="18"/>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2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Restated Certificate of Incorporation</w:t>
              </w:r>
            </w:hyperlink>
          </w:p>
        </w:tc>
        <w:tc>
          <w:tcPr>
            <w:tcW w:w="1780" w:type="dxa"/>
            <w:vAlign w:val="bottom"/>
            <w:gridSpan w:val="15"/>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4420" w:type="dxa"/>
            <w:vAlign w:val="bottom"/>
            <w:gridSpan w:val="21"/>
          </w:tcPr>
          <w:p>
            <w:pPr>
              <w:spacing w:after="0"/>
              <w:rPr>
                <w:rFonts w:ascii="Arial" w:cs="Arial" w:eastAsia="Arial" w:hAnsi="Arial"/>
                <w:sz w:val="18"/>
                <w:szCs w:val="18"/>
                <w:color w:val="0000EE"/>
              </w:rPr>
            </w:pPr>
            <w:hyperlink r:id="rId71">
              <w:r>
                <w:rPr>
                  <w:rFonts w:ascii="Arial" w:cs="Arial" w:eastAsia="Arial" w:hAnsi="Arial"/>
                  <w:sz w:val="18"/>
                  <w:szCs w:val="18"/>
                  <w:color w:val="0000EE"/>
                </w:rPr>
                <w:t>Amended and Restated By-laws</w:t>
              </w:r>
            </w:hyperlink>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2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Specimen Stock Certificate</w:t>
              </w:r>
            </w:hyperlink>
          </w:p>
        </w:tc>
        <w:tc>
          <w:tcPr>
            <w:tcW w:w="2120" w:type="dxa"/>
            <w:vAlign w:val="bottom"/>
            <w:gridSpan w:val="1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3920" w:type="dxa"/>
            <w:vAlign w:val="bottom"/>
            <w:tcBorders>
              <w:bottom w:val="single" w:sz="8" w:color="0000EE"/>
            </w:tcBorders>
            <w:gridSpan w:val="11"/>
          </w:tcPr>
          <w:p>
            <w:pP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Amendment to the Agreement relating to rechargeable</w:t>
              </w:r>
            </w:hyperlink>
          </w:p>
        </w:tc>
        <w:tc>
          <w:tcPr>
            <w:tcW w:w="50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20" w:type="dxa"/>
            <w:vAlign w:val="bottom"/>
            <w:gridSpan w:val="21"/>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batteries</w:t>
              </w:r>
            </w:hyperlink>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4420" w:type="dxa"/>
            <w:vAlign w:val="bottom"/>
            <w:gridSpan w:val="21"/>
          </w:tcPr>
          <w:p>
            <w:pPr>
              <w:spacing w:after="0"/>
              <w:rPr>
                <w:rFonts w:ascii="Arial" w:cs="Arial" w:eastAsia="Arial" w:hAnsi="Arial"/>
                <w:sz w:val="18"/>
                <w:szCs w:val="18"/>
                <w:color w:val="0000EE"/>
              </w:rPr>
            </w:pPr>
            <w:hyperlink r:id="rId74">
              <w:r>
                <w:rPr>
                  <w:rFonts w:ascii="Arial" w:cs="Arial" w:eastAsia="Arial" w:hAnsi="Arial"/>
                  <w:sz w:val="18"/>
                  <w:szCs w:val="18"/>
                  <w:color w:val="0000EE"/>
                </w:rPr>
                <w:t>Ultralife Corporation 2014 Long-Term Incentive Plan</w:t>
              </w:r>
            </w:hyperlink>
          </w:p>
        </w:tc>
      </w:tr>
      <w:tr>
        <w:trPr>
          <w:trHeight w:val="20"/>
        </w:trPr>
        <w:tc>
          <w:tcPr>
            <w:tcW w:w="8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4260" w:type="dxa"/>
            <w:vAlign w:val="bottom"/>
            <w:tcBorders>
              <w:bottom w:val="single" w:sz="8" w:color="0000EE"/>
            </w:tcBorders>
            <w:gridSpan w:val="17"/>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Ultralife Batteries, Inc. Amended and Restated 2004 Long-</w:t>
              </w:r>
            </w:hyperlink>
          </w:p>
        </w:tc>
        <w:tc>
          <w:tcPr>
            <w:tcW w:w="16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420" w:type="dxa"/>
            <w:vAlign w:val="bottom"/>
            <w:gridSpan w:val="21"/>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Term Incentive Plan</w:t>
              </w:r>
            </w:hyperlink>
          </w:p>
        </w:tc>
      </w:tr>
      <w:tr>
        <w:trPr>
          <w:trHeight w:val="20"/>
        </w:trPr>
        <w:tc>
          <w:tcPr>
            <w:tcW w:w="8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4420" w:type="dxa"/>
            <w:vAlign w:val="bottom"/>
            <w:gridSpan w:val="21"/>
          </w:tcPr>
          <w:p>
            <w:pPr>
              <w:spacing w:after="0" w:line="196" w:lineRule="exact"/>
              <w:rPr>
                <w:rFonts w:ascii="Arial" w:cs="Arial" w:eastAsia="Arial" w:hAnsi="Arial"/>
                <w:sz w:val="18"/>
                <w:szCs w:val="18"/>
                <w:color w:val="0000EE"/>
                <w:w w:val="94"/>
              </w:rPr>
            </w:pPr>
            <w:hyperlink r:id="rId76">
              <w:r>
                <w:rPr>
                  <w:rFonts w:ascii="Arial" w:cs="Arial" w:eastAsia="Arial" w:hAnsi="Arial"/>
                  <w:sz w:val="18"/>
                  <w:szCs w:val="18"/>
                  <w:color w:val="0000EE"/>
                  <w:w w:val="94"/>
                </w:rPr>
                <w:t>Amendment No. 1 to Ultralife Batteries, Inc. Amended and</w:t>
              </w:r>
            </w:hyperlink>
          </w:p>
        </w:tc>
      </w:tr>
      <w:tr>
        <w:trPr>
          <w:trHeight w:val="196"/>
        </w:trPr>
        <w:tc>
          <w:tcPr>
            <w:tcW w:w="88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Restated 2004 Long-Term Incentive Plan</w:t>
              </w:r>
            </w:hyperlink>
          </w:p>
        </w:tc>
        <w:tc>
          <w:tcPr>
            <w:tcW w:w="1300" w:type="dxa"/>
            <w:vAlign w:val="bottom"/>
            <w:tcBorders>
              <w:top w:val="single" w:sz="8" w:color="0000EE"/>
            </w:tcBorders>
            <w:gridSpan w:val="10"/>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4420" w:type="dxa"/>
            <w:vAlign w:val="bottom"/>
            <w:gridSpan w:val="21"/>
          </w:tcPr>
          <w:p>
            <w:pPr>
              <w:spacing w:after="0" w:line="19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Amendment No. 2 to Ultralife Batteries, Inc. Amended and</w:t>
              </w:r>
            </w:hyperlink>
          </w:p>
        </w:tc>
      </w:tr>
      <w:tr>
        <w:trPr>
          <w:trHeight w:val="196"/>
        </w:trPr>
        <w:tc>
          <w:tcPr>
            <w:tcW w:w="88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Restated 2004 Long-Term Incentive Plan</w:t>
              </w:r>
            </w:hyperlink>
          </w:p>
        </w:tc>
        <w:tc>
          <w:tcPr>
            <w:tcW w:w="1300" w:type="dxa"/>
            <w:vAlign w:val="bottom"/>
            <w:tcBorders>
              <w:top w:val="single" w:sz="8" w:color="0000EE"/>
            </w:tcBorders>
            <w:gridSpan w:val="10"/>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4420" w:type="dxa"/>
            <w:vAlign w:val="bottom"/>
            <w:gridSpan w:val="21"/>
          </w:tcPr>
          <w:p>
            <w:pPr>
              <w:spacing w:after="0" w:line="196"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Amendment No. 3 to Ultralife Batteries, Inc. Amended and</w:t>
              </w:r>
            </w:hyperlink>
          </w:p>
        </w:tc>
      </w:tr>
      <w:tr>
        <w:trPr>
          <w:trHeight w:val="196"/>
        </w:trPr>
        <w:tc>
          <w:tcPr>
            <w:tcW w:w="88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Restated 2004 Long-Term Incentive Plan</w:t>
              </w:r>
            </w:hyperlink>
          </w:p>
        </w:tc>
        <w:tc>
          <w:tcPr>
            <w:tcW w:w="1300" w:type="dxa"/>
            <w:vAlign w:val="bottom"/>
            <w:tcBorders>
              <w:top w:val="single" w:sz="8" w:color="0000EE"/>
            </w:tcBorders>
            <w:gridSpan w:val="10"/>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4420" w:type="dxa"/>
            <w:vAlign w:val="bottom"/>
            <w:gridSpan w:val="21"/>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Employment Agreement between the Registrant and Michael</w:t>
              </w:r>
            </w:hyperlink>
          </w:p>
        </w:tc>
      </w:tr>
      <w:tr>
        <w:trPr>
          <w:trHeight w:val="196"/>
        </w:trPr>
        <w:tc>
          <w:tcPr>
            <w:tcW w:w="88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79">
              <w:r>
                <w:rPr>
                  <w:rFonts w:ascii="Arial" w:cs="Arial" w:eastAsia="Arial" w:hAnsi="Arial"/>
                  <w:sz w:val="18"/>
                  <w:szCs w:val="18"/>
                  <w:color w:val="0000EE"/>
                  <w:w w:val="88"/>
                </w:rPr>
                <w:t>D. Popielec dated December 6, 2010</w:t>
              </w:r>
            </w:hyperlink>
          </w:p>
        </w:tc>
        <w:tc>
          <w:tcPr>
            <w:tcW w:w="17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41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Amendment No. 4 to Ultralife Corporation Amended and</w:t>
              </w:r>
            </w:hyperlink>
          </w:p>
        </w:tc>
        <w:tc>
          <w:tcPr>
            <w:tcW w:w="28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Restated 2004 Long-Term Incentive Plan</w:t>
              </w:r>
            </w:hyperlink>
          </w:p>
        </w:tc>
        <w:tc>
          <w:tcPr>
            <w:tcW w:w="1460" w:type="dxa"/>
            <w:vAlign w:val="bottom"/>
            <w:gridSpan w:val="14"/>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41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Amendment No. 5 to Ultralife Corporation Amended and</w:t>
              </w:r>
            </w:hyperlink>
          </w:p>
        </w:tc>
        <w:tc>
          <w:tcPr>
            <w:tcW w:w="28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Restated 2004 Long-Term Incentive Plan</w:t>
              </w:r>
            </w:hyperlink>
          </w:p>
        </w:tc>
        <w:tc>
          <w:tcPr>
            <w:tcW w:w="1460" w:type="dxa"/>
            <w:vAlign w:val="bottom"/>
            <w:gridSpan w:val="14"/>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4420" w:type="dxa"/>
            <w:vAlign w:val="bottom"/>
            <w:gridSpan w:val="21"/>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Restricted Stock Unit Agreement between Ultralife</w:t>
              </w:r>
            </w:hyperlink>
          </w:p>
        </w:tc>
      </w:tr>
      <w:tr>
        <w:trPr>
          <w:trHeight w:val="20"/>
        </w:trPr>
        <w:tc>
          <w:tcPr>
            <w:tcW w:w="880" w:type="dxa"/>
            <w:vAlign w:val="bottom"/>
          </w:tcPr>
          <w:p>
            <w:pPr>
              <w:spacing w:after="0" w:line="20" w:lineRule="exact"/>
              <w:rPr>
                <w:sz w:val="1"/>
                <w:szCs w:val="1"/>
                <w:color w:val="auto"/>
              </w:rPr>
            </w:pPr>
          </w:p>
        </w:tc>
        <w:tc>
          <w:tcPr>
            <w:tcW w:w="3680" w:type="dxa"/>
            <w:vAlign w:val="bottom"/>
            <w:gridSpan w:val="9"/>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420" w:type="dxa"/>
            <w:vAlign w:val="bottom"/>
            <w:gridSpan w:val="21"/>
          </w:tcPr>
          <w:p>
            <w:pPr>
              <w:spacing w:after="0" w:line="196" w:lineRule="exact"/>
              <w:rPr>
                <w:rFonts w:ascii="Arial" w:cs="Arial" w:eastAsia="Arial" w:hAnsi="Arial"/>
                <w:sz w:val="18"/>
                <w:szCs w:val="18"/>
                <w:color w:val="0000EE"/>
                <w:w w:val="95"/>
              </w:rPr>
            </w:pPr>
            <w:hyperlink r:id="rId82">
              <w:r>
                <w:rPr>
                  <w:rFonts w:ascii="Arial" w:cs="Arial" w:eastAsia="Arial" w:hAnsi="Arial"/>
                  <w:sz w:val="18"/>
                  <w:szCs w:val="18"/>
                  <w:color w:val="0000EE"/>
                  <w:w w:val="95"/>
                </w:rPr>
                <w:t>Corporation and Michael D. Popielec. Dated June 4, 2013</w:t>
              </w:r>
            </w:hyperlink>
          </w:p>
        </w:tc>
      </w:tr>
      <w:tr>
        <w:trPr>
          <w:trHeight w:val="480"/>
        </w:trPr>
        <w:tc>
          <w:tcPr>
            <w:tcW w:w="880" w:type="dxa"/>
            <w:vAlign w:val="bottom"/>
          </w:tcPr>
          <w:p>
            <w:pPr>
              <w:spacing w:after="0"/>
              <w:rPr>
                <w:sz w:val="24"/>
                <w:szCs w:val="24"/>
                <w:color w:val="auto"/>
              </w:rPr>
            </w:pPr>
          </w:p>
        </w:tc>
        <w:tc>
          <w:tcPr>
            <w:tcW w:w="4160" w:type="dxa"/>
            <w:vAlign w:val="bottom"/>
            <w:tcBorders>
              <w:top w:val="single" w:sz="8" w:color="0000EE"/>
            </w:tcBorders>
            <w:gridSpan w:val="15"/>
          </w:tcPr>
          <w:p>
            <w:pPr>
              <w:spacing w:after="0"/>
              <w:rPr>
                <w:sz w:val="24"/>
                <w:szCs w:val="24"/>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May 2,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2.2 of the Form 10-K for the year ended December 31, 2015, filed March 2, 2016</w:t>
      </w:r>
    </w:p>
    <w:p>
      <w:pPr>
        <w:spacing w:after="0" w:line="17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Exhibit 3.1 of the Form 10-K for the year ended December 31, 2008, filed March 13, 2009</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Exhibit 3.2 of the Form 8-K filed December 9, 2011 Exhibit 4.1 of the Form 10-K for the year ended December 31, 2008, filed March 13, 2009</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Exhibit 10.24 of our Form 10-K for the fiscal year ended June 30, 1996 (this Exhibit may be found in SEC File No. 0-20852)</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Appendix A to our Definitive Proxy Statement filed on April 21, 2014</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Exhibit 99.2 of our Registration Statement on Form S-8 filed on July 26, 2004, File No. 333-117662</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Exhibit 99.3 of our Registration Statement on Form S-8 filed August 18, 2006, File No. 333-136737</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Exhibit 99.4 of our Registration Statement on Form S-8 filed November 13, 2008, File No. 333-155349</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Exhibit 99.5 of our Registration Statement on Form S-8 filed November 13, 2008, File No. 333-155349</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Exhibit 10.40 of the Form 10-K for the year ended December 31, 2010, filed March 15, 2011</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Exhibit 4.5 of the Registration Statement on Form S-8 filed on January 30, 2012, File No. 333-179235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May 26, 2011</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Exhibit 10.1 of the Form 10-Q for the quarter ended June 30, 2013, filed August 9, 2013</w:t>
      </w:r>
    </w:p>
    <w:p>
      <w:pPr>
        <w:sectPr>
          <w:pgSz w:w="11900" w:h="16838" w:orient="portrait"/>
          <w:cols w:equalWidth="0" w:num="2">
            <w:col w:w="6180" w:space="720"/>
            <w:col w:w="4420"/>
          </w:cols>
          <w:pgMar w:left="240" w:top="580" w:right="3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4180" w:type="dxa"/>
            <w:vAlign w:val="bottom"/>
            <w:tcBorders>
              <w:bottom w:val="single" w:sz="8" w:color="0000EE"/>
            </w:tcBorders>
            <w:gridSpan w:val="10"/>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Amendment No. 6. to Ultralife Corporation Amended and</w:t>
              </w:r>
            </w:hyperlink>
          </w:p>
        </w:tc>
        <w:tc>
          <w:tcPr>
            <w:tcW w:w="760" w:type="dxa"/>
            <w:vAlign w:val="bottom"/>
            <w:gridSpan w:val="4"/>
          </w:tcPr>
          <w:p>
            <w:pPr>
              <w:spacing w:after="0"/>
              <w:rPr>
                <w:sz w:val="17"/>
                <w:szCs w:val="17"/>
                <w:color w:val="auto"/>
              </w:rPr>
            </w:pPr>
          </w:p>
        </w:tc>
        <w:tc>
          <w:tcPr>
            <w:tcW w:w="4540" w:type="dxa"/>
            <w:vAlign w:val="bottom"/>
          </w:tcPr>
          <w:p>
            <w:pPr>
              <w:ind w:left="580"/>
              <w:spacing w:after="0"/>
              <w:rPr>
                <w:sz w:val="20"/>
                <w:szCs w:val="20"/>
                <w:color w:val="auto"/>
              </w:rPr>
            </w:pPr>
            <w:r>
              <w:rPr>
                <w:rFonts w:ascii="Arial" w:cs="Arial" w:eastAsia="Arial" w:hAnsi="Arial"/>
                <w:sz w:val="18"/>
                <w:szCs w:val="18"/>
                <w:color w:val="auto"/>
                <w:w w:val="94"/>
              </w:rPr>
              <w:t>Appendix A of Form DEF 14A filed on April 22, 2013</w:t>
            </w:r>
          </w:p>
        </w:tc>
      </w:tr>
      <w:tr>
        <w:trPr>
          <w:trHeight w:val="196"/>
        </w:trPr>
        <w:tc>
          <w:tcPr>
            <w:tcW w:w="880" w:type="dxa"/>
            <w:vAlign w:val="bottom"/>
          </w:tcPr>
          <w:p>
            <w:pPr>
              <w:spacing w:after="0"/>
              <w:rPr>
                <w:sz w:val="17"/>
                <w:szCs w:val="17"/>
                <w:color w:val="auto"/>
              </w:rPr>
            </w:pPr>
          </w:p>
        </w:tc>
        <w:tc>
          <w:tcPr>
            <w:tcW w:w="29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Restated 2004 Long-Term Incentive Plan</w:t>
              </w:r>
            </w:hyperlink>
          </w:p>
        </w:tc>
        <w:tc>
          <w:tcPr>
            <w:tcW w:w="1980" w:type="dxa"/>
            <w:vAlign w:val="bottom"/>
            <w:gridSpan w:val="7"/>
          </w:tcPr>
          <w:p>
            <w:pPr>
              <w:spacing w:after="0"/>
              <w:rPr>
                <w:sz w:val="17"/>
                <w:szCs w:val="17"/>
                <w:color w:val="auto"/>
              </w:rPr>
            </w:pPr>
          </w:p>
        </w:tc>
        <w:tc>
          <w:tcPr>
            <w:tcW w:w="4540" w:type="dxa"/>
            <w:vAlign w:val="bottom"/>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35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Credit and Security Agreement between Ultralife</w:t>
              </w:r>
            </w:hyperlink>
          </w:p>
        </w:tc>
        <w:tc>
          <w:tcPr>
            <w:tcW w:w="1400" w:type="dxa"/>
            <w:vAlign w:val="bottom"/>
            <w:gridSpan w:val="6"/>
          </w:tcPr>
          <w:p>
            <w:pPr>
              <w:spacing w:after="0"/>
              <w:rPr>
                <w:sz w:val="17"/>
                <w:szCs w:val="17"/>
                <w:color w:val="auto"/>
              </w:rPr>
            </w:pPr>
          </w:p>
        </w:tc>
        <w:tc>
          <w:tcPr>
            <w:tcW w:w="4540" w:type="dxa"/>
            <w:vAlign w:val="bottom"/>
          </w:tcPr>
          <w:p>
            <w:pPr>
              <w:ind w:left="580"/>
              <w:spacing w:after="0" w:line="196" w:lineRule="exact"/>
              <w:rPr>
                <w:sz w:val="20"/>
                <w:szCs w:val="20"/>
                <w:color w:val="auto"/>
              </w:rPr>
            </w:pPr>
            <w:r>
              <w:rPr>
                <w:rFonts w:ascii="Arial" w:cs="Arial" w:eastAsia="Arial" w:hAnsi="Arial"/>
                <w:sz w:val="18"/>
                <w:szCs w:val="18"/>
                <w:color w:val="auto"/>
                <w:w w:val="99"/>
              </w:rPr>
              <w:t>Exhibit 10.1 of the Form 8-K filed on June 6, 2017</w:t>
            </w:r>
          </w:p>
        </w:tc>
      </w:tr>
      <w:tr>
        <w:trPr>
          <w:trHeight w:val="196"/>
        </w:trPr>
        <w:tc>
          <w:tcPr>
            <w:tcW w:w="880" w:type="dxa"/>
            <w:vAlign w:val="bottom"/>
          </w:tcPr>
          <w:p>
            <w:pPr>
              <w:spacing w:after="0"/>
              <w:rPr>
                <w:sz w:val="17"/>
                <w:szCs w:val="17"/>
                <w:color w:val="auto"/>
              </w:rPr>
            </w:pPr>
          </w:p>
        </w:tc>
        <w:tc>
          <w:tcPr>
            <w:tcW w:w="4940" w:type="dxa"/>
            <w:vAlign w:val="bottom"/>
            <w:gridSpan w:val="1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Corporation and KeyBank National Association dated May</w:t>
              </w:r>
            </w:hyperlink>
          </w:p>
        </w:tc>
        <w:tc>
          <w:tcPr>
            <w:tcW w:w="45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85">
              <w:r>
                <w:rPr>
                  <w:rFonts w:ascii="Arial" w:cs="Arial" w:eastAsia="Arial" w:hAnsi="Arial"/>
                  <w:sz w:val="18"/>
                  <w:szCs w:val="18"/>
                  <w:color w:val="0000EE"/>
                  <w:w w:val="85"/>
                </w:rPr>
                <w:t>31, 2017</w:t>
              </w:r>
            </w:hyperlink>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41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First Amendment Agreement, dated May 1, 2019, by and</w:t>
              </w:r>
            </w:hyperlink>
          </w:p>
        </w:tc>
        <w:tc>
          <w:tcPr>
            <w:tcW w:w="820" w:type="dxa"/>
            <w:vAlign w:val="bottom"/>
            <w:gridSpan w:val="5"/>
          </w:tcPr>
          <w:p>
            <w:pPr>
              <w:spacing w:after="0"/>
              <w:rPr>
                <w:sz w:val="17"/>
                <w:szCs w:val="17"/>
                <w:color w:val="auto"/>
              </w:rPr>
            </w:pPr>
          </w:p>
        </w:tc>
        <w:tc>
          <w:tcPr>
            <w:tcW w:w="4540" w:type="dxa"/>
            <w:vAlign w:val="bottom"/>
          </w:tcPr>
          <w:p>
            <w:pPr>
              <w:ind w:left="580"/>
              <w:spacing w:after="0" w:line="196" w:lineRule="exact"/>
              <w:rPr>
                <w:sz w:val="20"/>
                <w:szCs w:val="20"/>
                <w:color w:val="auto"/>
              </w:rPr>
            </w:pPr>
            <w:r>
              <w:rPr>
                <w:rFonts w:ascii="Arial" w:cs="Arial" w:eastAsia="Arial" w:hAnsi="Arial"/>
                <w:sz w:val="18"/>
                <w:szCs w:val="18"/>
                <w:color w:val="auto"/>
              </w:rPr>
              <w:t>Exhibit 10.1 of the Form 8-K filed on May 2, 2019</w:t>
            </w:r>
          </w:p>
        </w:tc>
      </w:tr>
      <w:tr>
        <w:trPr>
          <w:trHeight w:val="196"/>
        </w:trPr>
        <w:tc>
          <w:tcPr>
            <w:tcW w:w="880" w:type="dxa"/>
            <w:vAlign w:val="bottom"/>
          </w:tcPr>
          <w:p>
            <w:pPr>
              <w:spacing w:after="0"/>
              <w:rPr>
                <w:sz w:val="17"/>
                <w:szCs w:val="17"/>
                <w:color w:val="auto"/>
              </w:rPr>
            </w:pPr>
          </w:p>
        </w:tc>
        <w:tc>
          <w:tcPr>
            <w:tcW w:w="42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among Ultralife Corporation, Southwest Electronic Energy</w:t>
              </w:r>
            </w:hyperlink>
          </w:p>
        </w:tc>
        <w:tc>
          <w:tcPr>
            <w:tcW w:w="700" w:type="dxa"/>
            <w:vAlign w:val="bottom"/>
            <w:gridSpan w:val="3"/>
          </w:tcPr>
          <w:p>
            <w:pPr>
              <w:spacing w:after="0"/>
              <w:rPr>
                <w:sz w:val="17"/>
                <w:szCs w:val="17"/>
                <w:color w:val="auto"/>
              </w:rPr>
            </w:pPr>
          </w:p>
        </w:tc>
        <w:tc>
          <w:tcPr>
            <w:tcW w:w="454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940" w:type="dxa"/>
            <w:vAlign w:val="bottom"/>
            <w:gridSpan w:val="14"/>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Corporation, CLB, INC., and KeyBank National Association</w:t>
              </w:r>
            </w:hyperlink>
          </w:p>
        </w:tc>
        <w:tc>
          <w:tcPr>
            <w:tcW w:w="4540" w:type="dxa"/>
            <w:vAlign w:val="bottom"/>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Subsidiaries</w:t>
              </w:r>
            </w:hyperlink>
          </w:p>
        </w:tc>
        <w:tc>
          <w:tcPr>
            <w:tcW w:w="3500" w:type="dxa"/>
            <w:vAlign w:val="bottom"/>
            <w:tcBorders>
              <w:top w:val="single" w:sz="8" w:color="0000EE"/>
            </w:tcBorders>
            <w:gridSpan w:val="11"/>
          </w:tcPr>
          <w:p>
            <w:pPr>
              <w:spacing w:after="0"/>
              <w:rPr>
                <w:sz w:val="17"/>
                <w:szCs w:val="17"/>
                <w:color w:val="auto"/>
              </w:rPr>
            </w:pPr>
          </w:p>
        </w:tc>
        <w:tc>
          <w:tcPr>
            <w:tcW w:w="560" w:type="dxa"/>
            <w:vAlign w:val="bottom"/>
          </w:tcPr>
          <w:p>
            <w:pPr>
              <w:spacing w:after="0"/>
              <w:rPr>
                <w:sz w:val="17"/>
                <w:szCs w:val="17"/>
                <w:color w:val="auto"/>
              </w:rPr>
            </w:pPr>
          </w:p>
        </w:tc>
        <w:tc>
          <w:tcPr>
            <w:tcW w:w="4540" w:type="dxa"/>
            <w:vAlign w:val="bottom"/>
          </w:tcPr>
          <w:p>
            <w:pPr>
              <w:ind w:left="58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Consent of Freed Maxick CPAs, P.C.</w:t>
              </w:r>
            </w:hyperlink>
          </w:p>
        </w:tc>
        <w:tc>
          <w:tcPr>
            <w:tcW w:w="2280" w:type="dxa"/>
            <w:vAlign w:val="bottom"/>
            <w:gridSpan w:val="8"/>
          </w:tcPr>
          <w:p>
            <w:pPr>
              <w:spacing w:after="0"/>
              <w:rPr>
                <w:sz w:val="17"/>
                <w:szCs w:val="17"/>
                <w:color w:val="auto"/>
              </w:rPr>
            </w:pPr>
          </w:p>
        </w:tc>
        <w:tc>
          <w:tcPr>
            <w:tcW w:w="4540" w:type="dxa"/>
            <w:vAlign w:val="bottom"/>
          </w:tcPr>
          <w:p>
            <w:pPr>
              <w:ind w:left="58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CEO 302 Certifications</w:t>
              </w:r>
            </w:hyperlink>
          </w:p>
        </w:tc>
        <w:tc>
          <w:tcPr>
            <w:tcW w:w="3240" w:type="dxa"/>
            <w:vAlign w:val="bottom"/>
            <w:gridSpan w:val="9"/>
          </w:tcPr>
          <w:p>
            <w:pPr>
              <w:spacing w:after="0"/>
              <w:rPr>
                <w:sz w:val="17"/>
                <w:szCs w:val="17"/>
                <w:color w:val="auto"/>
              </w:rPr>
            </w:pPr>
          </w:p>
        </w:tc>
        <w:tc>
          <w:tcPr>
            <w:tcW w:w="4540" w:type="dxa"/>
            <w:vAlign w:val="bottom"/>
          </w:tcPr>
          <w:p>
            <w:pPr>
              <w:ind w:left="58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940" w:type="dxa"/>
            <w:vAlign w:val="bottom"/>
            <w:gridSpan w:val="1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CFO 302 Certifications</w:t>
              </w:r>
            </w:hyperlink>
          </w:p>
        </w:tc>
        <w:tc>
          <w:tcPr>
            <w:tcW w:w="4540" w:type="dxa"/>
            <w:vAlign w:val="bottom"/>
          </w:tcPr>
          <w:p>
            <w:pPr>
              <w:ind w:left="58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6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906 Certifications</w:t>
              </w:r>
            </w:hyperlink>
          </w:p>
        </w:tc>
        <w:tc>
          <w:tcPr>
            <w:tcW w:w="3260" w:type="dxa"/>
            <w:vAlign w:val="bottom"/>
            <w:gridSpan w:val="10"/>
          </w:tcPr>
          <w:p>
            <w:pPr>
              <w:spacing w:after="0"/>
              <w:rPr>
                <w:sz w:val="17"/>
                <w:szCs w:val="17"/>
                <w:color w:val="auto"/>
              </w:rPr>
            </w:pPr>
          </w:p>
        </w:tc>
        <w:tc>
          <w:tcPr>
            <w:tcW w:w="4540" w:type="dxa"/>
            <w:vAlign w:val="bottom"/>
          </w:tcPr>
          <w:p>
            <w:pPr>
              <w:ind w:left="580"/>
              <w:spacing w:after="0" w:line="196" w:lineRule="exact"/>
              <w:rPr>
                <w:sz w:val="20"/>
                <w:szCs w:val="20"/>
                <w:color w:val="auto"/>
              </w:rPr>
            </w:pPr>
            <w:r>
              <w:rPr>
                <w:rFonts w:ascii="Arial" w:cs="Arial" w:eastAsia="Arial" w:hAnsi="Arial"/>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660" w:type="dxa"/>
            <w:vAlign w:val="bottom"/>
            <w:gridSpan w:val="11"/>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100.INS</w:t>
            </w:r>
          </w:p>
        </w:tc>
        <w:tc>
          <w:tcPr>
            <w:tcW w:w="494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4540" w:type="dxa"/>
            <w:vAlign w:val="bottom"/>
          </w:tcPr>
          <w:p>
            <w:pPr>
              <w:ind w:left="580"/>
              <w:spacing w:after="0"/>
              <w:rPr>
                <w:sz w:val="20"/>
                <w:szCs w:val="20"/>
                <w:color w:val="auto"/>
              </w:rPr>
            </w:pPr>
            <w:r>
              <w:rPr>
                <w:rFonts w:ascii="Arial" w:cs="Arial" w:eastAsia="Arial" w:hAnsi="Arial"/>
                <w:sz w:val="18"/>
                <w:szCs w:val="18"/>
                <w:color w:val="auto"/>
              </w:rPr>
              <w:t>Filed herewith</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100.SCH</w:t>
            </w:r>
          </w:p>
        </w:tc>
        <w:tc>
          <w:tcPr>
            <w:tcW w:w="494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4540" w:type="dxa"/>
            <w:vAlign w:val="bottom"/>
          </w:tcPr>
          <w:p>
            <w:pPr>
              <w:ind w:left="580"/>
              <w:spacing w:after="0"/>
              <w:rPr>
                <w:sz w:val="20"/>
                <w:szCs w:val="20"/>
                <w:color w:val="auto"/>
              </w:rPr>
            </w:pPr>
            <w:r>
              <w:rPr>
                <w:rFonts w:ascii="Arial" w:cs="Arial" w:eastAsia="Arial" w:hAnsi="Arial"/>
                <w:sz w:val="18"/>
                <w:szCs w:val="18"/>
                <w:color w:val="auto"/>
              </w:rPr>
              <w:t>Filed herewith</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100.CAL</w:t>
            </w:r>
          </w:p>
        </w:tc>
        <w:tc>
          <w:tcPr>
            <w:tcW w:w="4940" w:type="dxa"/>
            <w:vAlign w:val="bottom"/>
            <w:gridSpan w:val="14"/>
          </w:tcPr>
          <w:p>
            <w:pPr>
              <w:spacing w:after="0"/>
              <w:rPr>
                <w:sz w:val="20"/>
                <w:szCs w:val="20"/>
                <w:color w:val="auto"/>
              </w:rPr>
            </w:pPr>
            <w:r>
              <w:rPr>
                <w:rFonts w:ascii="Arial" w:cs="Arial" w:eastAsia="Arial" w:hAnsi="Arial"/>
                <w:sz w:val="18"/>
                <w:szCs w:val="18"/>
                <w:color w:val="auto"/>
              </w:rPr>
              <w:t>XBRL Taxonomy Calculation Linkbase Document</w:t>
            </w:r>
          </w:p>
        </w:tc>
        <w:tc>
          <w:tcPr>
            <w:tcW w:w="4540" w:type="dxa"/>
            <w:vAlign w:val="bottom"/>
          </w:tcPr>
          <w:p>
            <w:pPr>
              <w:ind w:left="580"/>
              <w:spacing w:after="0"/>
              <w:rPr>
                <w:sz w:val="20"/>
                <w:szCs w:val="20"/>
                <w:color w:val="auto"/>
              </w:rPr>
            </w:pPr>
            <w:r>
              <w:rPr>
                <w:rFonts w:ascii="Arial" w:cs="Arial" w:eastAsia="Arial" w:hAnsi="Arial"/>
                <w:sz w:val="18"/>
                <w:szCs w:val="18"/>
                <w:color w:val="auto"/>
              </w:rPr>
              <w:t>Filed herewith</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100.LAB</w:t>
            </w:r>
          </w:p>
        </w:tc>
        <w:tc>
          <w:tcPr>
            <w:tcW w:w="4940" w:type="dxa"/>
            <w:vAlign w:val="bottom"/>
            <w:gridSpan w:val="14"/>
          </w:tcPr>
          <w:p>
            <w:pPr>
              <w:spacing w:after="0"/>
              <w:rPr>
                <w:sz w:val="20"/>
                <w:szCs w:val="20"/>
                <w:color w:val="auto"/>
              </w:rPr>
            </w:pPr>
            <w:r>
              <w:rPr>
                <w:rFonts w:ascii="Arial" w:cs="Arial" w:eastAsia="Arial" w:hAnsi="Arial"/>
                <w:sz w:val="18"/>
                <w:szCs w:val="18"/>
                <w:color w:val="auto"/>
              </w:rPr>
              <w:t>XBRL Taxonomy Label Linkbase Document</w:t>
            </w:r>
          </w:p>
        </w:tc>
        <w:tc>
          <w:tcPr>
            <w:tcW w:w="4540" w:type="dxa"/>
            <w:vAlign w:val="bottom"/>
          </w:tcPr>
          <w:p>
            <w:pPr>
              <w:ind w:left="580"/>
              <w:spacing w:after="0"/>
              <w:rPr>
                <w:sz w:val="20"/>
                <w:szCs w:val="20"/>
                <w:color w:val="auto"/>
              </w:rPr>
            </w:pPr>
            <w:r>
              <w:rPr>
                <w:rFonts w:ascii="Arial" w:cs="Arial" w:eastAsia="Arial" w:hAnsi="Arial"/>
                <w:sz w:val="18"/>
                <w:szCs w:val="18"/>
                <w:color w:val="auto"/>
              </w:rPr>
              <w:t>Filed herewith</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100.PRE</w:t>
            </w:r>
          </w:p>
        </w:tc>
        <w:tc>
          <w:tcPr>
            <w:tcW w:w="4940" w:type="dxa"/>
            <w:vAlign w:val="bottom"/>
            <w:gridSpan w:val="14"/>
          </w:tcPr>
          <w:p>
            <w:pPr>
              <w:spacing w:after="0"/>
              <w:rPr>
                <w:sz w:val="20"/>
                <w:szCs w:val="20"/>
                <w:color w:val="auto"/>
              </w:rPr>
            </w:pPr>
            <w:r>
              <w:rPr>
                <w:rFonts w:ascii="Arial" w:cs="Arial" w:eastAsia="Arial" w:hAnsi="Arial"/>
                <w:sz w:val="18"/>
                <w:szCs w:val="18"/>
                <w:color w:val="auto"/>
              </w:rPr>
              <w:t>XBRL Taxonomy Presentation Linkbase Document</w:t>
            </w:r>
          </w:p>
        </w:tc>
        <w:tc>
          <w:tcPr>
            <w:tcW w:w="4540" w:type="dxa"/>
            <w:vAlign w:val="bottom"/>
          </w:tcPr>
          <w:p>
            <w:pPr>
              <w:ind w:left="580"/>
              <w:spacing w:after="0"/>
              <w:rPr>
                <w:sz w:val="20"/>
                <w:szCs w:val="20"/>
                <w:color w:val="auto"/>
              </w:rPr>
            </w:pPr>
            <w:r>
              <w:rPr>
                <w:rFonts w:ascii="Arial" w:cs="Arial" w:eastAsia="Arial" w:hAnsi="Arial"/>
                <w:sz w:val="18"/>
                <w:szCs w:val="18"/>
                <w:color w:val="auto"/>
              </w:rPr>
              <w:t>Filed herewith</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100.DEF</w:t>
            </w:r>
          </w:p>
        </w:tc>
        <w:tc>
          <w:tcPr>
            <w:tcW w:w="4940" w:type="dxa"/>
            <w:vAlign w:val="bottom"/>
            <w:gridSpan w:val="14"/>
          </w:tcPr>
          <w:p>
            <w:pPr>
              <w:spacing w:after="0"/>
              <w:rPr>
                <w:sz w:val="20"/>
                <w:szCs w:val="20"/>
                <w:color w:val="auto"/>
              </w:rPr>
            </w:pPr>
            <w:r>
              <w:rPr>
                <w:rFonts w:ascii="Arial" w:cs="Arial" w:eastAsia="Arial" w:hAnsi="Arial"/>
                <w:sz w:val="18"/>
                <w:szCs w:val="18"/>
                <w:color w:val="auto"/>
              </w:rPr>
              <w:t>XBRL Taxonomy Definition Document</w:t>
            </w:r>
          </w:p>
        </w:tc>
        <w:tc>
          <w:tcPr>
            <w:tcW w:w="4540" w:type="dxa"/>
            <w:vAlign w:val="bottom"/>
          </w:tcPr>
          <w:p>
            <w:pPr>
              <w:ind w:left="580"/>
              <w:spacing w:after="0"/>
              <w:rPr>
                <w:sz w:val="20"/>
                <w:szCs w:val="20"/>
                <w:color w:val="auto"/>
              </w:rPr>
            </w:pPr>
            <w:r>
              <w:rPr>
                <w:rFonts w:ascii="Arial" w:cs="Arial" w:eastAsia="Arial" w:hAnsi="Arial"/>
                <w:sz w:val="18"/>
                <w:szCs w:val="18"/>
                <w:color w:val="auto"/>
              </w:rPr>
              <w:t>Filed herewith</w:t>
            </w:r>
          </w:p>
        </w:tc>
      </w:tr>
    </w:tbl>
    <w:p>
      <w:pPr>
        <w:spacing w:after="0" w:line="202" w:lineRule="exact"/>
        <w:rPr>
          <w:sz w:val="20"/>
          <w:szCs w:val="20"/>
          <w:color w:val="auto"/>
        </w:rPr>
      </w:pPr>
    </w:p>
    <w:p>
      <w:pPr>
        <w:ind w:left="300" w:hanging="144"/>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w:t>
      </w:r>
    </w:p>
    <w:p>
      <w:pPr>
        <w:spacing w:after="0" w:line="22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740" w:top="567" w:right="7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4860" w:type="dxa"/>
            <w:vAlign w:val="bottom"/>
          </w:tcPr>
          <w:p>
            <w:pPr>
              <w:ind w:left="1220"/>
              <w:spacing w:after="0"/>
              <w:rPr>
                <w:sz w:val="20"/>
                <w:szCs w:val="20"/>
                <w:color w:val="auto"/>
              </w:rPr>
            </w:pPr>
            <w:r>
              <w:rPr>
                <w:rFonts w:ascii="Arial" w:cs="Arial" w:eastAsia="Arial" w:hAnsi="Arial"/>
                <w:sz w:val="18"/>
                <w:szCs w:val="18"/>
                <w:b w:val="1"/>
                <w:bCs w:val="1"/>
                <w:color w:val="auto"/>
              </w:rPr>
              <w:t>ULTRALIFE CORPORATION</w:t>
            </w: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Date: February 6,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59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59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Date: February 6, 2020</w:t>
            </w:r>
          </w:p>
        </w:tc>
        <w:tc>
          <w:tcPr>
            <w:tcW w:w="240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c>
          <w:tcPr>
            <w:tcW w:w="420" w:type="dxa"/>
            <w:vAlign w:val="bottom"/>
          </w:tcPr>
          <w:p>
            <w:pPr>
              <w:spacing w:after="0"/>
              <w:rPr>
                <w:sz w:val="20"/>
                <w:szCs w:val="20"/>
                <w:color w:val="auto"/>
              </w:rPr>
            </w:pPr>
          </w:p>
        </w:tc>
      </w:tr>
      <w:tr>
        <w:trPr>
          <w:trHeight w:val="195"/>
        </w:trPr>
        <w:tc>
          <w:tcPr>
            <w:tcW w:w="37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c>
          <w:tcPr>
            <w:tcW w:w="4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42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20" w:type="dxa"/>
            <w:vAlign w:val="bottom"/>
          </w:tcPr>
          <w:p>
            <w:pPr>
              <w:spacing w:after="0"/>
              <w:rPr>
                <w:sz w:val="20"/>
                <w:szCs w:val="20"/>
                <w:color w:val="auto"/>
              </w:rPr>
            </w:pPr>
          </w:p>
        </w:tc>
      </w:tr>
      <w:tr>
        <w:trPr>
          <w:trHeight w:val="432"/>
        </w:trPr>
        <w:tc>
          <w:tcPr>
            <w:tcW w:w="3740" w:type="dxa"/>
            <w:vAlign w:val="bottom"/>
          </w:tcPr>
          <w:p>
            <w:pPr>
              <w:ind w:left="180"/>
              <w:spacing w:after="0"/>
              <w:rPr>
                <w:sz w:val="20"/>
                <w:szCs w:val="20"/>
                <w:color w:val="auto"/>
              </w:rPr>
            </w:pPr>
            <w:r>
              <w:rPr>
                <w:rFonts w:ascii="Arial" w:cs="Arial" w:eastAsia="Arial" w:hAnsi="Arial"/>
                <w:sz w:val="18"/>
                <w:szCs w:val="18"/>
                <w:color w:val="auto"/>
              </w:rPr>
              <w:t>Date: February 6, 2020</w:t>
            </w:r>
          </w:p>
        </w:tc>
        <w:tc>
          <w:tcPr>
            <w:tcW w:w="24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c>
          <w:tcPr>
            <w:tcW w:w="42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Philip A. Fain</w:t>
            </w:r>
          </w:p>
        </w:tc>
        <w:tc>
          <w:tcPr>
            <w:tcW w:w="4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42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42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Accounting Officer)</w:t>
            </w:r>
          </w:p>
        </w:tc>
        <w:tc>
          <w:tcPr>
            <w:tcW w:w="420" w:type="dxa"/>
            <w:vAlign w:val="bottom"/>
          </w:tcPr>
          <w:p>
            <w:pPr>
              <w:spacing w:after="0"/>
              <w:rPr>
                <w:sz w:val="20"/>
                <w:szCs w:val="20"/>
                <w:color w:val="auto"/>
              </w:rPr>
            </w:pPr>
          </w:p>
        </w:tc>
      </w:tr>
      <w:tr>
        <w:trPr>
          <w:trHeight w:val="432"/>
        </w:trPr>
        <w:tc>
          <w:tcPr>
            <w:tcW w:w="3740" w:type="dxa"/>
            <w:vAlign w:val="bottom"/>
          </w:tcPr>
          <w:p>
            <w:pPr>
              <w:ind w:left="180"/>
              <w:spacing w:after="0"/>
              <w:rPr>
                <w:sz w:val="20"/>
                <w:szCs w:val="20"/>
                <w:color w:val="auto"/>
              </w:rPr>
            </w:pPr>
            <w:r>
              <w:rPr>
                <w:rFonts w:ascii="Arial" w:cs="Arial" w:eastAsia="Arial" w:hAnsi="Arial"/>
                <w:sz w:val="18"/>
                <w:szCs w:val="18"/>
                <w:color w:val="auto"/>
              </w:rPr>
              <w:t>Date: February 6, 2020</w:t>
            </w:r>
          </w:p>
        </w:tc>
        <w:tc>
          <w:tcPr>
            <w:tcW w:w="24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Saeli</w:t>
            </w:r>
          </w:p>
        </w:tc>
        <w:tc>
          <w:tcPr>
            <w:tcW w:w="420" w:type="dxa"/>
            <w:vAlign w:val="bottom"/>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Thomas L. Saeli (Director)</w:t>
            </w:r>
          </w:p>
        </w:tc>
        <w:tc>
          <w:tcPr>
            <w:tcW w:w="420" w:type="dxa"/>
            <w:vAlign w:val="bottom"/>
          </w:tcPr>
          <w:p>
            <w:pPr>
              <w:spacing w:after="0"/>
              <w:rPr>
                <w:sz w:val="19"/>
                <w:szCs w:val="19"/>
                <w:color w:val="auto"/>
              </w:rPr>
            </w:pPr>
          </w:p>
        </w:tc>
      </w:tr>
      <w:tr>
        <w:trPr>
          <w:trHeight w:val="418"/>
        </w:trPr>
        <w:tc>
          <w:tcPr>
            <w:tcW w:w="3740" w:type="dxa"/>
            <w:vAlign w:val="bottom"/>
          </w:tcPr>
          <w:p>
            <w:pPr>
              <w:ind w:left="180"/>
              <w:spacing w:after="0"/>
              <w:rPr>
                <w:sz w:val="20"/>
                <w:szCs w:val="20"/>
                <w:color w:val="auto"/>
              </w:rPr>
            </w:pPr>
            <w:r>
              <w:rPr>
                <w:rFonts w:ascii="Arial" w:cs="Arial" w:eastAsia="Arial" w:hAnsi="Arial"/>
                <w:sz w:val="18"/>
                <w:szCs w:val="18"/>
                <w:color w:val="auto"/>
              </w:rPr>
              <w:t>Date: February 6, 2020</w:t>
            </w:r>
          </w:p>
        </w:tc>
        <w:tc>
          <w:tcPr>
            <w:tcW w:w="24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Shaw II</w:t>
            </w:r>
          </w:p>
        </w:tc>
        <w:tc>
          <w:tcPr>
            <w:tcW w:w="420" w:type="dxa"/>
            <w:vAlign w:val="bottom"/>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Robert W. Shaw II (Director)</w:t>
            </w:r>
          </w:p>
        </w:tc>
        <w:tc>
          <w:tcPr>
            <w:tcW w:w="420" w:type="dxa"/>
            <w:vAlign w:val="bottom"/>
          </w:tcPr>
          <w:p>
            <w:pPr>
              <w:spacing w:after="0"/>
              <w:rPr>
                <w:sz w:val="19"/>
                <w:szCs w:val="19"/>
                <w:color w:val="auto"/>
              </w:rPr>
            </w:pPr>
          </w:p>
        </w:tc>
      </w:tr>
      <w:tr>
        <w:trPr>
          <w:trHeight w:val="418"/>
        </w:trPr>
        <w:tc>
          <w:tcPr>
            <w:tcW w:w="3740" w:type="dxa"/>
            <w:vAlign w:val="bottom"/>
          </w:tcPr>
          <w:p>
            <w:pPr>
              <w:ind w:left="180"/>
              <w:spacing w:after="0"/>
              <w:rPr>
                <w:sz w:val="20"/>
                <w:szCs w:val="20"/>
                <w:color w:val="auto"/>
              </w:rPr>
            </w:pPr>
            <w:r>
              <w:rPr>
                <w:rFonts w:ascii="Arial" w:cs="Arial" w:eastAsia="Arial" w:hAnsi="Arial"/>
                <w:sz w:val="18"/>
                <w:szCs w:val="18"/>
                <w:color w:val="auto"/>
              </w:rPr>
              <w:t>Date: February 6, 2020</w:t>
            </w:r>
          </w:p>
        </w:tc>
        <w:tc>
          <w:tcPr>
            <w:tcW w:w="24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Ranjit C. Singh</w:t>
            </w:r>
          </w:p>
        </w:tc>
        <w:tc>
          <w:tcPr>
            <w:tcW w:w="420" w:type="dxa"/>
            <w:vAlign w:val="bottom"/>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Ranjit C. Singh (Director)</w:t>
            </w:r>
          </w:p>
        </w:tc>
        <w:tc>
          <w:tcPr>
            <w:tcW w:w="420" w:type="dxa"/>
            <w:vAlign w:val="bottom"/>
          </w:tcPr>
          <w:p>
            <w:pPr>
              <w:spacing w:after="0"/>
              <w:rPr>
                <w:sz w:val="19"/>
                <w:szCs w:val="19"/>
                <w:color w:val="auto"/>
              </w:rPr>
            </w:pPr>
          </w:p>
        </w:tc>
      </w:tr>
      <w:tr>
        <w:trPr>
          <w:trHeight w:val="418"/>
        </w:trPr>
        <w:tc>
          <w:tcPr>
            <w:tcW w:w="3740" w:type="dxa"/>
            <w:vAlign w:val="bottom"/>
          </w:tcPr>
          <w:p>
            <w:pPr>
              <w:ind w:left="180"/>
              <w:spacing w:after="0"/>
              <w:rPr>
                <w:sz w:val="20"/>
                <w:szCs w:val="20"/>
                <w:color w:val="auto"/>
              </w:rPr>
            </w:pPr>
            <w:r>
              <w:rPr>
                <w:rFonts w:ascii="Arial" w:cs="Arial" w:eastAsia="Arial" w:hAnsi="Arial"/>
                <w:sz w:val="18"/>
                <w:szCs w:val="18"/>
                <w:color w:val="auto"/>
              </w:rPr>
              <w:t>Date: February 6, 2020</w:t>
            </w:r>
          </w:p>
        </w:tc>
        <w:tc>
          <w:tcPr>
            <w:tcW w:w="24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Bradford T. Whitmore</w:t>
            </w:r>
          </w:p>
        </w:tc>
        <w:tc>
          <w:tcPr>
            <w:tcW w:w="420" w:type="dxa"/>
            <w:vAlign w:val="bottom"/>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Bradford T. Whitmore (Director)</w:t>
            </w:r>
          </w:p>
        </w:tc>
        <w:tc>
          <w:tcPr>
            <w:tcW w:w="420" w:type="dxa"/>
            <w:vAlign w:val="bottom"/>
          </w:tcPr>
          <w:p>
            <w:pPr>
              <w:spacing w:after="0"/>
              <w:rPr>
                <w:sz w:val="19"/>
                <w:szCs w:val="19"/>
                <w:color w:val="auto"/>
              </w:rPr>
            </w:pPr>
          </w:p>
        </w:tc>
      </w:tr>
      <w:tr>
        <w:trPr>
          <w:trHeight w:val="418"/>
        </w:trPr>
        <w:tc>
          <w:tcPr>
            <w:tcW w:w="3740" w:type="dxa"/>
            <w:vAlign w:val="bottom"/>
          </w:tcPr>
          <w:p>
            <w:pPr>
              <w:spacing w:after="0"/>
              <w:rPr>
                <w:sz w:val="24"/>
                <w:szCs w:val="24"/>
                <w:color w:val="auto"/>
              </w:rPr>
            </w:pPr>
          </w:p>
        </w:tc>
        <w:tc>
          <w:tcPr>
            <w:tcW w:w="2400" w:type="dxa"/>
            <w:vAlign w:val="bottom"/>
          </w:tcPr>
          <w:p>
            <w:pPr>
              <w:jc w:val="right"/>
              <w:ind w:right="250"/>
              <w:spacing w:after="0"/>
              <w:rPr>
                <w:sz w:val="20"/>
                <w:szCs w:val="20"/>
                <w:color w:val="auto"/>
              </w:rPr>
            </w:pPr>
            <w:r>
              <w:rPr>
                <w:rFonts w:ascii="Arial" w:cs="Arial" w:eastAsia="Arial" w:hAnsi="Arial"/>
                <w:sz w:val="18"/>
                <w:szCs w:val="18"/>
                <w:color w:val="auto"/>
              </w:rPr>
              <w:t>70</w:t>
            </w:r>
          </w:p>
        </w:tc>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260" w:type="dxa"/>
            <w:vAlign w:val="bottom"/>
          </w:tcPr>
          <w:p>
            <w:pPr>
              <w:ind w:left="3900"/>
              <w:spacing w:after="0"/>
              <w:rPr>
                <w:sz w:val="20"/>
                <w:szCs w:val="20"/>
                <w:color w:val="auto"/>
              </w:rPr>
            </w:pPr>
            <w:r>
              <w:rPr>
                <w:rFonts w:ascii="Arial" w:cs="Arial" w:eastAsia="Arial" w:hAnsi="Arial"/>
                <w:sz w:val="18"/>
                <w:szCs w:val="18"/>
                <w:b w:val="1"/>
                <w:bCs w:val="1"/>
                <w:color w:val="auto"/>
              </w:rPr>
              <w:t>INDEX TO EXHIBITS</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tcPr>
          <w:p>
            <w:pPr>
              <w:ind w:left="240"/>
              <w:spacing w:after="0"/>
              <w:rPr>
                <w:sz w:val="20"/>
                <w:szCs w:val="20"/>
                <w:color w:val="auto"/>
              </w:rPr>
            </w:pPr>
            <w:r>
              <w:rPr>
                <w:rFonts w:ascii="Arial" w:cs="Arial" w:eastAsia="Arial" w:hAnsi="Arial"/>
                <w:sz w:val="18"/>
                <w:szCs w:val="18"/>
                <w:color w:val="auto"/>
              </w:rPr>
              <w:t>Subsidiaries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260" w:type="dxa"/>
            <w:vAlign w:val="bottom"/>
          </w:tcPr>
          <w:p>
            <w:pPr>
              <w:ind w:left="240"/>
              <w:spacing w:after="0"/>
              <w:rPr>
                <w:sz w:val="20"/>
                <w:szCs w:val="20"/>
                <w:color w:val="auto"/>
              </w:rPr>
            </w:pPr>
            <w:r>
              <w:rPr>
                <w:rFonts w:ascii="Arial" w:cs="Arial" w:eastAsia="Arial" w:hAnsi="Arial"/>
                <w:sz w:val="18"/>
                <w:szCs w:val="18"/>
                <w:color w:val="auto"/>
              </w:rPr>
              <w:t>Consent of Freed Maxick CPAs, P.C.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tcPr>
          <w:p>
            <w:pPr>
              <w:ind w:left="240"/>
              <w:spacing w:after="0"/>
              <w:rPr>
                <w:sz w:val="20"/>
                <w:szCs w:val="20"/>
                <w:color w:val="auto"/>
              </w:rPr>
            </w:pPr>
            <w:r>
              <w:rPr>
                <w:rFonts w:ascii="Arial" w:cs="Arial" w:eastAsia="Arial" w:hAnsi="Arial"/>
                <w:sz w:val="18"/>
                <w:szCs w:val="18"/>
                <w:color w:val="auto"/>
                <w:w w:val="90"/>
              </w:rPr>
              <w:t>Certification of Chief Executive Officer Pursuant to Rule 13a-14(a) of the Securities Exchange Act of 1934, as adopted pursuant to Section</w:t>
            </w:r>
          </w:p>
        </w:tc>
      </w:tr>
      <w:tr>
        <w:trPr>
          <w:trHeight w:val="216"/>
        </w:trPr>
        <w:tc>
          <w:tcPr>
            <w:tcW w:w="920" w:type="dxa"/>
            <w:vAlign w:val="bottom"/>
          </w:tcPr>
          <w:p>
            <w:pPr>
              <w:spacing w:after="0"/>
              <w:rPr>
                <w:sz w:val="18"/>
                <w:szCs w:val="18"/>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302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tcPr>
          <w:p>
            <w:pPr>
              <w:ind w:left="2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 Section</w:t>
            </w:r>
          </w:p>
        </w:tc>
      </w:tr>
      <w:tr>
        <w:trPr>
          <w:trHeight w:val="216"/>
        </w:trPr>
        <w:tc>
          <w:tcPr>
            <w:tcW w:w="920" w:type="dxa"/>
            <w:vAlign w:val="bottom"/>
          </w:tcPr>
          <w:p>
            <w:pPr>
              <w:spacing w:after="0"/>
              <w:rPr>
                <w:sz w:val="18"/>
                <w:szCs w:val="18"/>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302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Definition Document</w:t>
            </w:r>
          </w:p>
        </w:tc>
      </w:tr>
      <w:tr>
        <w:trPr>
          <w:trHeight w:val="432"/>
        </w:trPr>
        <w:tc>
          <w:tcPr>
            <w:tcW w:w="920" w:type="dxa"/>
            <w:vAlign w:val="bottom"/>
          </w:tcPr>
          <w:p>
            <w:pPr>
              <w:spacing w:after="0"/>
              <w:rPr>
                <w:sz w:val="24"/>
                <w:szCs w:val="24"/>
                <w:color w:val="auto"/>
              </w:rPr>
            </w:pPr>
          </w:p>
        </w:tc>
        <w:tc>
          <w:tcPr>
            <w:tcW w:w="10260" w:type="dxa"/>
            <w:vAlign w:val="bottom"/>
          </w:tcPr>
          <w:p>
            <w:pPr>
              <w:ind w:left="470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180"/>
          </w:cols>
          <w:pgMar w:left="240" w:top="580" w:right="4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Batteries (UK) LTD, incorporated in the United Kingdom.</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Energy Services Corporation, incorporated in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Through our ownership interest in Ultralife UK LTD, we have a 100% controlling interest in Accutronics, Ltd., also incorporated in the United Kingdom.</w:t>
      </w:r>
    </w:p>
    <w:p>
      <w:pPr>
        <w:spacing w:after="0" w:line="2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have 100% ownership interest in Southwest Electronic Energy Corporation and its wholly-owned subsidiary, CLB, Inc. (collectively “SWE”), both incorporated in Texas.</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on Form S-8 (Nos. 333-117662, 333-136737, 333-155349, 333-179235 and 333-203037) of our report dated February 6, 2020, relating to the consolidated financial statements and effectiveness of internal control over financial reporting of Ultralife Corporation appearing in this Annual Report on Form 10-K for the year ended December 31,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Freed Maxick CPAs,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2020</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hanging="655"/>
        <w:spacing w:after="0" w:line="342" w:lineRule="auto"/>
        <w:tabs>
          <w:tab w:leader="none" w:pos="19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February 6, 2020</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56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5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8"/>
          <w:szCs w:val="18"/>
          <w:color w:val="auto"/>
        </w:rPr>
      </w:pPr>
    </w:p>
    <w:p>
      <w:pPr>
        <w:ind w:left="1960" w:hanging="655"/>
        <w:spacing w:after="0" w:line="342" w:lineRule="auto"/>
        <w:tabs>
          <w:tab w:leader="none" w:pos="19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February 6, 2020</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r>
      <w:tr>
        <w:trPr>
          <w:trHeight w:val="195"/>
        </w:trPr>
        <w:tc>
          <w:tcPr>
            <w:tcW w:w="56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5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1" w:right="239" w:bottom="1440" w:gutter="0" w:footer="0" w:header="0"/>
        </w:sectPr>
      </w:pPr>
    </w:p>
    <w:bookmarkStart w:id="76" w:name="page77"/>
    <w:bookmarkEnd w:id="76"/>
    <w:p>
      <w:pPr>
        <w:ind w:left="10620"/>
        <w:spacing w:after="0"/>
        <w:rPr>
          <w:sz w:val="20"/>
          <w:szCs w:val="20"/>
          <w:color w:val="auto"/>
        </w:rPr>
      </w:pPr>
      <w:r>
        <w:rPr>
          <w:rFonts w:ascii="Arial" w:cs="Arial" w:eastAsia="Arial" w:hAnsi="Arial"/>
          <w:sz w:val="16"/>
          <w:szCs w:val="16"/>
          <w:b w:val="1"/>
          <w:bCs w:val="1"/>
          <w:color w:val="auto"/>
        </w:rPr>
        <w:t>Exhibit 32</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Section 1350 Certification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2019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February 6, 2020</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Popielec</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 February 6, 2020</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65"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amp;"/>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amp;"/>
      <w:numFmt w:val="bullet"/>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3"/>
    </w:lvl>
  </w:abstractNum>
  <w:abstractNum w:abstractNumId="9">
    <w:nsid w:val="71F32454"/>
    <w:multiLevelType w:val="hybridMultilevel"/>
    <w:lvl w:ilvl="0">
      <w:lvlJc w:val="left"/>
      <w:lvlText w:val="%1."/>
      <w:numFmt w:val="lowerLetter"/>
      <w:start w:val="4"/>
    </w:lvl>
  </w:abstractNum>
  <w:abstractNum w:abstractNumId="10">
    <w:nsid w:val="2CA88611"/>
    <w:multiLevelType w:val="hybridMultilevel"/>
    <w:lvl w:ilvl="0">
      <w:lvlJc w:val="left"/>
      <w:lvlText w:val="%1."/>
      <w:numFmt w:val="lowerLetter"/>
      <w:start w:val="6"/>
    </w:lvl>
  </w:abstractNum>
  <w:abstractNum w:abstractNumId="11">
    <w:nsid w:val="836C40E"/>
    <w:multiLevelType w:val="hybridMultilevel"/>
    <w:lvl w:ilvl="0">
      <w:lvlJc w:val="left"/>
      <w:lvlText w:val="%1."/>
      <w:numFmt w:val="lowerLetter"/>
      <w:start w:val="7"/>
    </w:lvl>
  </w:abstractNum>
  <w:abstractNum w:abstractNumId="12">
    <w:nsid w:val="2901D82"/>
    <w:multiLevelType w:val="hybridMultilevel"/>
    <w:lvl w:ilvl="0">
      <w:lvlJc w:val="left"/>
      <w:lvlText w:val="%1."/>
      <w:numFmt w:val="lowerLetter"/>
      <w:start w:val="8"/>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1."/>
      <w:numFmt w:val="lowerLetter"/>
      <w:start w:val="10"/>
    </w:lvl>
  </w:abstractNum>
  <w:abstractNum w:abstractNumId="15">
    <w:nsid w:val="1E7FF521"/>
    <w:multiLevelType w:val="hybridMultilevel"/>
    <w:lvl w:ilvl="0">
      <w:lvlJc w:val="left"/>
      <w:lvlText w:val="%1."/>
      <w:numFmt w:val="lowerLetter"/>
      <w:start w:val="12"/>
    </w:lvl>
  </w:abstractNum>
  <w:abstractNum w:abstractNumId="16">
    <w:nsid w:val="7C3DBD3D"/>
    <w:multiLevelType w:val="hybridMultilevel"/>
    <w:lvl w:ilvl="0">
      <w:lvlJc w:val="left"/>
      <w:lvlText w:val="%1."/>
      <w:numFmt w:val="lowerLetter"/>
      <w:start w:val="13"/>
    </w:lvl>
  </w:abstractNum>
  <w:abstractNum w:abstractNumId="17">
    <w:nsid w:val="737B8DDC"/>
    <w:multiLevelType w:val="hybridMultilevel"/>
    <w:lvl w:ilvl="0">
      <w:lvlJc w:val="left"/>
      <w:lvlText w:val="%1."/>
      <w:numFmt w:val="lowerLetter"/>
      <w:start w:val="14"/>
    </w:lvl>
  </w:abstractNum>
  <w:abstractNum w:abstractNumId="18">
    <w:nsid w:val="6CEAF087"/>
    <w:multiLevelType w:val="hybridMultilevel"/>
    <w:lvl w:ilvl="0">
      <w:lvlJc w:val="left"/>
      <w:lvlText w:val="%1."/>
      <w:numFmt w:val="lowerLetter"/>
      <w:start w:val="15"/>
    </w:lvl>
  </w:abstractNum>
  <w:abstractNum w:abstractNumId="19">
    <w:nsid w:val="22221A70"/>
    <w:multiLevelType w:val="hybridMultilevel"/>
    <w:lvl w:ilvl="0">
      <w:lvlJc w:val="left"/>
      <w:lvlText w:val="%1."/>
      <w:numFmt w:val="lowerLetter"/>
      <w:start w:val="16"/>
    </w:lvl>
  </w:abstractNum>
  <w:abstractNum w:abstractNumId="20">
    <w:nsid w:val="4516DDE9"/>
    <w:multiLevelType w:val="hybridMultilevel"/>
    <w:lvl w:ilvl="0">
      <w:lvlJc w:val="left"/>
      <w:lvlText w:val="%1."/>
      <w:numFmt w:val="lowerLetter"/>
      <w:start w:val="17"/>
    </w:lvl>
  </w:abstractNum>
  <w:abstractNum w:abstractNumId="21">
    <w:nsid w:val="3006C83E"/>
    <w:multiLevelType w:val="hybridMultilevel"/>
    <w:lvl w:ilvl="0">
      <w:lvlJc w:val="left"/>
      <w:lvlText w:val="%1."/>
      <w:numFmt w:val="lowerLetter"/>
      <w:start w:val="18"/>
    </w:lvl>
  </w:abstractNum>
  <w:abstractNum w:abstractNumId="22">
    <w:nsid w:val="614FD4A1"/>
    <w:multiLevelType w:val="hybridMultilevel"/>
    <w:lvl w:ilvl="0">
      <w:lvlJc w:val="left"/>
      <w:lvlText w:val="%1."/>
      <w:numFmt w:val="lowerLetter"/>
      <w:start w:val="19"/>
    </w:lvl>
  </w:abstractNum>
  <w:abstractNum w:abstractNumId="23">
    <w:nsid w:val="419AC241"/>
    <w:multiLevelType w:val="hybridMultilevel"/>
    <w:lvl w:ilvl="0">
      <w:lvlJc w:val="left"/>
      <w:lvlText w:val="%1."/>
      <w:numFmt w:val="lowerLetter"/>
      <w:start w:val="20"/>
    </w:lvl>
  </w:abstractNum>
  <w:abstractNum w:abstractNumId="24">
    <w:nsid w:val="5577F8E1"/>
    <w:multiLevelType w:val="hybridMultilevel"/>
    <w:lvl w:ilvl="0">
      <w:lvlJc w:val="left"/>
      <w:lvlText w:val="%1."/>
      <w:numFmt w:val="lowerLetter"/>
      <w:start w:val="21"/>
    </w:lvl>
  </w:abstractNum>
  <w:abstractNum w:abstractNumId="25">
    <w:nsid w:val="440BADFC"/>
    <w:multiLevelType w:val="hybridMultilevel"/>
    <w:lvl w:ilvl="0">
      <w:lvlJc w:val="left"/>
      <w:lvlText w:val="%1."/>
      <w:numFmt w:val="lowerRoman"/>
      <w:start w:val="5"/>
    </w:lvl>
  </w:abstractNum>
  <w:abstractNum w:abstractNumId="26">
    <w:nsid w:val="5072367"/>
    <w:multiLevelType w:val="hybridMultilevel"/>
    <w:lvl w:ilvl="0">
      <w:lvlJc w:val="left"/>
      <w:lvlText w:val="%1."/>
      <w:numFmt w:val="lowerLetter"/>
      <w:start w:val="23"/>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2"/>
    </w:lvl>
  </w:abstractNum>
  <w:abstractNum w:abstractNumId="29">
    <w:nsid w:val="7724C67E"/>
    <w:multiLevelType w:val="hybridMultilevel"/>
    <w:lvl w:ilvl="0">
      <w:lvlJc w:val="left"/>
      <w:lvlText w:val="%1."/>
      <w:numFmt w:val="lowerLetter"/>
      <w:start w:val="4"/>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2"/>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lowerLetter"/>
      <w:start w:val="4"/>
    </w:lvl>
  </w:abstractNum>
  <w:abstractNum w:abstractNumId="34">
    <w:nsid w:val="2D517796"/>
    <w:multiLevelType w:val="hybridMultilevel"/>
    <w:lvl w:ilvl="0">
      <w:lvlJc w:val="left"/>
      <w:lvlText w:val="%1."/>
      <w:numFmt w:val="lowerLetter"/>
      <w:start w:val="5"/>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lowerLetter"/>
      <w:start w:val="3"/>
    </w:lvl>
  </w:abstractNum>
  <w:abstractNum w:abstractNumId="38">
    <w:nsid w:val="70A64E2A"/>
    <w:multiLevelType w:val="hybridMultilevel"/>
    <w:lvl w:ilvl="0">
      <w:lvlJc w:val="left"/>
      <w:lvlText w:val="%1."/>
      <w:numFmt w:val="lowerLetter"/>
      <w:start w:val="4"/>
    </w:lvl>
  </w:abstractNum>
  <w:abstractNum w:abstractNumId="39">
    <w:nsid w:val="6A2342EC"/>
    <w:multiLevelType w:val="hybridMultilevel"/>
    <w:lvl w:ilvl="0">
      <w:lvlJc w:val="left"/>
      <w:lvlText w:val="1"/>
      <w:numFmt w:val="bullet"/>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2"/>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3" Type="http://schemas.openxmlformats.org/officeDocument/2006/relationships/image" Target="media/image61.png"/><Relationship Id="rId87" Type="http://schemas.openxmlformats.org/officeDocument/2006/relationships/image" Target="media/image62.png"/><Relationship Id="rId68" Type="http://schemas.openxmlformats.org/officeDocument/2006/relationships/hyperlink" Target="http://www.sec.gov/Archives/edgar/data/875657/000143774919008478/ex_142064.htm" TargetMode="External"/><Relationship Id="rId69" Type="http://schemas.openxmlformats.org/officeDocument/2006/relationships/hyperlink" Target="http://www.sec.gov/Archives/edgar/data/875657/000087565716000069/exh22.htm" TargetMode="External"/><Relationship Id="rId70" Type="http://schemas.openxmlformats.org/officeDocument/2006/relationships/hyperlink" Target="http://www.sec.gov/Archives/edgar/data/875657/000095015209002617/l35518aexv3w1.htm" TargetMode="External"/><Relationship Id="rId71" Type="http://schemas.openxmlformats.org/officeDocument/2006/relationships/hyperlink" Target="http://www.sec.gov/Archives/edgar/data/875657/000119312511336812/d268151dex32.htm" TargetMode="External"/><Relationship Id="rId72" Type="http://schemas.openxmlformats.org/officeDocument/2006/relationships/hyperlink" Target="http://www.sec.gov/Archives/edgar/data/875657/000095015209002617/l35518aexv4w1.htm" TargetMode="External"/><Relationship Id="rId73" Type="http://schemas.openxmlformats.org/officeDocument/2006/relationships/hyperlink" Target="http://www.sec.gov/Archives/edgar/data/875657/0000950116-96-001038.txt" TargetMode="External"/><Relationship Id="rId74" Type="http://schemas.openxmlformats.org/officeDocument/2006/relationships/hyperlink" Target="http://www.sec.gov/Archives/edgar/data/875657/000117184314001757/def14a_042114.htm" TargetMode="External"/><Relationship Id="rId75" Type="http://schemas.openxmlformats.org/officeDocument/2006/relationships/hyperlink" Target="http://www.sec.gov/Archives/edgar/data/875657/000089109204003484/e18538_ex99-2.txt" TargetMode="External"/><Relationship Id="rId76" Type="http://schemas.openxmlformats.org/officeDocument/2006/relationships/hyperlink" Target="http://www.sec.gov/Archives/edgar/data/875657/000095015206007100/l21954aexv99w3.htm" TargetMode="External"/><Relationship Id="rId77" Type="http://schemas.openxmlformats.org/officeDocument/2006/relationships/hyperlink" Target="http://www.sec.gov/Archives/edgar/data/875657/000095015208009257/l34190aexv99w4.htm" TargetMode="External"/><Relationship Id="rId78" Type="http://schemas.openxmlformats.org/officeDocument/2006/relationships/hyperlink" Target="http://www.sec.gov/Archives/edgar/data/875657/000095015208009257/l34190aexv99w5.htm" TargetMode="External"/><Relationship Id="rId79" Type="http://schemas.openxmlformats.org/officeDocument/2006/relationships/hyperlink" Target="http://www.sec.gov/Archives/edgar/data/875657/000095012311025549/c14158exv10w40.htm" TargetMode="External"/><Relationship Id="rId80" Type="http://schemas.openxmlformats.org/officeDocument/2006/relationships/hyperlink" Target="http://www.sec.gov/Archives/edgar/data/875657/000119312512028718/d290545dex45.htm" TargetMode="External"/><Relationship Id="rId81" Type="http://schemas.openxmlformats.org/officeDocument/2006/relationships/hyperlink" Target="http://www.sec.gov/Archives/edgar/data/875657/000095012311054479/c18045exv10w1.htm" TargetMode="External"/><Relationship Id="rId82" Type="http://schemas.openxmlformats.org/officeDocument/2006/relationships/hyperlink" Target="http://www.sec.gov/Archives/edgar/data/875657/000117184313003316/exh_103.htm" TargetMode="External"/><Relationship Id="rId84" Type="http://schemas.openxmlformats.org/officeDocument/2006/relationships/hyperlink" Target="http://www.sec.gov/Archives/edgar/data/875657/000117184313001443/def14a_042213.htm" TargetMode="External"/><Relationship Id="rId85" Type="http://schemas.openxmlformats.org/officeDocument/2006/relationships/hyperlink" Target="http://www.sec.gov/Archives/edgar/data/875657/000143774917010741/ex10-1.htm" TargetMode="External"/><Relationship Id="rId86" Type="http://schemas.openxmlformats.org/officeDocument/2006/relationships/hyperlink" Target="http://www.sec.gov/Archives/edgar/data/875657/000143774919008478/ex_1421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2020-02-17T20:16:18Z</dcterms:created>
  <dcterms:modified xsi:type="dcterms:W3CDTF">2020-02-17T20:16:18Z</dcterms:modified>
</cp:coreProperties>
</file>