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12"/>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692"/>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175895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22"/>
          <w:szCs w:val="22"/>
          <w:b w:val="1"/>
          <w:bCs w:val="1"/>
          <w:color w:val="auto"/>
        </w:rPr>
        <w:t>SCHEDULE 14D-9</w:t>
      </w:r>
    </w:p>
    <w:p>
      <w:pPr>
        <w:spacing w:after="0" w:line="23"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(Rule 14d-101)</w:t>
      </w:r>
    </w:p>
    <w:p>
      <w:pPr>
        <w:spacing w:after="0" w:line="201"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Solicitation/Recommendation Statement</w:t>
      </w:r>
    </w:p>
    <w:p>
      <w:pPr>
        <w:spacing w:after="0" w:line="31"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Under Section 14(d)(4)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177165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29"/>
          <w:szCs w:val="29"/>
          <w:b w:val="1"/>
          <w:bCs w:val="1"/>
          <w:color w:val="auto"/>
        </w:rPr>
        <w:t>ULTRALIFE CORPORATION</w:t>
      </w:r>
    </w:p>
    <w:p>
      <w:pPr>
        <w:spacing w:after="0" w:line="44" w:lineRule="exact"/>
        <w:rPr>
          <w:sz w:val="24"/>
          <w:szCs w:val="24"/>
          <w:color w:val="auto"/>
        </w:rPr>
      </w:pPr>
    </w:p>
    <w:p>
      <w:pPr>
        <w:ind w:left="4532"/>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29"/>
          <w:szCs w:val="29"/>
          <w:b w:val="1"/>
          <w:bCs w:val="1"/>
          <w:color w:val="auto"/>
        </w:rPr>
        <w:t>ULTRALIFE CORPORATION</w:t>
      </w:r>
    </w:p>
    <w:p>
      <w:pPr>
        <w:spacing w:after="0" w:line="44" w:lineRule="exact"/>
        <w:rPr>
          <w:sz w:val="24"/>
          <w:szCs w:val="24"/>
          <w:color w:val="auto"/>
        </w:rPr>
      </w:pPr>
    </w:p>
    <w:p>
      <w:pPr>
        <w:ind w:left="4192"/>
        <w:spacing w:after="0"/>
        <w:rPr>
          <w:sz w:val="20"/>
          <w:szCs w:val="20"/>
          <w:color w:val="auto"/>
        </w:rPr>
      </w:pPr>
      <w:r>
        <w:rPr>
          <w:rFonts w:ascii="Times New Roman" w:cs="Times New Roman" w:eastAsia="Times New Roman" w:hAnsi="Times New Roman"/>
          <w:sz w:val="18"/>
          <w:szCs w:val="18"/>
          <w:b w:val="1"/>
          <w:bCs w:val="1"/>
          <w:color w:val="auto"/>
        </w:rPr>
        <w:t>(Name of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Common Stock, par value $0.10 per share</w:t>
      </w:r>
    </w:p>
    <w:p>
      <w:pPr>
        <w:spacing w:after="0" w:line="31"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903899102</w:t>
      </w:r>
    </w:p>
    <w:p>
      <w:pPr>
        <w:spacing w:after="0" w:line="31"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177165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color w:val="auto"/>
        </w:rPr>
        <w:t>Philip A. Fain</w:t>
      </w:r>
    </w:p>
    <w:p>
      <w:pPr>
        <w:spacing w:after="0" w:line="27"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color w:val="auto"/>
        </w:rPr>
        <w:t>Chief Financial Officer, Treasurer and Corporate Secretary</w:t>
      </w:r>
    </w:p>
    <w:p>
      <w:pPr>
        <w:spacing w:after="0" w:line="9"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color w:val="auto"/>
        </w:rPr>
        <w:t>Ultralife Corporation</w:t>
      </w:r>
    </w:p>
    <w:p>
      <w:pPr>
        <w:spacing w:after="0" w:line="9"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color w:val="auto"/>
        </w:rPr>
        <w:t>2000 Technology Parkway</w:t>
      </w:r>
    </w:p>
    <w:p>
      <w:pPr>
        <w:spacing w:after="0" w:line="9"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color w:val="auto"/>
        </w:rPr>
        <w:t>Newark, New York 14513</w:t>
      </w:r>
    </w:p>
    <w:p>
      <w:pPr>
        <w:spacing w:after="0" w:line="9"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color w:val="auto"/>
        </w:rPr>
        <w:t>(315) 332-7100</w:t>
      </w:r>
    </w:p>
    <w:p>
      <w:pPr>
        <w:spacing w:after="0" w:line="9" w:lineRule="exact"/>
        <w:rPr>
          <w:sz w:val="24"/>
          <w:szCs w:val="24"/>
          <w:color w:val="auto"/>
        </w:rPr>
      </w:pPr>
    </w:p>
    <w:p>
      <w:pPr>
        <w:jc w:val="both"/>
        <w:ind w:left="2792" w:right="1679" w:firstLine="33"/>
        <w:spacing w:after="0" w:line="260" w:lineRule="auto"/>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 on Behalf of the Person(s) Filing Statement)</w:t>
      </w:r>
    </w:p>
    <w:p>
      <w:pPr>
        <w:spacing w:after="0" w:line="179"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i w:val="1"/>
          <w:iCs w:val="1"/>
          <w:color w:val="auto"/>
        </w:rPr>
        <w:t>With a copy to:</w:t>
      </w:r>
    </w:p>
    <w:p>
      <w:pPr>
        <w:spacing w:after="0" w:line="29"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color w:val="auto"/>
        </w:rPr>
        <w:t>Thomas B. Hughes, Esq.; Brian J. Bocketti, Esq.; Michael E. Storck, Esq.</w:t>
      </w:r>
    </w:p>
    <w:p>
      <w:pPr>
        <w:spacing w:after="0" w:line="9"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color w:val="auto"/>
        </w:rPr>
        <w:t>Lippes Mathias LLP</w:t>
      </w:r>
    </w:p>
    <w:p>
      <w:pPr>
        <w:spacing w:after="0" w:line="9"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color w:val="auto"/>
        </w:rPr>
        <w:t>50 Fountain Plaza, Suite 1700</w:t>
      </w:r>
    </w:p>
    <w:p>
      <w:pPr>
        <w:spacing w:after="0" w:line="9"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color w:val="auto"/>
        </w:rPr>
        <w:t>Buffalo, New York 14202</w:t>
      </w:r>
    </w:p>
    <w:p>
      <w:pPr>
        <w:spacing w:after="0" w:line="9"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color w:val="auto"/>
        </w:rPr>
        <w:t>(716) 853-5100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177165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left="212" w:hanging="212"/>
        <w:spacing w:after="0"/>
        <w:tabs>
          <w:tab w:leader="none" w:pos="212"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384810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45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 SUBJECT COMPANY INFORMATION</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20" w:type="dxa"/>
            <w:vAlign w:val="bottom"/>
            <w:gridSpan w:val="2"/>
          </w:tcPr>
          <w:p>
            <w:pPr>
              <w:spacing w:after="0"/>
              <w:rPr>
                <w:sz w:val="21"/>
                <w:szCs w:val="21"/>
                <w:color w:val="auto"/>
              </w:rPr>
            </w:pPr>
          </w:p>
        </w:tc>
        <w:tc>
          <w:tcPr>
            <w:tcW w:w="24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 IDENTITY AND BACKGROUND OF FILING PERSON</w:t>
            </w:r>
          </w:p>
        </w:tc>
        <w:tc>
          <w:tcPr>
            <w:tcW w:w="24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20" w:type="dxa"/>
            <w:vAlign w:val="bottom"/>
            <w:gridSpan w:val="2"/>
          </w:tcPr>
          <w:p>
            <w:pPr>
              <w:spacing w:after="0"/>
              <w:rPr>
                <w:sz w:val="21"/>
                <w:szCs w:val="21"/>
                <w:color w:val="auto"/>
              </w:rPr>
            </w:pPr>
          </w:p>
        </w:tc>
        <w:tc>
          <w:tcPr>
            <w:tcW w:w="24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 PAST CONTACTS, TRANSACTIONS, NEGOTIATIONS AND AGREEMENTS</w:t>
            </w:r>
          </w:p>
        </w:tc>
        <w:tc>
          <w:tcPr>
            <w:tcW w:w="24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20" w:type="dxa"/>
            <w:vAlign w:val="bottom"/>
            <w:gridSpan w:val="2"/>
          </w:tcPr>
          <w:p>
            <w:pPr>
              <w:spacing w:after="0"/>
              <w:rPr>
                <w:sz w:val="21"/>
                <w:szCs w:val="21"/>
                <w:color w:val="auto"/>
              </w:rPr>
            </w:pPr>
          </w:p>
        </w:tc>
        <w:tc>
          <w:tcPr>
            <w:tcW w:w="24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 THE SOLICITATION OR RECOMMENDATION</w:t>
            </w:r>
          </w:p>
        </w:tc>
        <w:tc>
          <w:tcPr>
            <w:tcW w:w="24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1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5.</w:t>
            </w:r>
          </w:p>
        </w:tc>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PERSONS/ASSETS RETAINED, EMPLOYED, COMPENSATED OR USED</w:t>
            </w:r>
          </w:p>
        </w:tc>
        <w:tc>
          <w:tcPr>
            <w:tcW w:w="24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1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 SECURITIES OF THE SUBJECT COMPANY</w:t>
            </w:r>
          </w:p>
        </w:tc>
        <w:tc>
          <w:tcPr>
            <w:tcW w:w="24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20" w:type="dxa"/>
            <w:vAlign w:val="bottom"/>
            <w:gridSpan w:val="2"/>
          </w:tcPr>
          <w:p>
            <w:pPr>
              <w:spacing w:after="0"/>
              <w:rPr>
                <w:sz w:val="21"/>
                <w:szCs w:val="21"/>
                <w:color w:val="auto"/>
              </w:rPr>
            </w:pPr>
          </w:p>
        </w:tc>
        <w:tc>
          <w:tcPr>
            <w:tcW w:w="24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7. PURPOSES OF THE TRANSACTION AND PLANS OR PROPOSALS</w:t>
            </w:r>
          </w:p>
        </w:tc>
        <w:tc>
          <w:tcPr>
            <w:tcW w:w="24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1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8.</w:t>
            </w:r>
          </w:p>
        </w:tc>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INFORMATION</w:t>
            </w:r>
          </w:p>
        </w:tc>
        <w:tc>
          <w:tcPr>
            <w:tcW w:w="24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1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9.</w:t>
            </w:r>
          </w:p>
        </w:tc>
        <w:tc>
          <w:tcPr>
            <w:tcW w:w="8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EXHIBITS</w:t>
            </w:r>
          </w:p>
        </w:tc>
        <w:tc>
          <w:tcPr>
            <w:tcW w:w="24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35</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ANNEX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ANNEX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1. SUBJECT COMPANY INFORMATION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and Address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name of the subject company is Ultralife Corporation, a Delaware corporation (the “Company” or “Ultralife”). The address of the principal executive offices of the Company is 2000 Technology Parkway, Newark, New York 14513. The telephone number of the Company at its principal executive offices is (315) 332-7100.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title of the class of equity securities to which this Solicitation/Recommendation Statement on Schedule 14D-9 (together with any exhibits and annexes attached hereto, this “Schedule 14D-9”) relates is the common stock, par value $0.10 per share, of the Company (the “Shares”). As of October 26, 2026 (the “Measurement Date”), there were (i) 16,664,312 Shares issued and outstanding (not including 29,543 shares of Company Restricted Stock, 2,167 of which are vested but have not yet been issued), (ii) Company Stock Options to purchase an aggregate of 845,072 Shares outstanding at a weighted average exercise price of $6.78 per share and (iii) no shares of preferred stock outstanding. The authorized capital stock of the Company consists of 40,000,000 Shares and 1,000,000 shares of preferred stock, par value $0.10 per share, none of which preferred stock is outstanding.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IDENTITY AND BACKGROUND OF FILING PERSON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and Address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name, business address and business telephone number of the Company, which is both the person filing this Schedule 14D-9 and the subject company, are set forth in “Item 1. Subject Company Information-Name and Address”.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Tender Offer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below summary of the Offer is qualified in its entirety by the information contained in the Offer to Purchase and the Schedule TO referenced below. This Schedule 14D-9 relates to the tender offer by EnerSys Mergersub Inc., a Delaware corporation (“Merger Sub”) and a wholly owned subsidiary of EnerSys, a Delaware corporation (“Parent”), to purchase all of the outstanding Shares at a purchase price of $16.00 per Share (the “Offer Price”), net to the seller in cash, without interest and subject to any required withholding of Taxes, upon the terms and subject to the conditions set forth in the Offer to Purchase, dated October 28, 2026 (as it may be amended or supplemented from time to time, the “Offer to Purchase”), and the related Letter of Transmittal (as it may be amended or supplemented from time to time, the “Letter of Transmittal” and, together with the Offer to Purchase, the “Offer”). The Offer is described in a Tender Offer Statement on Schedule TO (as it may be amended or supplemented from time to time, the “Schedule TO”), filed by Parent and Merger Sub with the Securities and Exchange Commission (the “SEC”) on October 28, 2026. Copies of the Offer to Purchase and the Letter of Transmittal are filed as Exhibits (a)(1)(A) and (a)(1)(B) hereto, respectively, and are incorporated herein by reference.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3" w:name="page4"/>
    <w:bookmarkEnd w:id="3"/>
    <w:p>
      <w:pPr>
        <w:jc w:val="both"/>
        <w:spacing w:after="0" w:line="253" w:lineRule="auto"/>
        <w:rPr>
          <w:sz w:val="20"/>
          <w:szCs w:val="20"/>
          <w:color w:val="auto"/>
        </w:rPr>
      </w:pPr>
      <w:r>
        <w:rPr>
          <w:rFonts w:ascii="Times New Roman" w:cs="Times New Roman" w:eastAsia="Times New Roman" w:hAnsi="Times New Roman"/>
          <w:sz w:val="18"/>
          <w:szCs w:val="18"/>
          <w:color w:val="auto"/>
        </w:rPr>
        <w:t>The Offer is being made pursuant to an Agreement and Plan of Merger, dated as of October 27, 2026 (as it may be amended or supplemented from time to time, the “Merger Agreement”), by and among Parent, Merger Sub and the Company. The Merger Agreement provides, among other things, that as soon as practicable following the consummation of the Offer, subject to the satisfaction or waiver of the conditions set forth in the Merger Agreement and in accordance with Section 251(h) of the General Corporation Law of the State of Delaware (the “DGCL”), Merger Sub will be merged with and into the Company (the “Merger”), the separate corporate existence of Merger Sub will cease, and the Company will continue as the surviving corporation (the “Surviving Corporation”) and a wholly owned subsidiary of Parent, without any vote on the Merger being required by the Company’s stockholders. At the effective time of the Merger (the “Effective Time”), each Share outstanding immediately prior to the Effective Time (other than (i) Shares held by the Company (or held in the Company’s treasury) or owned, directly or indirectly, by Parent or Merger Sub (or any other subsidiary of Parent) immediately prior to the Effective Time, (ii) Shares irrevocably accepted for purchase in the Offer and (iii) Shares held by any stockholder who is entitled to demand and properly demands appraisal of such Shares pursuant to Section 262 of the DGCL (collectively, “Excluded Shares”)) will be converted into the right to receive an amount in cash equal to the Offer Price, without interest and subject to any required withholding of Taxes (the “Merger Consideration”). The Company does not expect there to be a significant period of time between the consummation of the Offer and the consummation of the Merger.</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Offer is initially scheduled to expire at 5:00 p.m., New York City time, on the date that is 25 Business Days (calculated in accordance with Rule 14d-1(g)(3) under the Securities Exchange Act of 1934, as amended (the “Exchange Act”)) after the commencement of the Offer (the “Initial Expiration Date”), unless extended in accordance with the terms of the Merger Agreement. The Offer is subject to a minimum condition (the “Minimum Condition”), which requires that, as of immediately prior to the expiration of the Offer, there shall have been validly tendered and “received” (as such term is defined in Section 251(h) of the DGCL) and not validly withdrawn in accordance with the terms of the Offer a number of Shares that, together with the Shares, if any, then beneficially owned by Merger Sub or its “affiliates” (as such term is defined in Section 251(h) of the DGCL), would represent at least one Share more than 50% of the number of Shares that are issued and outstanding at the time Merger Sub accepts for payment Shares validly tendered and not validly withdrawn pursuant to the Offer (the “Acceptance Time”).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As set forth in the Schedule TO, the principal executive offices of Parent and Merger Sub are located at 2366 Bernville Road, Reading, Pennsylvania 19605 (in the case of Merger Sub, c/o EnerSys), and the telephone number of each is (610) 208-1991.</w:t>
      </w:r>
    </w:p>
    <w:p>
      <w:pPr>
        <w:spacing w:after="0" w:line="162"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Information relating to the Offer, including the Offer to Purchase, the Letter of Transmittal and related documents and this Schedule 14D-9, can be obtained without charge from the SEC’s website at www.sec.gov, or on the investor relations section of the Company’s website at investor.ultralifecorporation.com.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PAST CONTACTS, TRANSACTIONS, NEGOTIATIONS AND AGREEMENTS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set forth or incorporated by reference in this Schedule 14D-9, to the knowledge of the Company, as of the date of this Schedule 14D-9, there are no material agreements, arrangements or understandings, or any actual or potential conflicts of interest between the Company or its affiliates and (i) the Company’s executive officers, directors or affiliates or (ii) Parent, Merger Sub or their respective executive officers, directors or affiliates.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Between the Company and Parent, Merger Sub and Their Affiliates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27, 2026, Parent, Merger Sub and the Company entered into the Merger Agreement. Section 11 of the Offer to Purchase, which contains a summary of the material provisions of the Merger Agreement, and the description of the conditions of the Offer contained in Section 15 of the Offer to Purchase, which contains a description of the conditions of the Offer, are each incorporated herein by reference. Such summary and description are qualified in their entirety by reference to the Merger Agreement.</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summary of the material terms of the Merger Agreement and the descriptions of the conditions to the Offer contained in the Offer to Purchase and incorporated herein by reference do not purport to be complete and are qualified in their entirety by reference to the Merger Agreement, which is filed as Exhibit (e)(1) to this Schedule 14D-9 and is incorporated herein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14, 2026, the Company and Parent entered into an Indication of Interest, Paragraph 8 (Confidential Information) of which governs the confidential treatment of information furnished by the Company to Parent (the “Confidentiality Agreement”). Under the Confidentiality Agreement, each party agreed, for two years from its date, not to disclose the other party’s material non-public information other than to its representatives with a need to know, to use such information solely to evaluate the potential business combination and not to trade in the other party’s securities while in possession of material non-public information. Parent also agreed not to solicit or enter into transactions with certain customers introduced by the Company, subject to specified exceptions. Except for its confidentiality, public disclosure and governing law provisions, the Confidentiality Agreement is non-binding. Under the Merger Agreement, the Confidentiality Agreement remains in full force and effect, and its terms survive until the Closing Date or, if the Merger Agreement is terminated, for one year following termination. A copy of the Confidentiality Agreement is filed as Exhibit (e)(2) hereto and is incorporated herein by reference.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Tender and Support Agreements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Concurrently with the execution and delivery of the Merger Agreement, and as a condition and inducement to Parent’s and Merger Sub’s willingness to enter into the Merger Agreement, Bradford T. Whitmore, Sunray I, LLC, Whitmore Holdings, LLC and the Bradford Whitmore Trust (collectively, the “Supporting Stockholders”), who collectively beneficially owned 6,708,835 Shares, representing approximately 40.3% of the outstanding Shares, as of the date of the Merger Agreement, entered into a Tender and Support Agreement (the “Support Agreement”) with Parent, Merger Sub and, solely for purposes of Section 5.4 thereof, the Company. Pursuant to the Support Agreement, each Supporting Stockholder agreed, among other things, to validly tender (and not withdraw) all of its Shares in the Offer as promptly as practicable, and in any event no later than 10 Business Days, after the commencement of the Offer (or, if later, the date of delivery of the Letter of Transmittal). The Shares subject to the Support Agreement do not, without the tender of additional Shares by other holders, satisfy the Minimum Condition. During the term of the Support Agreement, each Supporting Stockholder also agreed (i) to vote its Shares against any Acquisition Transaction, any change in the Company Board not recommended or approved by the Company Board and any other action that would reasonably be expected to impede or interfere with the Offer or the Merger; (ii) not to transfer, encumber or grant any proxy with respect to its Shares, subject to customary exceptions for transfers to permitted transferees who agree to be bound by the Support Agreement; (iii) to waive, and not to exercise, any appraisal rights in connection with the Merger and not to commence or join certain actions relating to the Merger Agreement or the transactions contemplated thereby; and (iv) not to solicit or participate in discussions regarding Acquisition Proposals, except to the extent the Company is permitted to engage with the person making such proposal under the Merger Agreement. The tender and non-withdrawal obligations do not apply for so long as an Adverse Recommendation Change made in compliance with the Merger Agreement remains in effect (or while a dispute about such compliance remains ongoing). If the Company Board subsequently withdraws such Adverse Recommendation Change and reaffirms the Company Recommendation, each Supporting Stockholder must tender or re-tender its Shares as promptly as practicable and in any event within five Business Days (or such shorter period prior to the Expiration Date). The Support Agreement will terminate automatically upon the earliest of (a) the valid termination of the Merger Agreement, (b) the Effective Time, (c) any amendment to the Merger Agreement, without the Supporting Stockholder’s consent, that reduces the amount or changes the form of the Offer Price or Merger Consideration, imposes additional material conditions on its payment or extends the Outside Date beyond the date contemplated by the Merger Agreement (after giving effect to permitted extensions), (d) the expiration of the Offer without the acceptance of Shares for payment and (e) the mutual written consent of the applicable Supporting Stockholder and Parent. The Supporting Stockholders entered into the Support Agreement solely in their capacities as stockholders, and nothing in the Support Agreement restricts any director or officer of the Company from acting in such capacity. The Company has agreed to pay the fees and expenses incurred by the Supporting Stockholders in connection with the Support Agreement.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summary of the Support Agreement contained herein does not purport to be complete and is qualified in its entirety by reference to the Support Agreement, which is filed as Exhibit (e)(3) to this Schedule 14D-9 and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Between the Company and Its Executive Officers, Directors and Affiliates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considering the recommendation of the Company Board set forth in Item 4 below, stockholders should be aware that the Company’s executive officers and the members of the Company Board may have interests in the transactions contemplated by the Merger Agreement, including the Offer and the Merger, that are different from, or in addition to, those of the Company’s stockholders generally. The Company Board was aware of and considered these interests, among other matters, in evaluating and negotiating the Merger Agreement, in reaching its decision to approve the Merger Agreement and the transactions contemplated thereby, including the Offer and the Merger, and in recommending that all holders of Shares accept the Offer and tender their Shares pursuant to the Offer. These interests are described in more detail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directors and executive officers of the Company who own Shares tender their Shares for purchase pursuant to the Offer, they will receive the same cash consideration for their Shares on the same terms and conditions as the other stockholders of the Company, as described above. If the Merger is consummated, any Shares held of record or beneficially owned by a director or executive officer that are not tendered into the Offer will be converted into the right to receive the Merger Consideration at the Effective Time.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(i) the number of Shares beneficially owned as of October 26, 2026, by each director and named executive officer of the Company, and if applicable, certain of his or her respective affiliates, and (ii) the aggregate cash consideration that would be payable for such Shares pursuant to the Offer based on the Offer Price of $16.00 per Share.</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590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1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Numbers of Shares</w:t>
            </w:r>
          </w:p>
        </w:tc>
        <w:tc>
          <w:tcPr>
            <w:tcW w:w="210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Cash Consideration for</w:t>
            </w:r>
          </w:p>
        </w:tc>
      </w:tr>
      <w:tr>
        <w:trPr>
          <w:trHeight w:val="235"/>
        </w:trPr>
        <w:tc>
          <w:tcPr>
            <w:tcW w:w="5900" w:type="dxa"/>
            <w:vAlign w:val="bottom"/>
            <w:tcBorders>
              <w:left w:val="single" w:sz="8" w:color="auto"/>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Beneficially Owned (1)</w:t>
            </w: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60" w:type="dxa"/>
            <w:vAlign w:val="bottom"/>
            <w:tcBorders>
              <w:bottom w:val="single" w:sz="8" w:color="auto"/>
              <w:right w:val="single" w:sz="8" w:color="auto"/>
            </w:tcBorders>
          </w:tcPr>
          <w:p>
            <w:pPr>
              <w:spacing w:after="0"/>
              <w:rPr>
                <w:sz w:val="20"/>
                <w:szCs w:val="20"/>
                <w:color w:val="auto"/>
              </w:rPr>
            </w:pPr>
          </w:p>
        </w:tc>
      </w:tr>
      <w:tr>
        <w:trPr>
          <w:trHeight w:val="238"/>
        </w:trPr>
        <w:tc>
          <w:tcPr>
            <w:tcW w:w="59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Named Executive Officers</w:t>
            </w:r>
          </w:p>
        </w:tc>
        <w:tc>
          <w:tcPr>
            <w:tcW w:w="2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190"/>
        </w:trPr>
        <w:tc>
          <w:tcPr>
            <w:tcW w:w="5900" w:type="dxa"/>
            <w:vAlign w:val="bottom"/>
            <w:tcBorders>
              <w:left w:val="single" w:sz="8" w:color="auto"/>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r>
      <w:tr>
        <w:trPr>
          <w:trHeight w:val="209"/>
        </w:trPr>
        <w:tc>
          <w:tcPr>
            <w:tcW w:w="59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Philip Fain</w:t>
            </w:r>
          </w:p>
        </w:tc>
        <w:tc>
          <w:tcPr>
            <w:tcW w:w="2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137,809</w:t>
            </w: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2,204,944.00</w:t>
            </w:r>
          </w:p>
        </w:tc>
      </w:tr>
      <w:tr>
        <w:trPr>
          <w:trHeight w:val="210"/>
        </w:trPr>
        <w:tc>
          <w:tcPr>
            <w:tcW w:w="59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Michael Manna (2)</w:t>
            </w:r>
          </w:p>
        </w:tc>
        <w:tc>
          <w:tcPr>
            <w:tcW w:w="2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28,874</w:t>
            </w: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461,984.00</w:t>
            </w:r>
          </w:p>
        </w:tc>
      </w:tr>
      <w:tr>
        <w:trPr>
          <w:trHeight w:val="209"/>
        </w:trPr>
        <w:tc>
          <w:tcPr>
            <w:tcW w:w="590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2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r>
        <w:trPr>
          <w:trHeight w:val="210"/>
        </w:trPr>
        <w:tc>
          <w:tcPr>
            <w:tcW w:w="59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Janie Goddard</w:t>
            </w:r>
          </w:p>
        </w:tc>
        <w:tc>
          <w:tcPr>
            <w:tcW w:w="2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7,668</w:t>
            </w: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122,688.00</w:t>
            </w:r>
          </w:p>
        </w:tc>
      </w:tr>
      <w:tr>
        <w:trPr>
          <w:trHeight w:val="209"/>
        </w:trPr>
        <w:tc>
          <w:tcPr>
            <w:tcW w:w="59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Thomas L. Saeli</w:t>
            </w:r>
          </w:p>
        </w:tc>
        <w:tc>
          <w:tcPr>
            <w:tcW w:w="2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85,000</w:t>
            </w: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1,360,000.00</w:t>
            </w:r>
          </w:p>
        </w:tc>
      </w:tr>
      <w:tr>
        <w:trPr>
          <w:trHeight w:val="209"/>
        </w:trPr>
        <w:tc>
          <w:tcPr>
            <w:tcW w:w="59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Robert W. Shaw II</w:t>
            </w:r>
          </w:p>
        </w:tc>
        <w:tc>
          <w:tcPr>
            <w:tcW w:w="2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71,000</w:t>
            </w: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1,136,000.00</w:t>
            </w:r>
          </w:p>
        </w:tc>
      </w:tr>
      <w:tr>
        <w:trPr>
          <w:trHeight w:val="210"/>
        </w:trPr>
        <w:tc>
          <w:tcPr>
            <w:tcW w:w="59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Bradford T. Whitmore (3)</w:t>
            </w:r>
          </w:p>
        </w:tc>
        <w:tc>
          <w:tcPr>
            <w:tcW w:w="2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6,708,835</w:t>
            </w: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107,341,360.00</w:t>
            </w:r>
          </w:p>
        </w:tc>
      </w:tr>
    </w:tbl>
    <w:p>
      <w:pPr>
        <w:spacing w:after="0" w:line="198" w:lineRule="exact"/>
        <w:rPr>
          <w:sz w:val="20"/>
          <w:szCs w:val="20"/>
          <w:color w:val="auto"/>
        </w:rPr>
      </w:pPr>
    </w:p>
    <w:p>
      <w:pPr>
        <w:ind w:left="500" w:hanging="492"/>
        <w:spacing w:after="0" w:line="282" w:lineRule="auto"/>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calculating the number of Shares beneficially owned for this purpose, Shares underlying outstanding Company Stock Options (whether or not currently exercisable) and Company Restricted Stock held by each individual are excluded.</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Manna also serves as a director on the Company Board.</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Whitmore, Sunray I, LLC, Whitmore Holdings, LLC and the Bradford Whitmore Trust beneficially own 6,708,835 Shares, approximately 40.3% of the outstanding Shares as of the date of the Merger Agreement. Schedule A to the Support Agreement lists 4,452,283 Shares held by Sunray I, LLC, 2,050,637 Shares held by Whitmore Holdings, LLC and 205,915 Shares held by Mr. Whitmore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Company Equity Awards.</w:t>
      </w:r>
    </w:p>
    <w:p>
      <w:pPr>
        <w:spacing w:after="0" w:line="22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Company Stock Options. </w:t>
      </w:r>
      <w:r>
        <w:rPr>
          <w:rFonts w:ascii="Times New Roman" w:cs="Times New Roman" w:eastAsia="Times New Roman" w:hAnsi="Times New Roman"/>
          <w:sz w:val="18"/>
          <w:szCs w:val="18"/>
          <w:color w:val="auto"/>
        </w:rPr>
        <w:t>Pursuant to the Merger Agreement, as of immediately prior to the Effective Time, without any action on the part of any holder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conditioned upon the occurrence of the Effective Time, each Company Stock Option that is outstanding immediately prior to the Effective Time will be treated as follows:</w:t>
      </w:r>
    </w:p>
    <w:p>
      <w:pPr>
        <w:spacing w:after="0" w:line="173" w:lineRule="exact"/>
        <w:rPr>
          <w:sz w:val="20"/>
          <w:szCs w:val="20"/>
          <w:color w:val="auto"/>
        </w:rPr>
      </w:pPr>
    </w:p>
    <w:p>
      <w:pPr>
        <w:jc w:val="both"/>
        <w:ind w:left="5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In-the-Money Options. </w:t>
      </w:r>
      <w:r>
        <w:rPr>
          <w:rFonts w:ascii="Times New Roman" w:cs="Times New Roman" w:eastAsia="Times New Roman" w:hAnsi="Times New Roman"/>
          <w:sz w:val="18"/>
          <w:szCs w:val="18"/>
          <w:color w:val="auto"/>
        </w:rPr>
        <w:t>Each Company Stock Option with a per share exercise price that is less than the Offer Price (each, an “In-the-Money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will automatically accelerate and become fully vested and exercisable and will be canceled in exchange for the right to receive an amount in cash, without interest and subject to deduction for any required withholding Tax, equal to the product of (i) the excess of the Offer Price over the per share exercise price of such In-the-Money Option, multiplied by (ii) the number of Shares subject to such In-the-Money Option (the “Company Stock Option Cash Consideration”). Parent will cause the Surviving Corporation to pay the Company Stock Option Cash Consideration reasonably promptly after the Effective Time (but in no event later than 30 Business Days after the Effective Time).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both"/>
        <w:ind w:left="5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Out-of-the-Money Options. </w:t>
      </w:r>
      <w:r>
        <w:rPr>
          <w:rFonts w:ascii="Times New Roman" w:cs="Times New Roman" w:eastAsia="Times New Roman" w:hAnsi="Times New Roman"/>
          <w:sz w:val="18"/>
          <w:szCs w:val="18"/>
          <w:color w:val="auto"/>
        </w:rPr>
        <w:t>Each Company Stock Option with a per share exercise price that is equal to or greater than the Offer Price (each,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“Out-of-the-Money Option”) will, whether vested or unvested, be canceled for no consideration. Based on the Company’s records, no outstanding Company Stock Option has a per share exercise price equal to or greater than $16.00.</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Company Restricted Stock. </w:t>
      </w:r>
      <w:r>
        <w:rPr>
          <w:rFonts w:ascii="Times New Roman" w:cs="Times New Roman" w:eastAsia="Times New Roman" w:hAnsi="Times New Roman"/>
          <w:sz w:val="18"/>
          <w:szCs w:val="18"/>
          <w:color w:val="auto"/>
        </w:rPr>
        <w:t>Pursuant to the Merger Agreement, as of immediately prior to the Effective Time, without any action on the part of any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conditioned upon the occurrence of the Effective Time, each share of Company Restricted Stock that is outstanding immediately prior to the Effective Time, whether vested or unvested, will automatically accelerate and become fully vested and will be canceled and converted into the right to receive an amount in cash equal to the Offer Price, without interest and subject to deduction for any required withholding Tax, payable at or reasonably promptly after the Effective Time (but in no event later than 30 Business Days after the Effective Time). Payments to holders who are not employees for employment tax purposes will be made through the paying agent; payments to all other holders will be made through the Surviving Corporation’s payroll or equity award systems. No executive officers or directors own any Company Restricted Stock.</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Parent will not assume any Company Equity Award or substitute any similar award for Parent stock. Each Company Stock Plan will terminate effective not later than immediately prior to the Effective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Company Stock Options Held by Executive Officers and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sets forth, for each executive officer and director of the Company who holds Company Stock Options, (i) the number of Shares subject to vested and unvested In-the-Money Options and (ii) the estimated cash consideration payable in respect thereof, calculated as the product of the number of Shares subject to each such option multiplied by the excess of an assumed Offer Price of $16.00 over the applicable exercise price, before any required withholding. The information is based on Company Stock Options outstanding as of October 26, 2026 and assumes no exercises or forfeitures prior to the Effective Time.</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4520" w:type="dxa"/>
            <w:vAlign w:val="bottom"/>
            <w:tcBorders>
              <w:top w:val="single" w:sz="8" w:color="auto"/>
              <w:left w:val="single" w:sz="8" w:color="auto"/>
              <w:righ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Vested Options</w:t>
            </w: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3"/>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Unvested Options</w:t>
            </w:r>
          </w:p>
        </w:tc>
        <w:tc>
          <w:tcPr>
            <w:tcW w:w="1020" w:type="dxa"/>
            <w:vAlign w:val="bottom"/>
            <w:tcBorders>
              <w:top w:val="single" w:sz="8" w:color="auto"/>
              <w:right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spacing w:after="0"/>
              <w:rPr>
                <w:sz w:val="16"/>
                <w:szCs w:val="16"/>
                <w:color w:val="auto"/>
              </w:rPr>
            </w:pPr>
          </w:p>
        </w:tc>
      </w:tr>
      <w:tr>
        <w:trPr>
          <w:trHeight w:val="60"/>
        </w:trPr>
        <w:tc>
          <w:tcPr>
            <w:tcW w:w="4520" w:type="dxa"/>
            <w:vAlign w:val="bottom"/>
            <w:tcBorders>
              <w:left w:val="single" w:sz="8" w:color="auto"/>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60" w:type="dxa"/>
            <w:vAlign w:val="bottom"/>
            <w:tcBorders>
              <w:top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80" w:type="dxa"/>
            <w:vAlign w:val="bottom"/>
            <w:tcBorders>
              <w:bottom w:val="single" w:sz="8" w:color="auto"/>
              <w:right w:val="single" w:sz="8" w:color="auto"/>
            </w:tcBorders>
            <w:gridSpan w:val="2"/>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gridSpan w:val="2"/>
          </w:tcPr>
          <w:p>
            <w:pPr>
              <w:spacing w:after="0"/>
              <w:rPr>
                <w:sz w:val="5"/>
                <w:szCs w:val="5"/>
                <w:color w:val="auto"/>
              </w:rPr>
            </w:pPr>
          </w:p>
        </w:tc>
        <w:tc>
          <w:tcPr>
            <w:tcW w:w="1320" w:type="dxa"/>
            <w:vAlign w:val="bottom"/>
            <w:tcBorders>
              <w:bottom w:val="single" w:sz="8" w:color="auto"/>
              <w:right w:val="single" w:sz="8" w:color="auto"/>
            </w:tcBorders>
            <w:gridSpan w:val="2"/>
          </w:tcPr>
          <w:p>
            <w:pPr>
              <w:spacing w:after="0"/>
              <w:rPr>
                <w:sz w:val="5"/>
                <w:szCs w:val="5"/>
                <w:color w:val="auto"/>
              </w:rPr>
            </w:pPr>
          </w:p>
        </w:tc>
      </w:tr>
      <w:tr>
        <w:trPr>
          <w:trHeight w:val="148"/>
        </w:trPr>
        <w:tc>
          <w:tcPr>
            <w:tcW w:w="4520" w:type="dxa"/>
            <w:vAlign w:val="bottom"/>
            <w:tcBorders>
              <w:right w:val="single" w:sz="8" w:color="auto"/>
            </w:tcBorders>
          </w:tcPr>
          <w:p>
            <w:pPr>
              <w:ind w:left="20"/>
              <w:spacing w:after="0" w:line="148" w:lineRule="exact"/>
              <w:rPr>
                <w:sz w:val="20"/>
                <w:szCs w:val="20"/>
                <w:color w:val="auto"/>
              </w:rPr>
            </w:pPr>
            <w:r>
              <w:rPr>
                <w:rFonts w:ascii="Times New Roman" w:cs="Times New Roman" w:eastAsia="Times New Roman" w:hAnsi="Times New Roman"/>
                <w:sz w:val="17"/>
                <w:szCs w:val="17"/>
                <w:b w:val="1"/>
                <w:bCs w:val="1"/>
                <w:color w:val="auto"/>
              </w:rPr>
              <w:t>Name</w:t>
            </w:r>
          </w:p>
        </w:tc>
        <w:tc>
          <w:tcPr>
            <w:tcW w:w="100" w:type="dxa"/>
            <w:vAlign w:val="bottom"/>
          </w:tcPr>
          <w:p>
            <w:pPr>
              <w:spacing w:after="0"/>
              <w:rPr>
                <w:sz w:val="12"/>
                <w:szCs w:val="12"/>
                <w:color w:val="auto"/>
              </w:rPr>
            </w:pPr>
          </w:p>
        </w:tc>
        <w:tc>
          <w:tcPr>
            <w:tcW w:w="1260" w:type="dxa"/>
            <w:vAlign w:val="bottom"/>
            <w:tcBorders>
              <w:right w:val="single" w:sz="8" w:color="auto"/>
            </w:tcBorders>
            <w:gridSpan w:val="2"/>
          </w:tcPr>
          <w:p>
            <w:pPr>
              <w:spacing w:after="0" w:line="148" w:lineRule="exact"/>
              <w:rPr>
                <w:sz w:val="20"/>
                <w:szCs w:val="20"/>
                <w:color w:val="auto"/>
              </w:rPr>
            </w:pPr>
            <w:r>
              <w:rPr>
                <w:rFonts w:ascii="Times New Roman" w:cs="Times New Roman" w:eastAsia="Times New Roman" w:hAnsi="Times New Roman"/>
                <w:sz w:val="17"/>
                <w:szCs w:val="17"/>
                <w:b w:val="1"/>
                <w:bCs w:val="1"/>
                <w:color w:val="auto"/>
              </w:rPr>
              <w:t>Number of</w:t>
            </w:r>
          </w:p>
        </w:tc>
        <w:tc>
          <w:tcPr>
            <w:tcW w:w="1380" w:type="dxa"/>
            <w:vAlign w:val="bottom"/>
            <w:tcBorders>
              <w:right w:val="single" w:sz="8" w:color="auto"/>
            </w:tcBorders>
            <w:gridSpan w:val="2"/>
          </w:tcPr>
          <w:p>
            <w:pPr>
              <w:ind w:left="120"/>
              <w:spacing w:after="0" w:line="148" w:lineRule="exact"/>
              <w:rPr>
                <w:sz w:val="20"/>
                <w:szCs w:val="20"/>
                <w:color w:val="auto"/>
              </w:rPr>
            </w:pPr>
            <w:r>
              <w:rPr>
                <w:rFonts w:ascii="Times New Roman" w:cs="Times New Roman" w:eastAsia="Times New Roman" w:hAnsi="Times New Roman"/>
                <w:sz w:val="17"/>
                <w:szCs w:val="17"/>
                <w:b w:val="1"/>
                <w:bCs w:val="1"/>
                <w:color w:val="auto"/>
              </w:rPr>
              <w:t>Cash</w:t>
            </w:r>
          </w:p>
        </w:tc>
        <w:tc>
          <w:tcPr>
            <w:tcW w:w="120" w:type="dxa"/>
            <w:vAlign w:val="bottom"/>
          </w:tcPr>
          <w:p>
            <w:pPr>
              <w:spacing w:after="0"/>
              <w:rPr>
                <w:sz w:val="12"/>
                <w:szCs w:val="12"/>
                <w:color w:val="auto"/>
              </w:rPr>
            </w:pPr>
          </w:p>
        </w:tc>
        <w:tc>
          <w:tcPr>
            <w:tcW w:w="1220" w:type="dxa"/>
            <w:vAlign w:val="bottom"/>
            <w:tcBorders>
              <w:right w:val="single" w:sz="8" w:color="auto"/>
            </w:tcBorders>
          </w:tcPr>
          <w:p>
            <w:pPr>
              <w:spacing w:after="0" w:line="148" w:lineRule="exact"/>
              <w:rPr>
                <w:sz w:val="20"/>
                <w:szCs w:val="20"/>
                <w:color w:val="auto"/>
              </w:rPr>
            </w:pPr>
            <w:r>
              <w:rPr>
                <w:rFonts w:ascii="Times New Roman" w:cs="Times New Roman" w:eastAsia="Times New Roman" w:hAnsi="Times New Roman"/>
                <w:sz w:val="17"/>
                <w:szCs w:val="17"/>
                <w:b w:val="1"/>
                <w:bCs w:val="1"/>
                <w:color w:val="auto"/>
              </w:rPr>
              <w:t>Number of</w:t>
            </w:r>
          </w:p>
        </w:tc>
        <w:tc>
          <w:tcPr>
            <w:tcW w:w="1320" w:type="dxa"/>
            <w:vAlign w:val="bottom"/>
            <w:tcBorders>
              <w:right w:val="single" w:sz="8" w:color="auto"/>
            </w:tcBorders>
            <w:gridSpan w:val="3"/>
          </w:tcPr>
          <w:p>
            <w:pPr>
              <w:ind w:left="100"/>
              <w:spacing w:after="0" w:line="148" w:lineRule="exact"/>
              <w:rPr>
                <w:sz w:val="20"/>
                <w:szCs w:val="20"/>
                <w:color w:val="auto"/>
              </w:rPr>
            </w:pPr>
            <w:r>
              <w:rPr>
                <w:rFonts w:ascii="Times New Roman" w:cs="Times New Roman" w:eastAsia="Times New Roman" w:hAnsi="Times New Roman"/>
                <w:sz w:val="17"/>
                <w:szCs w:val="17"/>
                <w:b w:val="1"/>
                <w:bCs w:val="1"/>
                <w:color w:val="auto"/>
              </w:rPr>
              <w:t>Cash</w:t>
            </w:r>
          </w:p>
        </w:tc>
        <w:tc>
          <w:tcPr>
            <w:tcW w:w="1320" w:type="dxa"/>
            <w:vAlign w:val="bottom"/>
            <w:tcBorders>
              <w:right w:val="single" w:sz="8" w:color="auto"/>
            </w:tcBorders>
            <w:gridSpan w:val="2"/>
          </w:tcPr>
          <w:p>
            <w:pPr>
              <w:ind w:left="100"/>
              <w:spacing w:after="0" w:line="148" w:lineRule="exact"/>
              <w:rPr>
                <w:sz w:val="20"/>
                <w:szCs w:val="20"/>
                <w:color w:val="auto"/>
              </w:rPr>
            </w:pPr>
            <w:r>
              <w:rPr>
                <w:rFonts w:ascii="Times New Roman" w:cs="Times New Roman" w:eastAsia="Times New Roman" w:hAnsi="Times New Roman"/>
                <w:sz w:val="17"/>
                <w:szCs w:val="17"/>
                <w:b w:val="1"/>
                <w:bCs w:val="1"/>
                <w:color w:val="auto"/>
              </w:rPr>
              <w:t>Total Option</w:t>
            </w:r>
          </w:p>
        </w:tc>
      </w:tr>
      <w:tr>
        <w:trPr>
          <w:trHeight w:val="216"/>
        </w:trPr>
        <w:tc>
          <w:tcPr>
            <w:tcW w:w="45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8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20" w:type="dxa"/>
            <w:vAlign w:val="bottom"/>
          </w:tcPr>
          <w:p>
            <w:pPr>
              <w:spacing w:after="0"/>
              <w:rPr>
                <w:sz w:val="18"/>
                <w:szCs w:val="18"/>
                <w:color w:val="auto"/>
              </w:rPr>
            </w:pPr>
          </w:p>
        </w:tc>
        <w:tc>
          <w:tcPr>
            <w:tcW w:w="1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3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Cash</w:t>
            </w:r>
          </w:p>
        </w:tc>
      </w:tr>
      <w:tr>
        <w:trPr>
          <w:trHeight w:val="216"/>
        </w:trPr>
        <w:tc>
          <w:tcPr>
            <w:tcW w:w="45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Payable</w:t>
            </w:r>
          </w:p>
        </w:tc>
        <w:tc>
          <w:tcPr>
            <w:tcW w:w="1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Payable</w:t>
            </w:r>
          </w:p>
        </w:tc>
        <w:tc>
          <w:tcPr>
            <w:tcW w:w="13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Consideration</w:t>
            </w:r>
          </w:p>
        </w:tc>
      </w:tr>
      <w:tr>
        <w:trPr>
          <w:trHeight w:val="238"/>
        </w:trPr>
        <w:tc>
          <w:tcPr>
            <w:tcW w:w="45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Payable</w:t>
            </w:r>
          </w:p>
        </w:tc>
      </w:tr>
      <w:tr>
        <w:trPr>
          <w:trHeight w:val="209"/>
        </w:trPr>
        <w:tc>
          <w:tcPr>
            <w:tcW w:w="4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 Fain</w:t>
            </w: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77,267</w:t>
            </w:r>
          </w:p>
        </w:tc>
        <w:tc>
          <w:tcPr>
            <w:tcW w:w="10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734,549.65</w:t>
            </w:r>
          </w:p>
        </w:tc>
        <w:tc>
          <w:tcPr>
            <w:tcW w:w="1340" w:type="dxa"/>
            <w:vAlign w:val="bottom"/>
            <w:tcBorders>
              <w:bottom w:val="single" w:sz="8" w:color="auto"/>
              <w:right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16,133</w:t>
            </w:r>
          </w:p>
        </w:tc>
        <w:tc>
          <w:tcPr>
            <w:tcW w:w="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137,617.49</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872,167.14</w:t>
            </w:r>
          </w:p>
        </w:tc>
      </w:tr>
      <w:tr>
        <w:trPr>
          <w:trHeight w:val="210"/>
        </w:trPr>
        <w:tc>
          <w:tcPr>
            <w:tcW w:w="4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Manna</w:t>
            </w: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70,501</w:t>
            </w:r>
          </w:p>
        </w:tc>
        <w:tc>
          <w:tcPr>
            <w:tcW w:w="10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693,033.50</w:t>
            </w:r>
          </w:p>
        </w:tc>
        <w:tc>
          <w:tcPr>
            <w:tcW w:w="1340" w:type="dxa"/>
            <w:vAlign w:val="bottom"/>
            <w:tcBorders>
              <w:bottom w:val="single" w:sz="8" w:color="auto"/>
              <w:right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20,999</w:t>
            </w:r>
          </w:p>
        </w:tc>
        <w:tc>
          <w:tcPr>
            <w:tcW w:w="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178,801.10</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871,834.60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Indemnification and Insurance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Merger Agreement provides that, from the Effective Time through the sixth anniversary of the Effective Time, to the extent permitted by applicable Law, Parent will, or will cause the Surviving Corporation to, indemnify and hold harmless, and provide advancement of expenses to, each present and former (as of the Effective Time) officer or director of the Company or any of its subsidiaries (the “Indemnified Parties”) against claims, losses and expenses arising out of or pertaining to the fact that such person is or was an officer or director of the Company or any of its subsidiaries and matters existing or occurring at or prior to the Effective Time (including the Merger Agreement and the transactions contemplated thereby), to the fullest extent permitted under applicable Law and the Company’s organizational documents, and to the same extent provided under the Company’s organizational documents and indemnification agreements in effect on the date of the Merger Agreement.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Merger Agreement further provides that the certificate of incorporation and bylaws of the Surviving Corporation and each subsidiary of the Company will contain provisions no less favorable with respect to indemnification, advancement of expenses and exculpation of former or present directors and officers than those set forth in the applicable organizational documents as of the date of the Merger Agreement, which provisions will not be amended, repealed or otherwise modified for a period of six years from the Closing Date in any manner that would adversely affect the rights thereunder of any Indemnified Party.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addition, prior to the Effective Time, the Company will (or, if the Company is unable to, Parent will cause the Surviving Corporation as of the Effective Time to) purchase a six-year prepaid “tail” policy on terms and conditions no less advantageous to the indemnified parties than the existing directors’ and officers’ liability (and fiduciary) insurance maintained by the Company and its subsidiaries, covering, without limitation, the Offer and the Merger, and Parent and Merger Sub will cause the Surviving Corporation to maintain such “tail” policy in full force and effect for six years after the closing of the Merger;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paid for such policy may not exceed 300% of the annual amount the Company and its subsidiaries paid in their last full fiscal year prior to the date of the Merger Agreement for existing directors’ and officers’ insurance (the “Maximum Amount”), and if the aggregate premiums for such coverage exceed the Maximum Amount, the Surviving Corporation will be obligated to obtain a policy with the greatest coverage available, with respect to matters occurring prior to the Effective Time, for a cost not exceeding the Maximum Amount.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except as otherwise agreed in writing between Parent and a Company employee, during the period beginning on the Closing Date and ending on the first anniversary of the Closing Date (or, if earlier, the applicable employee’s termination of employment) (the “Continuation Period”), Parent will, or will cause one of its affiliates (including the Surviving Corporation) to, maintain for each employee of the Company and its subsidiaries employed at the Effective Time (each, a “Covered Employee”), for so long as such Covered Employee remains employed by Parent or its affiliates, (i) base salary or hourly wages and (ii) employee benefits (excluding equity or equity-based compensation, retention, change of control, transaction or similar bonuses, non-qualified deferred compensation, severance, defined benefit pension and retiree medical benefits) that are, in the aggregate, substantially comparable to those provided to such Covered Employee immediately prior to the Effective Time. Covered Employees will also be eligible to participate in Parent’s transitional benefits plan, and Parent will recognize prior service with the Company for eligibility, vesting, vacation and severance purposes, subject to customary exceptions.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Parent will honor and pay, in accordance with their terms, the existing change-in-control, retention and transaction bonus obligations and other transaction-related payments set forth in the Company Disclosure Letter, to the extent triggered and payable following the Effective Time, and will provide any Covered Employee whose employment is involuntarily terminated without “cause” during the Continuation Period with severance payments and benefits on terms no less favorable than those under the Company’s existing severance policies as in effect immediately prior to the Effective Time. No executive officer or director of the Company is a party to any such arrangement.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14d-10(d) Matters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Merger Agreement requires the Company, prior to the Acceptance Time, to take all actions reasonably necessary to cause each employment compensation, severance, retention, change in control, termination, transaction bonus or other employee benefit arrangement, and each amendment to or acceleration, vesting, settlement or payment under any such arrangement, in each case that is entered into, adopted, approved, amended or modified by the Company at any time from the date of the Merger Agreement through the Acceptance Time with or for the benefit of any holder of Shares or Company Equity Awards who is or may be a security holder of the Company for purposes of Rule 14d-10 under the Exchange Act, to be approved as an “employment compensation, severance or other employee benefit arrangement” in accordance with the requirements of Rule 14d-10(d)(2) under the Exchange Act and the instructions thereto, including by the Compensation Committee of the Company Board (or, if no such committee exists, by a committee of the Company Board) constituted solely of “independent directors” within the meaning of Rule 14d-10(d)(2), and to take all actions reasonably necessary to satisfy the requirements of the non-exclusive safe harbor set forth in Rule 14d-10(d)(2).</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prior to the Effective Time, the Company will take all actions reasonably necessary to cause the disposition and cancellation of Shares and Company Equity Awards in the transactions contemplated by the Merger Agreement by each individual subject to the reporting requirements of Section 16(a) of the Exchange Act with respect to the Company to be exempt under Rule 16b-3 under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Golden Parachute Compensation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See below in Item 8 under the heading “</w:t>
      </w: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Golden Parachute Compensation</w:t>
      </w:r>
      <w:r>
        <w:rPr>
          <w:rFonts w:ascii="Times New Roman" w:cs="Times New Roman" w:eastAsia="Times New Roman" w:hAnsi="Times New Roman"/>
          <w:sz w:val="18"/>
          <w:szCs w:val="18"/>
          <w:color w:val="auto"/>
        </w:rPr>
        <w:t>” for information required by Item 402(t) of Regulation S-K regarding the compensation of each of the Company’s named executive officers that is based on or otherwise relates to the Offer and the Merger, which is incorporated herein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in Item 3 above, concurrently with the execution and delivery of the Merger Agreement, the Supporting Stockholders entered into the Support Agreement with Parent and Merger Sub. A description of the Support Agreement is set forth in Item 3 above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Arrangements with Parent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than the Support Agreement (to which Bradford T. Whitmore, the Chair of the Company Board, and certain of his affiliates are parties) and the indemnification and insurance provisions of the Merger Agreement, to the knowledge of the Company, as of the date of this Schedule 14D-9 no employment, equity contribution or other agreement, arrangement or understanding existed between any executive officer or director of the Company, on the one hand, and Parent or Merger Sub, on the other hand, and the Offer is not conditioned upon any executive officer or director of the Company entering into any such agreement, arrangement or understanding. In addition, any compensation arrangement with Company security holders entered into before the Acceptance Time must be approved in accordance with Rule 14d-10(d)(2) under the Exchange Act. It is possible that certain members of the Company’s management will enter into new employment or other arrangements with Parent or the Surviving Corporation. Any such arrangements are currently expected to be entered into after the completion of the Offer and would not become effective until after the completion of the Merger, if at all.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ITEM 4. THE SOLICITATION OR RECOMMENDATION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Company Board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After careful consideration, including a thorough review of the terms and conditions of the Merger Agreement and the Offer, and consultation with the Company’s management, financial advisor and outside legal counsel, the Company Board has unanimously (i) determined that the Merger Agreement, the Offer, the Merger and the other transactions contemplated by the Merger Agreement are advisable and fair to, and in the best interests of, the Company and its stockholders, (ii) approved and declared advisable the Merger Agreement and the transactions contemplated by the Merger Agreement, including the Offer and the Merger, (iii) resolved that the Merger will be effected under Section 251(h) of the DGCL and (iv) resolved to recommend that the Company’s stockholders accept the Offer and tender their Shares to Merger Sub pursuant to the Offer (the “Company Recommendation”).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Accordingly, and for the reasons described in more detail below, the Company Board unanimously recommends that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stockholders accept the Offer and tender their Shares pursuant to the Offer.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the Offer</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chronology summarizes the key meetings, negotiations and other events that led to the signing of the Merger Agreement. This chronology does not purport to catalogue every conversation of or among members of the Company Board,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senior management,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representatives, Parent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representatives and other parties.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26, 2026, Shawn O’Connell, Chief Executive Officer of Parent, and Mark Matthews, Chief Technology Officer of Parent, participated in a video conference with Bradford T. Whitmore, Chair of the Company Board, and Michael E. Manna, the Company’s President and Chief Executive Officer, to discuss Parent’s interest in a potential acquisition of the Company. The meeting concluded with the understanding that Mr. Whitmore would reflect on the discussion and that Mr. Manna would follow up as appropriate after they had time to consider the opportunity.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January through July 2026, Parent conducted due diligence on the Company based on its public filings and other publicly available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2026, Parent engaged XMS Capital Partners, LLC (“XMS”) as its financial advisor in connection with a potential acquisition of the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19, 2026, Mr. Matthews corresponded by email with Mr. Manna, who stated that the Company did not believe it was the right time to explore a potential sale.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 2026, Mr. Matthews contacted Mr. Manna to obtain contact information for Mr. Whitmore so that John Andrews, Strategy and Corporate Development Executive of Parent, who had joined Parent on April 20, 2026, could contact Mr. Whitmore to arrange an introductory meeting to discuss Parent’s interest in a potential acquisition of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18"/>
          <w:szCs w:val="18"/>
          <w:color w:val="auto"/>
        </w:rPr>
        <w:t>On June 4, 2026, Mr. Andrews sent an email to Mr. Whitmore introducing himself and requesting a meeting. On June 18, 2026, Mr. Whitmore responded to Mr. Andrews and suggested that they meet in Nashville, Tennessee.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29, 2026, Mr. Andrews met with Mr. Whitmore in Nashville, Tennessee. Mr. Andrews reiterated Parent’s interest in a potential acquisition of the Company, although no specific offer was made. Mr. Whitmore expressed his view that the Company had several positive developments on the horizon and that he would expect a significant premium to the Company’s then-current stock price to consider a sale. Mr. Andrews requested access to conduct due diligence on the Company and indicated that Parent wished to submit a non-binding written indication of interest.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30, 2026, Mr. Whitmore introduced Mr. Andrews to Philip A. Fain, the Company’s Chief Financial Officer and Treasurer, and requested that further communications regarding a potential transaction be directed to Mr. Fain.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2026, Parent engaged Reed Smith LLP (“Reed Smith”) as its outside legal counsel.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 2026, Mr. Andrews and Mr. Fain held an introductory call, during which Mr. Andrews reiterated that Parent planned to submit a non-binding indication of interest to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6, 2026, the Company received an unsolicited written non-binding indication of interest from Parent to acquire the Company at a price of between $12.00 and $14.00 per Share in cash, without a financing condition and subject to approval of Parent’s board of directors. The Company forwarded this to Lippes Mathias LLP (“Lippes”), the Company’s outside legal counsel and discussed the content and possible revisions.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9, 2026, the Company Board met, with the Company’s officers and representatives of Lippes, present, to review the indication of interest received from Parent and to discuss proposed revisions thereto. During the following days, the parties exchanged and finalized drafts of the indication of interest which was executed on July 14, 2026.</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14, 2026, Parent provided the Company with access to a Parent-hosted virtual data room, which included an initial list of diligence topics and a clean team folder.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15, 2026, representatives of Parent, including Parent’s deputy general counsel, and representatives of Lippes met to discuss the establishment of a virtual data room and a clean team agreement. During the following days, the parties exchanged and finalized drafts of the clean team agreement which was executed on July 20, 2026.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30, 2026, representatives of Parent, including Parent’s deputy general counsel, Lippes and Mintz, Levin, Cohn, Ferris, Glovsky and Popeo, P.C (“Mintz”), the Company’s HSR/Antitrust outside counsel, held an introductory call regarding matters under the HSR Act and other antitrust laws.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On July 31, 2026, representatives of Reed Smith, counsel to Parent, Parent’s deputy general counsel and representatives of Lippes held an introductory call regarding legal matters relating to the potential transaction.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August 2026 through the signing of the Merger Agreement, representatives of each of Reed Smith, Lippes and Parent held a weekly update call to discuss the potential transaction process and status of documentation and diligence.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August 3, 2026, the Company Board met, with the Company’s officers and representatives of Lippes present, to receive an update on the potential transaction, including the execution of the clean team agreement, the status of the virtual data room and antitrust matters.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13, 2026, representatives of Parent, including Parent’s deputy general counsel, Reed Smith, Lippes and Mintz held a follow-up call regarding matters under the HSR Act and other antitrust laws.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13, 2026 and August 14, 2026, certain members of the Parent executive management team met with Mr. Fain and Mr. Manna, to discuss various topics in conjunction with due diligence.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August 2026, Parent and its advisors, including CFGI (financial and operational diligence) and Ramboll (environmental, health and safety diligence), conducted due diligence through a virtual data room, functional sessions and management meetings, and conducted site visits to Company facilities in Newark, New York; Raynham, Massachusetts; Houston, Texas; China; and other locations.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August 17, 2026, the Company Board met, with the Company’s officers and representatives of Lippes present, to receive an update on Parent’s due diligence review and to discuss the proposed engagement of a financial advisor.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21, 2026, representatives of Reed Smith, Parent’s deputy general counsel and Lippes held a call regarding legal matters relating to the potential transaction. Also on August 21, 2026, Reed Smith delivered an initial draft of the Merger Agreement to Lippes.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24, 2026, Mr. Fain and representatives of Lippes met with representatives of StoneX Financial Inc. (“StoneX”) to discuss StoneX’s potential engagement as the Company’s financial advisor and the delivery of a fairness opinion.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27, 2026, the Company Board met, with the Company’s officers and representatives of Lippes present, to discuss the proposed engagement of StoneX and the initial draft of the Merger Agreement. Also on August 27, 2026, the Company entered into an engagement letter with StoneX pursuant to which StoneX agreed to serve as financial advisor to provide financial analysis and valuation advice to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On August 28, 2026, the Company entered into an engagement letter with StoneX pursuant to which StoneX agreed to serve as financial advisor to deliver a fairness opinion to the Company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4, 2026, Lippes delivered a revised draft of the Merger Agreement to Reed Smith.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9, 2026, Reed Smith delivered an initial draft of the Support Agreement to Lippes.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10, 2026, representatives of Parent orally communicated a preliminary valuation range of approximately $13.50 to $14.00 per Share, which they indicated reflected the views of Parent’s executive management following diligence. Parent’s representatives identified diligence considerations including transaction timing, tax, environmental, health and safety matters relating to China, cybersecurity and the Company’s potential need for growth capital. After conferring with StoneX and Lippes, the Company informed Parent that the range was a starting point for discussion and requested that Parent increase its proposal. Later, on September 10, 2026, the parties agreed that their financial advisors should communicate directly.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11, 2026, representatives of StoneX and XMS met. XMS indicated that Parent’s executive management had considered valuation in light of the Company’s trading price and recent performance, StoneX described the Company’s anticipated new products, prospects and strategic value to Parent, and the advisors discussed all-cash, stock and hybrid consideration structures.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12, 2026, Mr. Fain and Mr. Manna spoke with representatives of Parent, who stated that, apart from consideration and certain remaining matters, no material Merger Agreement issues remained unresolved. In response to the Company’s inquiry regarding flexibility in the range, Parent’s representative characterized any flexibility as incremental and requested that the Company Board formally accept or reject the range. The parties had not reached agreement on consideration, and the Company Board was subsequently updated.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14, 2026, Mr. Andrews held a follow-up call with Mr. Fain and Mr. Manna, during which Mr. Andrews responded to questions regarding Parent’s valuation and offer range, and Messrs. Manna and Fain provided an update on developments in the Company’s business. During the call, Mr. Andrews narrowed Parent’s proposed range to $13.75 to $14.00 per Share.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15, 2026, the Company Board met, with the Company’s officers and representatives of Lippes present, to discuss updated discussions between the business parties regarding the valuation. Also on September 15, 2026, Reed Smith delivered a revised draft of the Merger Agreement to Lippes.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18, 2026, Mr. Andrews and Mr. Fain held a follow-up discussion regarding valuation, during which Mr. Andrews reiterated Parent’s proposed range of $13.75 to $14.00 per Share.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21, 2026, the Company Board met, with the Company’s officers and representatives of Lippes present, to review Parent’s September 15, 2026 revisions to the Merger Agreement. At this meeting, Lippes provided an open issues list to the Company Board and advised the Company Board of the most significant issues affecting closing certainty, and that Parent had also proposed deleting the ticking fee and the intervening event termination right, a minimum premium requirement for a superior proposal, tighter interim operating covenants and expanded representations.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22, 2026, Lippes delivered an initial draft of the Company Disclosure Letter and a revised draft of the Support Agreement to Reed Smith.</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23, 2026, Mr. Andrews and Mr. Fain discussed valuation, during which Mr. Andrews discussed Parent’s basis for a proposed price of $14.00 per Share, and Mr. Fain discussed the Company’s backlog and new product introductions. Mr. Andrews requested specific feedback from the Company Board regarding Parent’s proposal, and the parties agreed to speak again on September 25,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24, 2026, Lippes delivered a revised draft of the Merger Agreement to Reed Smith.</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25, 2026, Mr. Fain and Mr. Andrews discussed the status of the potential transaction, and the parties targeted finalizing all terms of the Merger Agreement other than price by September 30, 2026. Mr. Andrews indicated a goal of reaching agreement on price by October 2, 2026.</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29, 2026, representatives of Lippes and Reed Smith met to review the open issues in the Merger Agreement, and negotiations on those provisions continued. Around this time, the Company also provided Parent with information for the filing under the HSR Act.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30, 2026, the Company Board met, with the Company’s officers and representatives of Lippes present, to review the status of the remaining open issues in the Merger Agreement. Also on September 30, 2026, Reed Smith delivered a revised draft of the Support Agreement to Lippes.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 2026, following a meeting of the Company Board, Mr. Fain conveyed to Mr. Andrews several requests of the Company Board regarding the terms of the Merger Agreement and verbally communicated a counterproposal of $18.00 per Share. Later on October 1, 2026, Lippes delivered a revised draft of the Merger Agreement to Reed Smith reflecting discussions between the Company and Parent earlier that day, and noted that further revisions were contingent on agreement on economic terms, including the Offer Price.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 2026, Reed Smith delivered a revised draft of the Company Disclosure Letter to Lippes. Also on October 2, 2026, Bradford T. Whitmore retained Olshan Frome Wolosky LLP (“Olshan”) as his counsel in connection with the review of the Support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 2026, Reed Smith delivered a revised draft of the Merger Agreement to Lippes, reflecting a revised Offer Price of $14.00 to $15.00 per Share.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5, 2026, Mr. Andrews and Mr. Fain discussed the status of negotiations. The parties indicated that they were in substantial agreement on the terms of the Merger Agreement, other than price. Mr. Fain indicated that the Company was considering a price of $17.00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6, 2026, Lippes delivered a revised draft of the Support Agreement to Reed Smith incorporating comments from Olshan.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7, 2026, Mr. Andrews and Mr. Fain further discussed valuation, and Mr. Andrews indicated that Parent would not support a transaction above $15.50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8, 2026, Lippes delivered a revised draft of the Company Disclosure Letter to Reed Smith.</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9, 2026, Mr. Fain informed Mr. Andrews that Lippes would include an Offer Price of $16.00 per Share in a revised draft of the Merger Agreement. On October 10, 2026, the Company Board met, with the Company’s officers and representatives of Lippes present, to review the Merger Agreement open items and overall timing of signing. Following the meeting, Lippes delivered a revised draft of the Merger Agreement to Reed Smith reflecting a revised Offer Price of $16.00 per Share.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13, 2026, Reed Smith delivered to Lippes revised drafts of the Merger Agreement and the Support Agreement and an initial draft of the Offer to Purchase. Also on October 13, 2026, Olshan delivered a revised draft of the Support Agreement to Reed Smith.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14, 2026, Lippes delivered a revised draft of the Merger Agreement to Reed Smith.</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15, 2026, representatives of Reed Smith, Olshan and Lippes met to discuss the open issues in the Support Agreement. Later, on October 15, 2026, Reed Smith delivered a revised draft of the Support Agreement to Lippes.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16, 2026, representatives of Parent, the Company, Reed Smith, Lippes and Mintz held a call to discuss transaction timing and the signing and closing checklist. Also on October 16, 2026, Lippes delivered a revised draft of the Company Disclosure Letter to Reed Smith.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17, 2026, Reed Smith delivered a revised draft of the Support Agreement to Lippes.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Company Board meeting on October 27, 2026 and final approval by the board of directors of Parent, on October 27, 2026, the Company and Parent executed and delivered the Merger Agreement, and Parent and the Supporting Stockholders executed and delivered the Support Agreement. Following the closing of trading on Nasdaq and NYSE on October 27, 2026, the Company and Parent each issued a press release to announce the execution of the Merger Agreement and the forthcoming commencement of a tender offer to acquire all the outstanding Shares for the Offer Price.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Board Consideration of the Proposed Transaction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Throughout this period, the Company Board received updates from management, StoneX and Lippes regarding diligence, negotiations, valuation and the Company’s standalone prospects and alternatives.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Board’s determination and the reasons for its recommendation are described below under “—Reasons for the Recommendation.”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Recommendation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evaluating the Merger Agreement and the transactions contemplated thereby, including the Offer and the Merger, and in making its recommendation, the Company Board consulted with the Company’s senior management and its financial and legal advisors and considered a number of factors, including the following material factors and benefits of the Offer and the Merger, each of which the Company Board believed supported its determination and recommendation:</w:t>
      </w:r>
    </w:p>
    <w:p>
      <w:pPr>
        <w:spacing w:after="0" w:line="178"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Attractive Price; Certainty of Value. </w:t>
      </w:r>
      <w:r>
        <w:rPr>
          <w:rFonts w:ascii="Times New Roman" w:cs="Times New Roman" w:eastAsia="Times New Roman" w:hAnsi="Times New Roman"/>
          <w:sz w:val="18"/>
          <w:szCs w:val="18"/>
          <w:color w:val="auto"/>
        </w:rPr>
        <w:t>The all-cash consideration of $16.00 per Share, taking into account the Company Board’s familiarity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operations, prospects, competitive environment, strategic and short and long term operating plans, assets, liabilities and financial condition of the Company, and relative certainty and liquidity of the all -cash merger consideration, is more favorable to the Company’s stockholders than the potential value that could reasonably be expected to be generated from the alternative of the Company continuing to operate independently and pursuing its current business and its financial and operating plans as an independent company, taking into account the execution risks associated with continuing to operate independently, including, without limitation, competitive risk, product development and regulatory risks and the ability to access a sufficient amount of capital to continue to fund operations.</w:t>
      </w:r>
    </w:p>
    <w:p>
      <w:pPr>
        <w:spacing w:after="0" w:line="183" w:lineRule="exact"/>
        <w:rPr>
          <w:sz w:val="20"/>
          <w:szCs w:val="20"/>
          <w:color w:val="auto"/>
        </w:rPr>
      </w:pPr>
    </w:p>
    <w:p>
      <w:pPr>
        <w:jc w:val="both"/>
        <w:ind w:left="5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Premium. </w:t>
      </w:r>
      <w:r>
        <w:rPr>
          <w:rFonts w:ascii="Times New Roman" w:cs="Times New Roman" w:eastAsia="Times New Roman" w:hAnsi="Times New Roman"/>
          <w:sz w:val="18"/>
          <w:szCs w:val="18"/>
          <w:color w:val="auto"/>
        </w:rPr>
        <w:t>The current and historical market prices of the Shares, and the fact that the Offer Price represents a compelling premium to recent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of the Shares including:</w:t>
      </w:r>
    </w:p>
    <w:p>
      <w:pPr>
        <w:spacing w:after="0" w:line="160" w:lineRule="exact"/>
        <w:rPr>
          <w:sz w:val="20"/>
          <w:szCs w:val="20"/>
          <w:color w:val="auto"/>
        </w:rPr>
      </w:pPr>
    </w:p>
    <w:p>
      <w:pPr>
        <w:ind w:left="500" w:hanging="6"/>
        <w:spacing w:after="0" w:line="282" w:lineRule="auto"/>
        <w:tabs>
          <w:tab w:leader="none" w:pos="10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166% premium over the closing price of $6.01 the last full trading day prior to the announcement of the Company’s entry into the Merger Agreement on October 26, 2026, the last full trading day prior to the announcement of the Company’s entry into the Merger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 w:name="page20"/>
    <w:bookmarkEnd w:id="19"/>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Deal Certainty. </w:t>
      </w:r>
      <w:r>
        <w:rPr>
          <w:rFonts w:ascii="Times New Roman" w:cs="Times New Roman" w:eastAsia="Times New Roman" w:hAnsi="Times New Roman"/>
          <w:sz w:val="18"/>
          <w:szCs w:val="18"/>
          <w:color w:val="auto"/>
        </w:rPr>
        <w:t>The terms of the Merger Agreement, including the limited and specific conditions to the Offer, the absence of a financing condition,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two-step tender offer and merger structure (which is expected to be consummated more quickly than a one-step merger requiring a stockholder vote), Parent’s obligation to use reasonable best efforts to obtain required regulatory approvals, the Company’s right to specific performance and the Reverse Termination Fee payable in specified antitrust-related circumstances, support the likelihood that the transaction will be consummated in a relatively short timeframe. The Company Board also considered that Parent is not required to agree to any divestiture, hold-separate or other remedy to obtain regulatory approvals.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Fiduciary Protections. </w:t>
      </w:r>
      <w:r>
        <w:rPr>
          <w:rFonts w:ascii="Times New Roman" w:cs="Times New Roman" w:eastAsia="Times New Roman" w:hAnsi="Times New Roman"/>
          <w:sz w:val="18"/>
          <w:szCs w:val="18"/>
          <w:color w:val="auto"/>
        </w:rPr>
        <w:t>The terms of the Merger Agreement permit the Company Board to respond to unsolicited Superior Proposals and to make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Adverse Recommendation Change in connection with a Superior Proposal or an Intervening Event, in each case subject to compliance with specified procedural requirements, including the provision of prior written notice to Parent and engaging in good-faith negotiations during a specified matching period (three Business Days, or two Business Days for material amendments).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Termination Fee. </w:t>
      </w:r>
      <w:r>
        <w:rPr>
          <w:rFonts w:ascii="Times New Roman" w:cs="Times New Roman" w:eastAsia="Times New Roman" w:hAnsi="Times New Roman"/>
          <w:sz w:val="18"/>
          <w:szCs w:val="18"/>
          <w:color w:val="auto"/>
        </w:rPr>
        <w:t>The Company Termination Fee of $10,300,000 is within the customary range for transactions of this type and size, and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of the Company Board (after consultation with its financial and legal advisors), is not of a magnitude that would be reasonably likely to preclude a competing offer for the Company that constitutes a Superior Proposal.</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Reverse Termination Fee. </w:t>
      </w:r>
      <w:r>
        <w:rPr>
          <w:rFonts w:ascii="Times New Roman" w:cs="Times New Roman" w:eastAsia="Times New Roman" w:hAnsi="Times New Roman"/>
          <w:sz w:val="18"/>
          <w:szCs w:val="18"/>
          <w:color w:val="auto"/>
        </w:rPr>
        <w:t>The Reverse Termination Fee of $10,300,000 payable by Parent in specified circumstances provides the Company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meaningful remedy if Parent fails to consummate the Offer under certain conditions.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Fairness Opinion. </w:t>
      </w:r>
      <w:r>
        <w:rPr>
          <w:rFonts w:ascii="Times New Roman" w:cs="Times New Roman" w:eastAsia="Times New Roman" w:hAnsi="Times New Roman"/>
          <w:sz w:val="18"/>
          <w:szCs w:val="18"/>
          <w:color w:val="auto"/>
        </w:rPr>
        <w:t>The Company Board considered the opinion of StoneX, rendered verbally to the Company Board on October 27, 2026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subsequently confirmed in writing on October 27, 2026, to the effect that, as of such date and based upon and subject to the assumptions made, procedures followed, matters considered and qualifications and limitations set forth therein, the consideration to be received in the Merger pursuant to the Merger Agreement was fair to the Company’s shareholders from a financial point of view, as more fully described below under “—Opinion of Financial Advisor.”</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Appraisal Rights. </w:t>
      </w:r>
      <w:r>
        <w:rPr>
          <w:rFonts w:ascii="Times New Roman" w:cs="Times New Roman" w:eastAsia="Times New Roman" w:hAnsi="Times New Roman"/>
          <w:sz w:val="18"/>
          <w:szCs w:val="18"/>
          <w:color w:val="auto"/>
        </w:rPr>
        <w:t>Stockholders who do not tender their Shares in the Offer and who otherwise comply with the applicable requirements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of Section 262 of the DGCL will be entitled to seek appraisal of their Shares and receive payment of the “fair value” of their Shares as determined by the Delaware Court of Chancery.</w:t>
      </w:r>
    </w:p>
    <w:p>
      <w:pPr>
        <w:spacing w:after="0" w:line="17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Risks of Alternatives. </w:t>
      </w:r>
      <w:r>
        <w:rPr>
          <w:rFonts w:ascii="Times New Roman" w:cs="Times New Roman" w:eastAsia="Times New Roman" w:hAnsi="Times New Roman"/>
          <w:sz w:val="18"/>
          <w:szCs w:val="18"/>
          <w:color w:val="auto"/>
        </w:rPr>
        <w:t>The Company Board considered the risks and uncertainties associated with the Company’s standalone business plan,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risks of achieving management’s financial projections, competitive and market dynamics, and the potential that the value to be realized by the Company’s stockholders through the continued execution of the Company’s standalone business plan may be less than the Offer Price.</w:t>
      </w:r>
    </w:p>
    <w:p>
      <w:pPr>
        <w:spacing w:after="0" w:line="17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78" w:right="339" w:bottom="1440" w:gutter="0" w:footer="0" w:header="0"/>
        </w:sectPr>
      </w:pPr>
    </w:p>
    <w:bookmarkStart w:id="20" w:name="page21"/>
    <w:bookmarkEnd w:id="20"/>
    <w:p>
      <w:pPr>
        <w:jc w:val="both"/>
        <w:ind w:left="5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Tender and Support Agreement. </w:t>
      </w:r>
      <w:r>
        <w:rPr>
          <w:rFonts w:ascii="Times New Roman" w:cs="Times New Roman" w:eastAsia="Times New Roman" w:hAnsi="Times New Roman"/>
          <w:sz w:val="18"/>
          <w:szCs w:val="18"/>
          <w:color w:val="auto"/>
        </w:rPr>
        <w:t>The Company considered that certain supporting stockholders who collectively held approximately 40.3%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as of the date of signing of the Merger Agreement agreed to enter into a Tender and Support Agreement concurrent with the signing of the Merger Agreement.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Board also considered a number of potentially negative factors in its deliberations concerning the Offer and the Merger, including the following:</w:t>
      </w:r>
    </w:p>
    <w:p>
      <w:pPr>
        <w:spacing w:after="0" w:line="160" w:lineRule="exact"/>
        <w:rPr>
          <w:sz w:val="20"/>
          <w:szCs w:val="20"/>
          <w:color w:val="auto"/>
        </w:rPr>
      </w:pPr>
    </w:p>
    <w:p>
      <w:pPr>
        <w:ind w:left="500"/>
        <w:spacing w:after="0" w:line="284" w:lineRule="auto"/>
        <w:rPr>
          <w:sz w:val="20"/>
          <w:szCs w:val="20"/>
          <w:color w:val="auto"/>
        </w:rPr>
      </w:pPr>
      <w:r>
        <w:rPr>
          <w:rFonts w:ascii="Times New Roman" w:cs="Times New Roman" w:eastAsia="Times New Roman" w:hAnsi="Times New Roman"/>
          <w:sz w:val="18"/>
          <w:szCs w:val="18"/>
          <w:i w:val="1"/>
          <w:iCs w:val="1"/>
          <w:color w:val="auto"/>
        </w:rPr>
        <w:t>No-Shop Restrictions; Company Termination Fee</w:t>
      </w:r>
      <w:r>
        <w:rPr>
          <w:rFonts w:ascii="Times New Roman" w:cs="Times New Roman" w:eastAsia="Times New Roman" w:hAnsi="Times New Roman"/>
          <w:sz w:val="18"/>
          <w:szCs w:val="18"/>
          <w:color w:val="auto"/>
        </w:rPr>
        <w:t>. The fact that the no-shop provisions of the Merger Agreement restrict the Company’s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actively seek alternative proposals and the requirement to pay the Company Termination Fee in certain circumstances;</w:t>
      </w:r>
    </w:p>
    <w:p>
      <w:pPr>
        <w:spacing w:after="0" w:line="158" w:lineRule="exact"/>
        <w:rPr>
          <w:sz w:val="20"/>
          <w:szCs w:val="20"/>
          <w:color w:val="auto"/>
        </w:rPr>
      </w:pPr>
    </w:p>
    <w:p>
      <w:pPr>
        <w:ind w:left="500"/>
        <w:spacing w:after="0" w:line="284" w:lineRule="auto"/>
        <w:rPr>
          <w:sz w:val="20"/>
          <w:szCs w:val="20"/>
          <w:color w:val="auto"/>
        </w:rPr>
      </w:pPr>
      <w:r>
        <w:rPr>
          <w:rFonts w:ascii="Times New Roman" w:cs="Times New Roman" w:eastAsia="Times New Roman" w:hAnsi="Times New Roman"/>
          <w:sz w:val="18"/>
          <w:szCs w:val="18"/>
          <w:i w:val="1"/>
          <w:iCs w:val="1"/>
          <w:color w:val="auto"/>
        </w:rPr>
        <w:t>Loss of Future Earnings</w:t>
      </w:r>
      <w:r>
        <w:rPr>
          <w:rFonts w:ascii="Times New Roman" w:cs="Times New Roman" w:eastAsia="Times New Roman" w:hAnsi="Times New Roman"/>
          <w:sz w:val="18"/>
          <w:szCs w:val="18"/>
          <w:color w:val="auto"/>
        </w:rPr>
        <w:t>. The fact that the Company’s stockholders will not participate in any future earnings or growth of the Company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Merger;</w:t>
      </w:r>
    </w:p>
    <w:p>
      <w:pPr>
        <w:spacing w:after="0" w:line="158" w:lineRule="exact"/>
        <w:rPr>
          <w:sz w:val="20"/>
          <w:szCs w:val="20"/>
          <w:color w:val="auto"/>
        </w:rPr>
      </w:pPr>
    </w:p>
    <w:p>
      <w:pPr>
        <w:ind w:left="500" w:right="20"/>
        <w:spacing w:after="0" w:line="284" w:lineRule="auto"/>
        <w:rPr>
          <w:sz w:val="20"/>
          <w:szCs w:val="20"/>
          <w:color w:val="auto"/>
        </w:rPr>
      </w:pPr>
      <w:r>
        <w:rPr>
          <w:rFonts w:ascii="Times New Roman" w:cs="Times New Roman" w:eastAsia="Times New Roman" w:hAnsi="Times New Roman"/>
          <w:sz w:val="18"/>
          <w:szCs w:val="18"/>
          <w:i w:val="1"/>
          <w:iCs w:val="1"/>
          <w:color w:val="auto"/>
        </w:rPr>
        <w:t>Tax Consequences</w:t>
      </w:r>
      <w:r>
        <w:rPr>
          <w:rFonts w:ascii="Times New Roman" w:cs="Times New Roman" w:eastAsia="Times New Roman" w:hAnsi="Times New Roman"/>
          <w:sz w:val="18"/>
          <w:szCs w:val="18"/>
          <w:color w:val="auto"/>
        </w:rPr>
        <w:t>. The tax consequences of the transaction to the Company’s stockholders, including that the receipt of cash in the Offer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will generally be a taxable transaction for U.S. federal income tax purposes;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Interests of Insiders</w:t>
      </w:r>
      <w:r>
        <w:rPr>
          <w:rFonts w:ascii="Times New Roman" w:cs="Times New Roman" w:eastAsia="Times New Roman" w:hAnsi="Times New Roman"/>
          <w:sz w:val="18"/>
          <w:szCs w:val="18"/>
          <w:color w:val="auto"/>
        </w:rPr>
        <w:t>. The potential conflicts of interest of the Company’s executive officers and directors as described in Item 3 above;</w:t>
      </w:r>
    </w:p>
    <w:p>
      <w:pPr>
        <w:spacing w:after="0" w:line="225" w:lineRule="exact"/>
        <w:rPr>
          <w:sz w:val="20"/>
          <w:szCs w:val="20"/>
          <w:color w:val="auto"/>
        </w:rPr>
      </w:pPr>
    </w:p>
    <w:p>
      <w:pPr>
        <w:ind w:left="500"/>
        <w:spacing w:after="0" w:line="284" w:lineRule="auto"/>
        <w:rPr>
          <w:sz w:val="20"/>
          <w:szCs w:val="20"/>
          <w:color w:val="auto"/>
        </w:rPr>
      </w:pPr>
      <w:r>
        <w:rPr>
          <w:rFonts w:ascii="Times New Roman" w:cs="Times New Roman" w:eastAsia="Times New Roman" w:hAnsi="Times New Roman"/>
          <w:sz w:val="18"/>
          <w:szCs w:val="18"/>
          <w:i w:val="1"/>
          <w:iCs w:val="1"/>
          <w:color w:val="auto"/>
        </w:rPr>
        <w:t>Regulatory Approval</w:t>
      </w:r>
      <w:r>
        <w:rPr>
          <w:rFonts w:ascii="Times New Roman" w:cs="Times New Roman" w:eastAsia="Times New Roman" w:hAnsi="Times New Roman"/>
          <w:sz w:val="18"/>
          <w:szCs w:val="18"/>
          <w:color w:val="auto"/>
        </w:rPr>
        <w:t>. The fact that the Offer is subject to conditions outside of the Company’s control, including expiration of the HSR Act waiting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w:t>
      </w:r>
    </w:p>
    <w:p>
      <w:pPr>
        <w:spacing w:after="0" w:line="158" w:lineRule="exact"/>
        <w:rPr>
          <w:sz w:val="20"/>
          <w:szCs w:val="20"/>
          <w:color w:val="auto"/>
        </w:rPr>
      </w:pPr>
    </w:p>
    <w:p>
      <w:pPr>
        <w:ind w:left="500"/>
        <w:spacing w:after="0" w:line="284" w:lineRule="auto"/>
        <w:rPr>
          <w:sz w:val="20"/>
          <w:szCs w:val="20"/>
          <w:color w:val="auto"/>
        </w:rPr>
      </w:pPr>
      <w:r>
        <w:rPr>
          <w:rFonts w:ascii="Times New Roman" w:cs="Times New Roman" w:eastAsia="Times New Roman" w:hAnsi="Times New Roman"/>
          <w:sz w:val="18"/>
          <w:szCs w:val="18"/>
          <w:i w:val="1"/>
          <w:iCs w:val="1"/>
          <w:color w:val="auto"/>
        </w:rPr>
        <w:t>Business Operation Restrictions</w:t>
      </w:r>
      <w:r>
        <w:rPr>
          <w:rFonts w:ascii="Times New Roman" w:cs="Times New Roman" w:eastAsia="Times New Roman" w:hAnsi="Times New Roman"/>
          <w:sz w:val="18"/>
          <w:szCs w:val="18"/>
          <w:color w:val="auto"/>
        </w:rPr>
        <w:t>. The restrictions on the conduct of the Company’s business prior to the consummation of the Merger, which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delay or prevent the Company from undertaking certain business opportunities;</w:t>
      </w:r>
    </w:p>
    <w:p>
      <w:pPr>
        <w:spacing w:after="0" w:line="158" w:lineRule="exact"/>
        <w:rPr>
          <w:sz w:val="20"/>
          <w:szCs w:val="20"/>
          <w:color w:val="auto"/>
        </w:rPr>
      </w:pPr>
    </w:p>
    <w:p>
      <w:pPr>
        <w:ind w:left="500" w:right="20"/>
        <w:spacing w:after="0" w:line="284" w:lineRule="auto"/>
        <w:rPr>
          <w:sz w:val="20"/>
          <w:szCs w:val="20"/>
          <w:color w:val="auto"/>
        </w:rPr>
      </w:pPr>
      <w:r>
        <w:rPr>
          <w:rFonts w:ascii="Times New Roman" w:cs="Times New Roman" w:eastAsia="Times New Roman" w:hAnsi="Times New Roman"/>
          <w:sz w:val="18"/>
          <w:szCs w:val="18"/>
          <w:i w:val="1"/>
          <w:iCs w:val="1"/>
          <w:color w:val="auto"/>
        </w:rPr>
        <w:t>Risk of Not Closing the Transaction</w:t>
      </w:r>
      <w:r>
        <w:rPr>
          <w:rFonts w:ascii="Times New Roman" w:cs="Times New Roman" w:eastAsia="Times New Roman" w:hAnsi="Times New Roman"/>
          <w:sz w:val="18"/>
          <w:szCs w:val="18"/>
          <w:color w:val="auto"/>
        </w:rPr>
        <w:t>. The risks and costs to the Company if the Offer and the Merger are not consummated, including the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diversion of management and employee attention and potential effects on business and customer relationships.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considering all of the foregoing factors and consulting with its financial and legal advisors, the Company Board concluded that the potential benefits of the Offer and the Merger to the Company’s stockholders outweighed the potential risks and negative factors and, accordingly, unanimously determined to approve and declare advisable the Merger Agreement and the transactions contemplated thereby, including the Offer and the Merger, and to recommend that the Company’s stockholders accept the Offer and tender their Shares pursuant to the Offer.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discussion of the Company Board’s reasoning and all of the material factors considered by the Company Board is not intended to be exhaustive but addresses the material information and factors considered by the Company Board in its consideration of the Offer and the Merger. In light of the number and variety of factors that the Company Board considered, the Company Board did not find it practicable to assign relative weights or otherwise rank the specific factors considered, and individual members of the Company Board may have given different weight to different factors.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Intent to Tender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Company’s knowledge, after making reasonable inquiry, each executive officer and director of the Company currently intends to tender, pursuant to the Offer, all Shares held of record or beneficially owned by such person (other than Shares for which such person does not have discretionary authority or that are subject to the instructions of a third party). In addition, the Supporting Stockholders have agreed to tender their Shares pursuant to the Support Agreement, as described in Item 3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of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Financial Advisor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StoneX’s investment banking practice provides valuation and advisory services in connection with financings, mergers and acquisitions for both public and private companies. Pursuant to an engagement letter dated August 28, 2026, the Company retained StoneX to act as financial advisor to the Company Board in connection with the Offer, the Merger and the other transactions contemplated by the Merger Agreement and provide a written opinion to the Company Board as to whether the consideration to be received in the Merger is fair to the Company’s shareholders from a financial point of view. The Company selected StoneX based on various considerations that included experience with similar transactions, reputation, knowledge of the Company and relevant industry, fee proposal, and relevant qualifications of team members. On October 27, 2026, StoneX reviewed its financial analysis and rendered an oral opinion to the Company Board, subsequently confirmed on October 27, 2026, by delivery of its written opinion to the Board that, as of such date and based upon and subject to the assumptions, qualifications and limitations set forth therein, the consideration to be received in the Merger pursuant to the Merger Agreement was fair to the Company’s stockholders from a financial point of view.</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The full text of the written opinion of StoneX is attached as Annex I to this Schedule 14D-9 and is incorporated herein by reference. It sets forth the assumptions made, procedures followed, matters considered and limitations on the review undertaken. StoneX</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opinion was addressed to, and for the sole use and benefit of, the Company Board in its capacity as such, and addressed only the fairness, from a financial point of view, of the consideration to be received in the Merger. It does not address the underlying business decision to proceed with the Merger or its merits relative to alternatives, and does not constitute a recommendation to any stockholder as to whether to tender Shares in the Offer or how to act with respect to any matter relating to the Merger. The summary below is qualified in its entirety by reference to the full text of the opinion.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Information Reviewed. </w:t>
      </w:r>
      <w:r>
        <w:rPr>
          <w:rFonts w:ascii="Times New Roman" w:cs="Times New Roman" w:eastAsia="Times New Roman" w:hAnsi="Times New Roman"/>
          <w:sz w:val="18"/>
          <w:szCs w:val="18"/>
          <w:color w:val="auto"/>
        </w:rPr>
        <w:t>In arriving at its opinion, StoneX reviewed, among other things: an execution draft of the Merger Agreement dated October 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certain historical financial statements of the Company, including those filed on Forms 10-K and 10-Q, and preliminary, unaudited financial information for the three months ended September 30, 2026; a financial model prepared by management containing projected financial information for fiscal years 2026 through 2029 if the Company were to remain independent (the “Management Projections”); a certificate from senior management; current and historical market prices of the Shares and of the securities of certain publicly traded companies; and the publicly available financial terms of certain transactions. StoneX relied upon and assumed, without independent verification, the accuracy and completeness of such information. It assumed that the Management Projections were reasonably prepared in good faith on bases reflecting management’s best currently available estimates and judgments, and it did not make any independent evaluation or appraisal of the Company’s assets or liabilities. StoneX was not requested to, and did not, solicit indications of interest from third parties, negotiate the terms of the Offer, the Merger and the other transactions contemplated by the Merger Agreement or advise the Company Board with respect to alternatives to the Merger.</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Summary of Financial Analyses. </w:t>
      </w:r>
      <w:r>
        <w:rPr>
          <w:rFonts w:ascii="Times New Roman" w:cs="Times New Roman" w:eastAsia="Times New Roman" w:hAnsi="Times New Roman"/>
          <w:sz w:val="18"/>
          <w:szCs w:val="18"/>
          <w:color w:val="auto"/>
        </w:rPr>
        <w:t>The following is a summary of the material financial analyses performed by StoneX in connection with its opinion.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summary, however, does not purport to be a complete description of the financial analyses performed by StoneX.</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financial analyses summarized below include information presented in tabular format. In order to fully understand the financial analyses performed by StoneX, the tables must be read together with the text of each summary. The tables alone do not constitute a complete description of the financial analyses performed by StoneX. Considering the data set forth in the tables below without considering the full narrative description of the financial analyses, including the methodologies and assumptions underlying the analyses, could create a misleading or incomplete view of the financial analyses performed by StoneX. The order in which these analyses are presented below, and the results of those analyses, should not be taken as an indication of the relative importance or weight given to these analyses by StoneX or the Company Board. Except as otherwise noted, the following quantitative information, to the extent it is based on market data, is based on market data as it existed on or before October 27, 2026, and is not necessarily indicative of current market conditions. All analyses conducted by StoneX were going-concern analyses and StoneX expressed no opinion regarding the liquidation value of any entity.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StoneX estimated a range of equity values for the Shares if the Company were to remain independent using three methodologies, to which it attributed no particular weight. These analyses resulted in an average implied equity value range of approximately $176.7 million to $293.9 million, or approximately $10.6 to $17.6 per Share on a fully diluted basis. StoneX compared that range to the Offer Price of $16.00 per Share, which it noted represented a Present Value of approximately $14.9 to $15.4 per Share assuming a three- to six-month period to closing.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3" w:name="page24"/>
    <w:bookmarkEnd w:id="23"/>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Selected Public Company Analysis. </w:t>
      </w:r>
      <w:r>
        <w:rPr>
          <w:rFonts w:ascii="Times New Roman" w:cs="Times New Roman" w:eastAsia="Times New Roman" w:hAnsi="Times New Roman"/>
          <w:sz w:val="18"/>
          <w:szCs w:val="18"/>
          <w:color w:val="auto"/>
        </w:rPr>
        <w:t>StoneX analyzed the valuation of publicly-listed companies that StoneX deemed to be relevant for purposes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analysis based on its professional judgment and experience. StoneX reviewed financial and market data for publicly traded industrial technology and manufacturing companies focused on battery, power supply and power communications products primarily for industrial, defense and mission-critical applications. StoneX reviewed, among other things, enterprise values (EV) of the selected companies, calculated as equity values based on closing stock prices on October 26, 2026, plus debt, plus preferred stock, plus non-controlling interests, and less cash and cash equivalents, as a multiple of trailing EBITDA (earnings before interest, taxes, depreciation and amortization) for the last twelve months (LTM) and forward forecasts based on consensus analysts’ estimates for the years 2026 and 2027 (2026E and 2027E, respectively). StoneX’s analysis identified seven companies, which StoneX deemed comparable to the Company but none of which identical to the Company:</w:t>
      </w:r>
    </w:p>
    <w:p>
      <w:pPr>
        <w:spacing w:after="0" w:line="183"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9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Multiples</w:t>
            </w:r>
          </w:p>
        </w:tc>
        <w:tc>
          <w:tcPr>
            <w:tcW w:w="700" w:type="dxa"/>
            <w:vAlign w:val="bottom"/>
            <w:tcBorders>
              <w:bottom w:val="single" w:sz="8" w:color="auto"/>
            </w:tcBorders>
          </w:tcPr>
          <w:p>
            <w:pPr>
              <w:spacing w:after="0"/>
              <w:rPr>
                <w:sz w:val="20"/>
                <w:szCs w:val="20"/>
                <w:color w:val="auto"/>
              </w:rPr>
            </w:pPr>
          </w:p>
        </w:tc>
      </w:tr>
      <w:tr>
        <w:trPr>
          <w:trHeight w:val="187"/>
        </w:trPr>
        <w:tc>
          <w:tcPr>
            <w:tcW w:w="2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EV/</w:t>
            </w:r>
          </w:p>
        </w:tc>
        <w:tc>
          <w:tcPr>
            <w:tcW w:w="96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EV/</w:t>
            </w:r>
          </w:p>
        </w:tc>
        <w:tc>
          <w:tcPr>
            <w:tcW w:w="7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EV/</w:t>
            </w:r>
          </w:p>
        </w:tc>
      </w:tr>
      <w:tr>
        <w:trPr>
          <w:trHeight w:val="216"/>
        </w:trPr>
        <w:tc>
          <w:tcPr>
            <w:tcW w:w="2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Ent.</w:t>
            </w:r>
          </w:p>
        </w:tc>
        <w:tc>
          <w:tcPr>
            <w:tcW w:w="360" w:type="dxa"/>
            <w:vAlign w:val="bottom"/>
          </w:tcPr>
          <w:p>
            <w:pPr>
              <w:spacing w:after="0"/>
              <w:rPr>
                <w:sz w:val="18"/>
                <w:szCs w:val="18"/>
                <w:color w:val="auto"/>
              </w:rPr>
            </w:pPr>
          </w:p>
        </w:tc>
        <w:tc>
          <w:tcPr>
            <w:tcW w:w="96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EBITDA</w:t>
            </w:r>
          </w:p>
        </w:tc>
      </w:tr>
      <w:tr>
        <w:trPr>
          <w:trHeight w:val="238"/>
        </w:trPr>
        <w:tc>
          <w:tcPr>
            <w:tcW w:w="2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Cap</w:t>
            </w: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4"/>
              </w:rPr>
              <w:t>(LTM)</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(2027)</w:t>
            </w:r>
          </w:p>
        </w:tc>
      </w:tr>
      <w:tr>
        <w:trPr>
          <w:trHeight w:val="209"/>
        </w:trPr>
        <w:tc>
          <w:tcPr>
            <w:tcW w:w="2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i w:val="1"/>
                <w:iCs w:val="1"/>
                <w:color w:val="auto"/>
                <w:w w:val="97"/>
              </w:rPr>
              <w:t>$mm</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i w:val="1"/>
                <w:iCs w:val="1"/>
                <w:color w:val="auto"/>
                <w:w w:val="97"/>
              </w:rPr>
              <w:t>$mm</w:t>
            </w:r>
          </w:p>
        </w:tc>
        <w:tc>
          <w:tcPr>
            <w:tcW w:w="11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x</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x</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x</w:t>
            </w:r>
          </w:p>
        </w:tc>
      </w:tr>
      <w:tr>
        <w:trPr>
          <w:trHeight w:val="21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Public Comps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Aviat Networks, Inc.</w:t>
            </w: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10.3x</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5.6x</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4.7x</w:t>
            </w: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Comtech Telecommunications Corp.</w:t>
            </w:r>
          </w:p>
        </w:tc>
        <w:tc>
          <w:tcPr>
            <w:tcW w:w="1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14.4x</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11.4x</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9.9x</w:t>
            </w: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EnerSys</w:t>
            </w: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6,885</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10.3x</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9.2x</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8.7x</w:t>
            </w: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Espey Mfg. &amp; Electronics Corp.</w:t>
            </w:r>
          </w:p>
        </w:tc>
        <w:tc>
          <w:tcPr>
            <w:tcW w:w="1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8.8x</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10.9x</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9.2x</w:t>
            </w: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Integer Holdings Corporation</w:t>
            </w: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5,663</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17.6x</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14.7x</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13.3x</w:t>
            </w: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Microvast Holdings, Inc.</w:t>
            </w:r>
          </w:p>
        </w:tc>
        <w:tc>
          <w:tcPr>
            <w:tcW w:w="1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8.4x</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8.4x</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2.4x</w:t>
            </w: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VITZROCELL Co., Ltd.</w:t>
            </w:r>
          </w:p>
        </w:tc>
        <w:tc>
          <w:tcPr>
            <w:tcW w:w="8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678</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11.1x</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8.1x</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6.8x</w:t>
            </w:r>
          </w:p>
        </w:tc>
      </w:tr>
      <w:tr>
        <w:trPr>
          <w:trHeight w:val="209"/>
        </w:trPr>
        <w:tc>
          <w:tcPr>
            <w:tcW w:w="27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i w:val="1"/>
                <w:iCs w:val="1"/>
                <w:color w:val="auto"/>
              </w:rPr>
              <w:t>Average $</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2,040</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1,690</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11.6x</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9.8x</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7.9x</w:t>
            </w:r>
          </w:p>
        </w:tc>
      </w:tr>
      <w:tr>
        <w:trPr>
          <w:trHeight w:val="216"/>
        </w:trPr>
        <w:tc>
          <w:tcPr>
            <w:tcW w:w="278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i w:val="1"/>
                <w:iCs w:val="1"/>
                <w:color w:val="auto"/>
              </w:rPr>
              <w:t>Median $</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444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253</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10.3x</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9.2x</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8.7x</w:t>
            </w:r>
          </w:p>
        </w:tc>
      </w:tr>
      <w:tr>
        <w:trPr>
          <w:trHeight w:val="20"/>
        </w:trPr>
        <w:tc>
          <w:tcPr>
            <w:tcW w:w="2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2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Source: FactSet, CapitalIQ as of 10/26/2026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-127635</wp:posOffset>
            </wp:positionV>
            <wp:extent cx="57003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StoneX applied the selected companies’ average enterprise value to EBITDA multiples of 11.6x (LTM), 9.8x (2026E) and 7.9x (2027E) to the Company’s LTM EBITDA of $17.1 million and projected 2026 and 2027 EBITDA of $22.3 million and $34.0 million, respectively, provided to it by the Company. It then adjusted for cash of $9.1 million, debt of $55.0 million and non-controlling interest of $0.1 million. This analysis resulted in an implied equity value range of approximately $151.5 million to $221.1 million, or approximately $9.1 to $13.3 per Share.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4" w:name="page25"/>
    <w:bookmarkEnd w:id="24"/>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Precedent Transaction Analysis. </w:t>
      </w:r>
      <w:r>
        <w:rPr>
          <w:rFonts w:ascii="Times New Roman" w:cs="Times New Roman" w:eastAsia="Times New Roman" w:hAnsi="Times New Roman"/>
          <w:sz w:val="18"/>
          <w:szCs w:val="18"/>
          <w:color w:val="auto"/>
        </w:rPr>
        <w:t>StoneX analyzed recent mergers and acquisitions involving companies that it deemed to be relevant for purposes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analysis based on its professional judgment and experience. StoneX reviewed transactions announced and completed over the prior three years involving industrial technology and manufacturing companies focused on battery, power supply and power communications products, where financial terms were available. StoneX reviewed, among other things, the precedent transactions’ implied enterprise value multiples of EBITDA using LTM results and estimates for one and two forward years. StoneX’s analysis identified four transactions where StoneX deemed the target companies comparable to the Company but none of which identical to the Company: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EV/</w:t>
            </w: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EV/</w:t>
            </w: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EV/</w:t>
            </w:r>
          </w:p>
        </w:tc>
        <w:tc>
          <w:tcPr>
            <w:tcW w:w="2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40" w:type="dxa"/>
            <w:vAlign w:val="bottom"/>
          </w:tcPr>
          <w:p>
            <w:pPr>
              <w:spacing w:after="0"/>
              <w:rPr>
                <w:sz w:val="18"/>
                <w:szCs w:val="18"/>
                <w:color w:val="auto"/>
              </w:rPr>
            </w:pPr>
          </w:p>
        </w:tc>
        <w:tc>
          <w:tcPr>
            <w:tcW w:w="7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Ent.</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EBITDA</w:t>
            </w:r>
          </w:p>
        </w:tc>
        <w:tc>
          <w:tcPr>
            <w:tcW w:w="21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EBITDAEBITDAEBITDA</w:t>
            </w:r>
          </w:p>
        </w:tc>
      </w:tr>
      <w:tr>
        <w:trPr>
          <w:trHeight w:val="238"/>
        </w:trPr>
        <w:tc>
          <w:tcPr>
            <w:tcW w:w="2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25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Acquirer</w:t>
            </w:r>
          </w:p>
        </w:tc>
        <w:tc>
          <w:tcPr>
            <w:tcW w:w="16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Announced</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(LTM)</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(LTM)</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(LTM)</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(2027)*</w:t>
            </w:r>
          </w:p>
        </w:tc>
        <w:tc>
          <w:tcPr>
            <w:tcW w:w="20" w:type="dxa"/>
            <w:vAlign w:val="bottom"/>
          </w:tcPr>
          <w:p>
            <w:pPr>
              <w:spacing w:after="0"/>
              <w:rPr>
                <w:sz w:val="20"/>
                <w:szCs w:val="20"/>
                <w:color w:val="auto"/>
              </w:rPr>
            </w:pPr>
          </w:p>
        </w:tc>
      </w:tr>
      <w:tr>
        <w:trPr>
          <w:trHeight w:val="209"/>
        </w:trPr>
        <w:tc>
          <w:tcPr>
            <w:tcW w:w="21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center"/>
              <w:ind w:right="150"/>
              <w:spacing w:after="0"/>
              <w:rPr>
                <w:sz w:val="20"/>
                <w:szCs w:val="20"/>
                <w:color w:val="auto"/>
              </w:rPr>
            </w:pPr>
            <w:r>
              <w:rPr>
                <w:rFonts w:ascii="Times New Roman" w:cs="Times New Roman" w:eastAsia="Times New Roman" w:hAnsi="Times New Roman"/>
                <w:sz w:val="18"/>
                <w:szCs w:val="18"/>
                <w:i w:val="1"/>
                <w:iCs w:val="1"/>
                <w:color w:val="auto"/>
                <w:w w:val="97"/>
              </w:rPr>
              <w:t>$mm</w:t>
            </w:r>
          </w:p>
        </w:tc>
        <w:tc>
          <w:tcPr>
            <w:tcW w:w="220" w:type="dxa"/>
            <w:vAlign w:val="bottom"/>
          </w:tcPr>
          <w:p>
            <w:pPr>
              <w:spacing w:after="0"/>
              <w:rPr>
                <w:sz w:val="18"/>
                <w:szCs w:val="18"/>
                <w:color w:val="auto"/>
              </w:rPr>
            </w:pPr>
          </w:p>
        </w:tc>
        <w:tc>
          <w:tcPr>
            <w:tcW w:w="760" w:type="dxa"/>
            <w:vAlign w:val="bottom"/>
          </w:tcPr>
          <w:p>
            <w:pPr>
              <w:jc w:val="center"/>
              <w:ind w:right="110"/>
              <w:spacing w:after="0"/>
              <w:rPr>
                <w:sz w:val="20"/>
                <w:szCs w:val="20"/>
                <w:color w:val="auto"/>
              </w:rPr>
            </w:pPr>
            <w:r>
              <w:rPr>
                <w:rFonts w:ascii="Times New Roman" w:cs="Times New Roman" w:eastAsia="Times New Roman" w:hAnsi="Times New Roman"/>
                <w:sz w:val="18"/>
                <w:szCs w:val="18"/>
                <w:i w:val="1"/>
                <w:iCs w:val="1"/>
                <w:color w:val="auto"/>
              </w:rPr>
              <w:t>$mm</w:t>
            </w:r>
          </w:p>
        </w:tc>
        <w:tc>
          <w:tcPr>
            <w:tcW w:w="220" w:type="dxa"/>
            <w:vAlign w:val="bottom"/>
          </w:tcPr>
          <w:p>
            <w:pPr>
              <w:spacing w:after="0"/>
              <w:rPr>
                <w:sz w:val="18"/>
                <w:szCs w:val="18"/>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i w:val="1"/>
                <w:iCs w:val="1"/>
                <w:color w:val="auto"/>
              </w:rPr>
              <w:t>$mm</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x</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x</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x</w:t>
            </w:r>
          </w:p>
        </w:tc>
        <w:tc>
          <w:tcPr>
            <w:tcW w:w="20" w:type="dxa"/>
            <w:vAlign w:val="bottom"/>
          </w:tcPr>
          <w:p>
            <w:pPr>
              <w:spacing w:after="0"/>
              <w:rPr>
                <w:sz w:val="18"/>
                <w:szCs w:val="18"/>
                <w:color w:val="auto"/>
              </w:rPr>
            </w:pP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Bentek Corp.</w:t>
            </w: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Nextracker, Inc.</w:t>
            </w:r>
          </w:p>
        </w:tc>
        <w:tc>
          <w:tcPr>
            <w:tcW w:w="16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5/14/2025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12.9x</w:t>
            </w:r>
          </w:p>
        </w:tc>
        <w:tc>
          <w:tcPr>
            <w:tcW w:w="1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12.2x10.8x</w:t>
            </w:r>
          </w:p>
        </w:tc>
        <w:tc>
          <w:tcPr>
            <w:tcW w:w="20" w:type="dxa"/>
            <w:vAlign w:val="bottom"/>
          </w:tcPr>
          <w:p>
            <w:pPr>
              <w:spacing w:after="0"/>
              <w:rPr>
                <w:sz w:val="18"/>
                <w:szCs w:val="18"/>
                <w:color w:val="auto"/>
              </w:rPr>
            </w:pPr>
          </w:p>
        </w:tc>
      </w:tr>
      <w:tr>
        <w:trPr>
          <w:trHeight w:val="198"/>
        </w:trPr>
        <w:tc>
          <w:tcPr>
            <w:tcW w:w="2140" w:type="dxa"/>
            <w:vAlign w:val="bottom"/>
          </w:tcPr>
          <w:p>
            <w:pPr>
              <w:spacing w:after="0"/>
              <w:rPr>
                <w:sz w:val="17"/>
                <w:szCs w:val="17"/>
                <w:color w:val="auto"/>
              </w:rPr>
            </w:pPr>
          </w:p>
        </w:tc>
        <w:tc>
          <w:tcPr>
            <w:tcW w:w="25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EnerSys Advanced Systems,</w:t>
            </w: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Bren-Tronics, Inc.</w:t>
            </w:r>
          </w:p>
        </w:tc>
        <w:tc>
          <w:tcPr>
            <w:tcW w:w="2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w:t>
            </w:r>
          </w:p>
        </w:tc>
        <w:tc>
          <w:tcPr>
            <w:tcW w:w="16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5/2/2024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8.7x</w:t>
            </w:r>
          </w:p>
        </w:tc>
        <w:tc>
          <w:tcPr>
            <w:tcW w:w="1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8.2x7.2x</w:t>
            </w: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Electrochem Solutions, Inc.</w:t>
            </w:r>
          </w:p>
        </w:tc>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Ultralife Corp.</w:t>
            </w:r>
          </w:p>
        </w:tc>
        <w:tc>
          <w:tcPr>
            <w:tcW w:w="16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6/3/2026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10.2x</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9.6x8.5x</w:t>
            </w:r>
          </w:p>
        </w:tc>
        <w:tc>
          <w:tcPr>
            <w:tcW w:w="2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KORE Power, Inc.</w:t>
            </w:r>
          </w:p>
        </w:tc>
        <w:tc>
          <w:tcPr>
            <w:tcW w:w="2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T1 Energy, Inc.</w:t>
            </w:r>
          </w:p>
        </w:tc>
        <w:tc>
          <w:tcPr>
            <w:tcW w:w="16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6/3/2026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12.7x</w:t>
            </w:r>
          </w:p>
        </w:tc>
        <w:tc>
          <w:tcPr>
            <w:tcW w:w="138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11.9x10.6x</w:t>
            </w:r>
          </w:p>
        </w:tc>
        <w:tc>
          <w:tcPr>
            <w:tcW w:w="20" w:type="dxa"/>
            <w:vAlign w:val="bottom"/>
          </w:tcPr>
          <w:p>
            <w:pPr>
              <w:spacing w:after="0"/>
              <w:rPr>
                <w:sz w:val="18"/>
                <w:szCs w:val="18"/>
                <w:color w:val="auto"/>
              </w:rPr>
            </w:pPr>
          </w:p>
        </w:tc>
      </w:tr>
      <w:tr>
        <w:trPr>
          <w:trHeight w:val="209"/>
        </w:trPr>
        <w:tc>
          <w:tcPr>
            <w:tcW w:w="21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i w:val="1"/>
                <w:iCs w:val="1"/>
                <w:color w:val="auto"/>
              </w:rPr>
              <w:t>Average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88"/>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94.4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48.8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11.1x</w:t>
            </w:r>
          </w:p>
        </w:tc>
        <w:tc>
          <w:tcPr>
            <w:tcW w:w="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10.5x</w:t>
            </w:r>
          </w:p>
        </w:tc>
        <w:tc>
          <w:tcPr>
            <w:tcW w:w="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w w:val="95"/>
              </w:rPr>
              <w:t>9.3x</w:t>
            </w:r>
          </w:p>
        </w:tc>
        <w:tc>
          <w:tcPr>
            <w:tcW w:w="2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i w:val="1"/>
                <w:iCs w:val="1"/>
                <w:color w:val="auto"/>
              </w:rPr>
              <w:t>Median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88"/>
              </w:rPr>
              <w:t>$</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64.0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38.1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5.5</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11.4x</w:t>
            </w:r>
          </w:p>
        </w:tc>
        <w:tc>
          <w:tcPr>
            <w:tcW w:w="7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10.8x</w:t>
            </w:r>
          </w:p>
        </w:tc>
        <w:tc>
          <w:tcPr>
            <w:tcW w:w="6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w w:val="95"/>
              </w:rPr>
              <w:t>9.5x</w:t>
            </w:r>
          </w:p>
        </w:tc>
        <w:tc>
          <w:tcPr>
            <w:tcW w:w="20" w:type="dxa"/>
            <w:vAlign w:val="bottom"/>
            <w:tcBorders>
              <w:bottom w:val="single" w:sz="8" w:color="auto"/>
            </w:tcBorders>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FactSet, CapitalIQ; LTM = Last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*For transactions with unavailable EBITDA forecasts, implied EV/LTM EBITDA multiples were discounted at ULBI's discount rate to estimate forward multiples.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StoneX applied average multiples of 11.1x (LTM), 10.5x (2026E) and 9.3x (2027E) to the Company’s corresponding EBITDA, provided to it by the Company. This analysis resulted in an implied equity value range of approximately $144.2 million to $269.0 million, or approximately $8.7 to $16.1 per Share.</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Discounted Cash Flow Analysis. </w:t>
      </w:r>
      <w:r>
        <w:rPr>
          <w:rFonts w:ascii="Times New Roman" w:cs="Times New Roman" w:eastAsia="Times New Roman" w:hAnsi="Times New Roman"/>
          <w:sz w:val="18"/>
          <w:szCs w:val="18"/>
          <w:color w:val="auto"/>
        </w:rPr>
        <w:t>StoneX performed a discounted cash flow analysis to calculate the estimated present value of the standalone unlevered,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after-tax free cash flows that the Company was projected to generate over the years 2026 through 2029 if it continued to operate independently, using the Management Projections provided to StoneX by the Company. StoneX used discount rates of 11.0% to 15.0%, calculated using a Weighted Average Cost of Capital (WACC) methodology that incorporated estimates based on market data for items that included the risk-free rate (10-year treasury yield), equity risk premium, ULBI stock’s beta, small-company size adjustment, and cost of debt. The calculation resulted in an estimated discount rate of 13.0%, and StoneX used a range of +2.0% and -2.0% around it to account for the sensitivity of valuation to discount rate. StoneX calculated terminal values for the Company by applying multiples of 8.3x to 12.3x to the Company’s 2029 EBITDA estimate, as provided to StoneX by the Company, with the terminal multiples based on the median enterprise value to LTM EBITDA multiple of the selected public companies of 10.3x and using a range of +2.0x and -2.0x around it to account for the sensitivity of valuation to terminal value. This analysis resulted in an implied equity value range of approximately $234.5 million to $391.5 million, or approximately $14.1 to $23.5 per Share.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Information. </w:t>
      </w:r>
      <w:r>
        <w:rPr>
          <w:rFonts w:ascii="Times New Roman" w:cs="Times New Roman" w:eastAsia="Times New Roman" w:hAnsi="Times New Roman"/>
          <w:sz w:val="18"/>
          <w:szCs w:val="18"/>
          <w:color w:val="auto"/>
        </w:rPr>
        <w:t>StoneX also reviewed, for reference purposes only and not as a basis for its opinion: (i) the 52-week closing price range of the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$5.05 to $7.95 per Share, with the latest closing price of $6.01 and the 10-day and 30-day volume-weighted average prices of $6.16 and $6.12, respectively, as of October 26, 2026; and (ii) premiums paid in 185 completed acquisitions of U.S. public companies over the prior twelve months, which had an average premium of 50.2% and a median premium of 32.6%.</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5" w:name="page26"/>
    <w:bookmarkEnd w:id="25"/>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Miscellaneous. </w:t>
      </w:r>
      <w:r>
        <w:rPr>
          <w:rFonts w:ascii="Times New Roman" w:cs="Times New Roman" w:eastAsia="Times New Roman" w:hAnsi="Times New Roman"/>
          <w:sz w:val="18"/>
          <w:szCs w:val="18"/>
          <w:color w:val="auto"/>
        </w:rPr>
        <w:t>The preparation of a financial opinion is a complex analytical process involving various determinations as to the most appropriate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methods of financial analysis and the application of those methods to the particular circumstances and, therefore, a financial opinion is not readily susceptible to partial analysis or summary description. In performing its analyses, StoneX considered industry performance, general business and economic conditions and other matters, many of which are beyond the control of the Company. The estimates used in, and the ranges of valuations resulting from, any particular analysis described above are inherently subject to substantial uncertainty and should not be taken to be StoneX’s view of the actual future results or actual value of the Company.</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agreed to pay StoneX for its services in connection with rendering its opinion a fee of $295,000 that is not contingent upon the conclusion expressed in the opinion or the consummation of the Offer, the Merger and the other transactions contemplated by the Merger Agreement. The Company has also agreed to pay StoneX for its additional advisory services provided to the Company in connection with the Offer, the Merger and the other transactions contemplated by the Merger Agreement a fee of $185,434, of which $85,434 is contingent on the consummation of the Merger. The Company has also agreed to reimburse StoneX for certain expenses, if any, and to indemnify StoneX against certain liabilities that may arise. The issuance of the opinion was approved by a StoneX committee authorized to approve opinions of this nature.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two years preceding the date hereof, and other than the fees to be received for services in connection with the Merger, StoneX received $150,000 in aggregate compensation from the Company for past advisory services not related to the Merger. Over the same period, StoneX has not had any material relationship with nor received compensation from the Parent. StoneX may seek to provide other financial advisory or investment banking services to the Company and/or its affiliates and other participants in the Offer, the Merger and the other transactions contemplated by the Merger Agreement in the future for which StoneX may receive compensation, although as of the date hereof, there was no agreement to do so nor any mutual understanding that such services were contemplated.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StoneX is a global financial services firm with activities that include sales and trading of securities, commodities and derivatives and other broker activities, as well as providing financing, financial advisory services and other commercial services to a wide range of companies, institutions and individuals. In the ordinary course of business, StoneX may have actively traded the securities of the Company or the Parent and may continue to actively trade such securities for its own accounts or the accounts of customers and, accordingly, it may at any time hold long or short positions in such securities or other financial instruments. In addition, certain individuals who are employees of, or are affiliated with, StoneX may have in the past and may currently be stockholders of the Company or the Parent.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Certain Unaudited Prospective Financial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as a matter of course, publicly disclose long-term projections of future financial performance, due to the inherent unpredictability of the underlying assumptions. However, management prepared certain unaudited prospective financial information for fiscal years 2026 through 2029 (the “Management Projections”), which were provided to the Company Board and to StoneX for use in its financial analyses and to Parent. A summary of the Management Projections is set forth below.</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588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 in millions)</w:t>
            </w:r>
          </w:p>
        </w:tc>
        <w:tc>
          <w:tcPr>
            <w:tcW w:w="8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FY2026E</w:t>
            </w:r>
          </w:p>
        </w:tc>
        <w:tc>
          <w:tcPr>
            <w:tcW w:w="540" w:type="dxa"/>
            <w:vAlign w:val="bottom"/>
            <w:tcBorders>
              <w:top w:val="single" w:sz="8" w:color="auto"/>
              <w:bottom w:val="single" w:sz="8" w:color="auto"/>
              <w:right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97"/>
              </w:rPr>
              <w:t>FY2027E</w:t>
            </w:r>
          </w:p>
        </w:tc>
        <w:tc>
          <w:tcPr>
            <w:tcW w:w="520" w:type="dxa"/>
            <w:vAlign w:val="bottom"/>
            <w:tcBorders>
              <w:top w:val="single" w:sz="8" w:color="auto"/>
              <w:bottom w:val="single" w:sz="8" w:color="auto"/>
              <w:right w:val="single" w:sz="8" w:color="auto"/>
            </w:tcBorders>
          </w:tcPr>
          <w:p>
            <w:pPr>
              <w:spacing w:after="0"/>
              <w:rPr>
                <w:sz w:val="22"/>
                <w:szCs w:val="22"/>
                <w:color w:val="auto"/>
              </w:rPr>
            </w:pPr>
          </w:p>
        </w:tc>
        <w:tc>
          <w:tcPr>
            <w:tcW w:w="1320" w:type="dxa"/>
            <w:vAlign w:val="bottom"/>
            <w:tcBorders>
              <w:top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FY2028E</w:t>
            </w:r>
          </w:p>
        </w:tc>
        <w:tc>
          <w:tcPr>
            <w:tcW w:w="1320" w:type="dxa"/>
            <w:vAlign w:val="bottom"/>
            <w:tcBorders>
              <w:top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FY2029E</w:t>
            </w:r>
          </w:p>
        </w:tc>
      </w:tr>
      <w:tr>
        <w:trPr>
          <w:trHeight w:val="206"/>
        </w:trPr>
        <w:tc>
          <w:tcPr>
            <w:tcW w:w="5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3"/>
              </w:rPr>
              <w:t>208.3</w:t>
            </w: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245.0</w:t>
            </w: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258.5</w:t>
            </w: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266.2</w:t>
            </w:r>
          </w:p>
        </w:tc>
      </w:tr>
      <w:tr>
        <w:trPr>
          <w:trHeight w:val="223"/>
        </w:trPr>
        <w:tc>
          <w:tcPr>
            <w:tcW w:w="5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54.3</w:t>
            </w: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69.2</w:t>
            </w: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76.7</w:t>
            </w: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82.5</w:t>
            </w:r>
          </w:p>
        </w:tc>
      </w:tr>
      <w:tr>
        <w:trPr>
          <w:trHeight w:val="223"/>
        </w:trPr>
        <w:tc>
          <w:tcPr>
            <w:tcW w:w="5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12.0</w:t>
            </w: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33.2</w:t>
            </w: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37.7</w:t>
            </w:r>
          </w:p>
        </w:tc>
      </w:tr>
      <w:tr>
        <w:trPr>
          <w:trHeight w:val="223"/>
        </w:trPr>
        <w:tc>
          <w:tcPr>
            <w:tcW w:w="5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22.3</w:t>
            </w: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25.7</w:t>
            </w:r>
          </w:p>
        </w:tc>
      </w:tr>
      <w:tr>
        <w:trPr>
          <w:trHeight w:val="223"/>
        </w:trPr>
        <w:tc>
          <w:tcPr>
            <w:tcW w:w="5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EBITDA(1)</w:t>
            </w: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22.3</w:t>
            </w: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34.0</w:t>
            </w: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39.4</w:t>
            </w: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r>
      <w:tr>
        <w:trPr>
          <w:trHeight w:val="223"/>
        </w:trPr>
        <w:tc>
          <w:tcPr>
            <w:tcW w:w="5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bl>
    <w:p>
      <w:pPr>
        <w:ind w:left="500" w:right="100" w:hanging="492"/>
        <w:spacing w:after="0" w:line="260"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is a non-GAAP financial measure, calculated as net income plus income taxes, interest expense, depreciation and amortization, and stock-based compensation and one-time expenses.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Management Projections were not prepared with a view toward public disclosure or compliance with GAAP, the published guidelines of the SEC or the guidelines of the American Institute of Certified Public Accountants. Neither the Company’s independent registered public accounting firm nor any other independent accountant has compiled, examined or performed any procedures with respect to them. The Management Projections reflect numerous estimates and assumptions with respect to industry performance, general business, economic, regulatory, market and financial conditions and other matters, many of which are beyond the Company’s control, and actual results may differ materially. The inclusion of the Management Projections should not be regarded as an indication that the Company, the Company Board, StoneX, Parent or any other person considered, or now considers, them a reliable prediction of future results. None of them undertakes any obligation to update the Management Projections, except as required by law. The Management Projections are included for the sole purpose of identifying information that StoneX evaluated in connection with rendering the fairness opinion. Non-GAAP financial measures should not be considered in isolation or as a substitute for financial information presented in accordance with GAAP. The SEC rules that would otherwise require a reconciliation of non-GAAP financial measures do not apply to non-GAAP financial measures provided to a board of directors or financial advisor in connection with a proposed business combination, when such measures are included in a disclosure document such as this Schedule 14D-9.</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b w:val="1"/>
          <w:bCs w:val="1"/>
          <w:color w:val="auto"/>
        </w:rPr>
        <w:t>ITEM 5. PERSONS/ASSETS RETAINED, EMPLOYED, COMPENSATED OR USED</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retained StoneX as its financial advisor and financial advisor to the Company Board in connection with the Offer and the Merger pursuant to two engagement letters dated August 27, 2026, and August 28, 2026. Pursuant to the engagement letters, StoneX will receive (i) a fee of $295,000 for its services in connection with rendering its opinion, which is not contingent upon the conclusion expressed in the opinion or the consummation of the Offer, the Merger and the other transactions contemplated by the Merger Agreement, and (ii) a fee of $185,434 for additional advisory services, $85,434 of which is contingent upon the consummation of the Offer. In addition, the Company has agreed to reimburse StoneX for certain of its expenses incurred in connection with its engagement and to indemnify StoneX against certain liabilities that may arise out of the engagement. Additional information regarding StoneX is set forth in Item 4(e) under “—Opinion of Financial Advisor.”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set forth above, neither the Company nor any person acting on its behalf has or currently intends to employ, retain or compensate any person to make solicitations or recommendations to the stockholders of the Company on its behalf with respect to the Offer, the Merger and the other transactions contemplated by the Merger Agreement, except that such solicitations or recommendations may be made by directors, officers or employees of the Company, for which services no additional compensation will be paid.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INTEREST IN SECURITIES OF THE SUBJECT COMPANY</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transactions with respect to Shares have been effected by the Company or, to the knowledge of the Company after making reasonable inquiry, by any of its executive officers, directors, affiliates or subsidiaries during the 60 days prior to the date of this Schedule 14D-9.</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 PURPOSES OF THE TRANSACTION AND PLANS OR PROPOSALS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described in this Schedule 14D-9 (including in the Exhibits and Annexes hereto) or as incorporated herein by reference, the Company is not undertaking or engaged in any negotiations in response to the Offer that relate to, or would result in, (a) a tender offer for, or other acquisition of, Shares by the Company, any of its subsidiaries or any other person, (b) any extraordinary transaction, such as a merger, reorganization or liquidation involving the Company or any of its subsidiaries, (c) any purchase, sale or transfer of a material amount of assets of the Company or any of its subsidiaries, or (d) any material change in the present dividend rate or policy, indebtedness or capitalization of the Company.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as described above or as set forth in this Schedule 14D-9, there are no transactions, resolutions of the Company Board, agreements in principle or signed contracts in response to the Offer that relate to, or would result in, one or more of the events referred to in the preceding paragraph.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b w:val="1"/>
          <w:bCs w:val="1"/>
          <w:color w:val="auto"/>
        </w:rPr>
        <w:t>ITEM 8. ADDITIONAL INFORMATION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Golden Parachute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section sets forth the information required by Item 402(t) of Regulation S-K regarding the compensation for each of our named executive officers that is based on or otherwise relates to the Merger. This compensation is referred to as “golden parachute” compensation by the applicable SEC disclosure rules. The amounts set forth in the table are estimates based on multiple assumptions that may or may not actually occur, including assumptions described in this Schedule 14D-9 and in the footnotes to the table. As a result, the actual amounts, if any, that a named executive officer receives may materially differ from the amounts set forth in the table.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table below assumes that (i) the Effective Time occurs on October 28, 2026; (ii) the employment of each named executive officer will be terminated immediately following the Effective Time without cause, entitling the named executive officer to receive severance payments and benefits; (iii) the named executive officer’s base salary rate and target bonus remain unchanged from that in effect as of October 28, 2026; (iv) a change in control price per Share equal to the Offer Price (or $16); and (v) no named executive officer receives any additional equity grants on or prior to the Effective Time that will vest on or prior to the Effective Time. For a narrative description of the terms and conditions applicable to the payments quantified in the table below, see the subsections of “Item 3. Past Contacts, Transactions, Negotiations and Agreements.” The amounts shown in the table do not include the payments or benefits that our named executive officer already would have been entitled to receive or would have been vested in as of on or prior to the Effective Time, or the value of payments or benefits that are not based on or otherwise related to the Merger. As a result of the foregoing assumptions, which may or may not actually occur or be accurate on the relevant date, including the assumptions described in the footnotes to the table, the actual amounts, if any, to be received by a named executive officer may materially differ from the amounts set forth below.</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In the footnotes to the table below, we refer to payments that are conditioned on the occurrence of both the Merger and the named executive officer’s qualifying termination of employment as being payable on a “double trigger” basis and payments or benefits that are conditioned only upon the occurrence of the merger as being payable on a “single trigger” basis.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588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60" w:type="dxa"/>
            <w:vAlign w:val="bottom"/>
            <w:tcBorders>
              <w:top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Cash($)(1)</w:t>
            </w:r>
          </w:p>
        </w:tc>
        <w:tc>
          <w:tcPr>
            <w:tcW w:w="1360" w:type="dxa"/>
            <w:vAlign w:val="bottom"/>
            <w:tcBorders>
              <w:top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Equity($)(2)</w:t>
            </w:r>
          </w:p>
        </w:tc>
        <w:tc>
          <w:tcPr>
            <w:tcW w:w="1320" w:type="dxa"/>
            <w:vAlign w:val="bottom"/>
            <w:tcBorders>
              <w:top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Benefits($)(3)</w:t>
            </w:r>
          </w:p>
        </w:tc>
        <w:tc>
          <w:tcPr>
            <w:tcW w:w="1320" w:type="dxa"/>
            <w:vAlign w:val="bottom"/>
            <w:tcBorders>
              <w:top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 Value($)</w:t>
            </w:r>
          </w:p>
        </w:tc>
      </w:tr>
      <w:tr>
        <w:trPr>
          <w:trHeight w:val="206"/>
        </w:trPr>
        <w:tc>
          <w:tcPr>
            <w:tcW w:w="5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Philip Fain</w:t>
            </w: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56,941.73</w:t>
            </w: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137,617.49</w:t>
            </w:r>
          </w:p>
        </w:tc>
        <w:tc>
          <w:tcPr>
            <w:tcW w:w="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2,220.80</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196,780.02</w:t>
            </w:r>
          </w:p>
        </w:tc>
      </w:tr>
      <w:tr>
        <w:trPr>
          <w:trHeight w:val="223"/>
        </w:trPr>
        <w:tc>
          <w:tcPr>
            <w:tcW w:w="5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Michael Manna</w:t>
            </w: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63,846.40</w:t>
            </w: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178,801.10</w:t>
            </w:r>
          </w:p>
        </w:tc>
        <w:tc>
          <w:tcPr>
            <w:tcW w:w="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2,220.80</w:t>
            </w: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244,868.30</w:t>
            </w:r>
          </w:p>
        </w:tc>
      </w:tr>
    </w:tbl>
    <w:p>
      <w:pPr>
        <w:spacing w:after="0" w:line="198" w:lineRule="exact"/>
        <w:rPr>
          <w:sz w:val="20"/>
          <w:szCs w:val="20"/>
          <w:color w:val="auto"/>
        </w:rPr>
      </w:pPr>
    </w:p>
    <w:p>
      <w:pPr>
        <w:ind w:left="500" w:hanging="492"/>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dollar value of cash severance payments that each named executive officer would be entitled to receive upon a termination of employment by the Company without cause.</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value of unvested equity awards held by each named executive officer that will be accelerated, canceled and converted to cash amounts as described in the Item 3 above and constitute “single trigger” benefits pursuant to the terms of the Merger Agreement. The estimated value of Company Stock Options equals the aggregate number of Shares underlying such Company Stock Options multiplied by the amount, if any, by which the Offer Price exceeds the per share exercise price of such Company Stock Options.</w:t>
      </w:r>
    </w:p>
    <w:p>
      <w:pPr>
        <w:spacing w:after="0" w:line="39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614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Unvested Options</w:t>
            </w:r>
          </w:p>
        </w:tc>
        <w:tc>
          <w:tcPr>
            <w:tcW w:w="960" w:type="dxa"/>
            <w:vAlign w:val="bottom"/>
            <w:tcBorders>
              <w:top w:val="single" w:sz="8" w:color="auto"/>
              <w:bottom w:val="single" w:sz="8" w:color="auto"/>
              <w:right w:val="single" w:sz="8" w:color="auto"/>
            </w:tcBorders>
          </w:tcPr>
          <w:p>
            <w:pPr>
              <w:spacing w:after="0"/>
              <w:rPr>
                <w:sz w:val="22"/>
                <w:szCs w:val="22"/>
                <w:color w:val="auto"/>
              </w:rPr>
            </w:pPr>
          </w:p>
        </w:tc>
      </w:tr>
      <w:tr>
        <w:trPr>
          <w:trHeight w:val="170"/>
        </w:trPr>
        <w:tc>
          <w:tcPr>
            <w:tcW w:w="6140" w:type="dxa"/>
            <w:vAlign w:val="bottom"/>
            <w:tcBorders>
              <w:left w:val="single" w:sz="8" w:color="auto"/>
              <w:right w:val="single" w:sz="8" w:color="auto"/>
            </w:tcBorders>
          </w:tcPr>
          <w:p>
            <w:pPr>
              <w:spacing w:after="0"/>
              <w:rPr>
                <w:sz w:val="14"/>
                <w:szCs w:val="14"/>
                <w:color w:val="auto"/>
              </w:rPr>
            </w:pPr>
          </w:p>
        </w:tc>
        <w:tc>
          <w:tcPr>
            <w:tcW w:w="960" w:type="dxa"/>
            <w:vAlign w:val="bottom"/>
          </w:tcPr>
          <w:p>
            <w:pPr>
              <w:ind w:left="80"/>
              <w:spacing w:after="0" w:line="170"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74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gridSpan w:val="2"/>
          </w:tcPr>
          <w:p>
            <w:pPr>
              <w:ind w:left="100"/>
              <w:spacing w:after="0" w:line="170" w:lineRule="exact"/>
              <w:rPr>
                <w:sz w:val="20"/>
                <w:szCs w:val="20"/>
                <w:color w:val="auto"/>
              </w:rPr>
            </w:pPr>
            <w:r>
              <w:rPr>
                <w:rFonts w:ascii="Times New Roman" w:cs="Times New Roman" w:eastAsia="Times New Roman" w:hAnsi="Times New Roman"/>
                <w:sz w:val="18"/>
                <w:szCs w:val="18"/>
                <w:b w:val="1"/>
                <w:bCs w:val="1"/>
                <w:color w:val="auto"/>
              </w:rPr>
              <w:t>Cash Consideration</w:t>
            </w:r>
          </w:p>
        </w:tc>
      </w:tr>
      <w:tr>
        <w:trPr>
          <w:trHeight w:val="238"/>
        </w:trPr>
        <w:tc>
          <w:tcPr>
            <w:tcW w:w="61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Payable</w:t>
            </w:r>
          </w:p>
        </w:tc>
        <w:tc>
          <w:tcPr>
            <w:tcW w:w="960" w:type="dxa"/>
            <w:vAlign w:val="bottom"/>
            <w:tcBorders>
              <w:bottom w:val="single" w:sz="8" w:color="auto"/>
              <w:right w:val="single" w:sz="8" w:color="auto"/>
            </w:tcBorders>
          </w:tcPr>
          <w:p>
            <w:pPr>
              <w:spacing w:after="0"/>
              <w:rPr>
                <w:sz w:val="20"/>
                <w:szCs w:val="20"/>
                <w:color w:val="auto"/>
              </w:rPr>
            </w:pPr>
          </w:p>
        </w:tc>
      </w:tr>
      <w:tr>
        <w:trPr>
          <w:trHeight w:val="223"/>
        </w:trPr>
        <w:tc>
          <w:tcPr>
            <w:tcW w:w="61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Philip Fain</w:t>
            </w:r>
          </w:p>
        </w:tc>
        <w:tc>
          <w:tcPr>
            <w:tcW w:w="96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16,133</w:t>
            </w: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137,617.49</w:t>
            </w:r>
          </w:p>
        </w:tc>
      </w:tr>
      <w:tr>
        <w:trPr>
          <w:trHeight w:val="223"/>
        </w:trPr>
        <w:tc>
          <w:tcPr>
            <w:tcW w:w="61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Michael Manna</w:t>
            </w:r>
          </w:p>
        </w:tc>
        <w:tc>
          <w:tcPr>
            <w:tcW w:w="96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20,999</w:t>
            </w: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178,801.10</w:t>
            </w:r>
          </w:p>
        </w:tc>
      </w:tr>
    </w:tbl>
    <w:p>
      <w:pPr>
        <w:spacing w:after="0" w:line="198" w:lineRule="exact"/>
        <w:rPr>
          <w:sz w:val="20"/>
          <w:szCs w:val="20"/>
          <w:color w:val="auto"/>
        </w:rPr>
      </w:pPr>
    </w:p>
    <w:p>
      <w:pPr>
        <w:ind w:left="500" w:hanging="492"/>
        <w:spacing w:after="0" w:line="282"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estimated value of insurance premiums for continuation coverage under the Company’s insurance and group health plans if the named executive officer incurs a qualifying termination and elects such coverage for the maximum amount of time permitted.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Stockholder Approval Not Required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 vote of the Company’s stockholders is required in connection with the Offer. The Merger Agreement contemplates that, following the consummation of the Offer, the Merger will be effected pursuant to Section 251(h) of the DGCL, which provides that following consummation of a successful tender offer for a public corporation, and subject to certain statutory provisions, if the acquiror holds at least such percentage of the stock of the subject corporation (and of each class or series of stock of the subject corporation that, absent Section 251(h) of the DGCL, would be required to approve a merger) that, absent Section 251(h) of the DGCL, would be required to approve a merger under Section 251(c) of the DGCL (which requires the affirmative vote of holders of a majority of the outstanding stock entitled to vote thereon), and the stockholders receive the same consideration for their stock in the merger as was payable in the tender offer, the acquiror can effect a short-form merger without the vote of the stockholders of the subject corporation. Accordingly, if Merger Sub consummates the Offer, the Merger is expected to be consummated without a vote of the Company’s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Antitrust Laws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HSR Act, and the rules and regulations promulgated thereunder, the Offer may not be consummated until the expiration or early termination of a waiting period following the filing of the required notification and report forms with the Antitrust Division of the United States Department of Justice (the “DOJ”) and the Federal Trade Commission (the “FTC”). The Merger Agreement requires that Parent and the Company file the required notification and report forms under the HSR Act within 10 Business Days after the date of the Merger Agreement.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each of the parties is required to use its reasonable best efforts to consummate the transactions contemplated by the Merger Agreement as soon as reasonably practicable, including by making required filings and responding to any request for additional information, and Parent and Merger Sub are required to use reasonable best efforts to obtain all required approvals and clearances under applicable antitrust and other regulatory laws. However, Parent and Merger Sub are not required to propose, agree to or become subject to any divestiture, license, hold-separate arrangement, behavioral remedy or other condition, restriction or commitment, or any prior-approval requirement for future transactions. Parent has primary responsibility for regulatory strategy, subject to good-faith consideration of the Company’s views and the Company’s right to participate in meetings and communications with governmental entities. The parties are also required to submit a material change notification to the U.S. Directorate of Defense Trade Controls within five days after the Closing pursuant to Section 122.4(a) of the International Traffic in Arms Regulations.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 National Security and Investment Act 2021</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United Kingdom National Security and Investment Act 2021 (the “NSIA”), the UK Secretary of State may review acquisitions of control over qualifying entities or assets that carry on specified activities in, or supply goods or services to, the United Kingdom. Notifiable acquisitions in certain sensitive sectors may not be completed until approved by the Secretary of State, and a completed notifiable acquisition that has not been approved is void. Following notification, the Secretary of State may clear the transaction or “call in” the transaction for a full national security assessment, after which the Secretary of State may give a final notification that no further action will be taken or make a final order permitting the transaction to proceed subject to remedies or requirements, or prohibiting or unwinding it. Pursuant to the Merger Agreement, the acquisition of Shares in the Offer is conditioned on the NSIA Condition described in Section 15—“Conditions to the Offer” of the Offer to Purchase, and the parties have agreed to use reasonable best efforts to obtain NSIA clearance, subject to the limitations described in Section 11—“The Merger Agreement; Other Agreements—Regulatory Approvals” of the Offer to Purchase. There can be no assurance that NSIA clearance will be obtained on a timely basis or at all, or without conditions that are unacceptable to Parent.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NASDAQ Delisting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Merger Agreement provides that, following the Effective Time, the Surviving Corporation will cause the Shares to be delisted from the NASDAQ Stock Market and deregistered under the Exchange Act as soon as practicable (and in any event within 10 days after the Closing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Shares will not have appraisal rights in connection with the Offer. However, if the Merger is consummated, holders of Shares immediately prior to the Effective Time who (i) did not tender their Shares in the Offer, (ii) continuously hold their Shares through the Effective Time, (iii) do not vote in favor of, or consent in writing to, the Merger, and (iv) otherwise comply with the applicable statutory procedures under Section 262 of the DGCL will be entitled to seek appraisal of their Shares in connection with the Merger.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Section 262 of the DGCL, where a merger is approved under Section 251(h), either a constituent corporation before the effective date of the merger, or the surviving corporation within 10 days thereafter, shall notify each of the holders of any class or series of stock of such constituent corporation who are entitled to appraisal rights of the approval of the merger and that appraisal rights are available, and shall include in such notice either a copy of Section 262 of the DGCL or information directing stockholders to a publicly available electronic resource at which Section 262 may be accessed without subscription or cost. THIS SCHEDULE 14D-9 CONSTITUTES THE FORMAL NOTICE OF APPRAISAL RIGHTS UNDER SECTION 262(d)(2) OF THE DGCL.</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Stockholders and beneficial owners who elect to exercise appraisal rights must comply with the provisions of Section 262 of the DGCL in order to perfect their rights. A written demand for appraisal must be delivered to the Company at 2000 Technology Parkway, Newark, New York 14513, Attention: Phil Fain, within the later of the consummation of the Offer and 20 days after the mailing of this Schedule 14D-9. A beneficial owner may demand appraisal in its own name if the demand reasonably identifies the holder of record, is accompanied by documentary evidence of beneficial ownership and provides an address for notices. Within 120 days after the effective date of the Merger, but not thereafter, the Surviving Corporation or any person who has complied with the requirements of Section 262 of the DGCL may commence an appraisal proceeding by filing a petition in the Delaware Court of Chancery. The Surviving Corporation is under no obligation to file any such petition. Because the Shares are listed on a national securities exchange, the Delaware Court of Chancery will dismiss the proceedings as to all holders of Shares otherwise entitled to appraisal rights unless (i) the total number of Shares entitled to appraisal exceeds 1% of the outstanding Shares or (ii) the value of the Merger Consideration for such Shares exceeds $1 million. Any person who has demanded appraisal may withdraw the demand within 60 days after the effective date of the Merger.</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2" w:name="page33"/>
    <w:bookmarkEnd w:id="32"/>
    <w:p>
      <w:pPr>
        <w:jc w:val="both"/>
        <w:spacing w:after="0" w:line="256" w:lineRule="auto"/>
        <w:rPr>
          <w:sz w:val="20"/>
          <w:szCs w:val="20"/>
          <w:color w:val="auto"/>
        </w:rPr>
      </w:pPr>
      <w:r>
        <w:rPr>
          <w:rFonts w:ascii="Times New Roman" w:cs="Times New Roman" w:eastAsia="Times New Roman" w:hAnsi="Times New Roman"/>
          <w:sz w:val="18"/>
          <w:szCs w:val="18"/>
          <w:color w:val="auto"/>
        </w:rPr>
        <w:t>If a petition for appraisal is timely and properly filed, after a hearing on such petition, the Delaware Court of Chancery will determine the stockholders entitled to appraisal rights and will appraise the “fair value” of their Shares, exclusive of any element of value arising from the accomplishment or expectation of the Merger. Unless the Delaware Court of Chancery in its discretion determines otherwise for good cause shown,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FOREGOING SUMMARY OF APPRAISAL RIGHTS UNDER THE DGCL IS NOT COMPLETE AND IS QUALIFIED IN ITS ENTIRETY BY REFERENCE TO SECTION 262 OF THE DGCL, A COPY OF WHICH IS ATTACHED AS ANNEX II HERETO. FAILURE TO FOLLOW THE STEPS REQUIRED BY SECTION 262 OF THE DGCL FOR PERFECTING APPRAISAL RIGHTS MAY RESULT IN THE LOSS OF SUCH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and Quarterly Reports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the business and financial results of the Company, please see the Company’s Annual Report on Form 10-K for the fiscal year ended December 31, 2025, as filed with the SEC, and its subsequently filed Quarterly Reports on Form 10-Q, Current Reports on Form 8-K and definitive Proxy Statement on Schedule 14A, which are available free of charge at the SEC’s website at www.sec.gov.</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Statutes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203 of the DGCL prevents certain “business combinations” with an “interested stockholder” (generally, a stockholder owning 15% or more of a corporation’s outstanding voting stock or an affiliate or associate thereof) for a period of three years following the time such stockholder became an interested stockholder, unless certain conditions are met. The Company Board has taken all action necessary to render Section 203 of the DGCL inapplicable to the Merger Agreement, the Support Agreement and the transactions contemplated thereby, including the Offer and the Merger. As a result, neither Section 203 of the DGCL nor any other anti-takeover statute should be applicable to the Offer, the Merger or the Support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adopted a stockholder rights plan (commonly known as a “poison pill”).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Company’s knowledge, as of the date of this Schedule 14D-9, there are no legal proceedings pending relating to the Offer or the Merger.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Schedule 14D-9 and the materials incorporated by reference herein may contain “forward-looking statements” within the meaning of Section 27A of the Securities Act of 1933, as amended, and Section 21E of the Exchange Act. Forward-looking statements are based on the Company’s current expectations and assumptions regarding the Company’s business, the economy and other future conditions. Because forward-looking statements relate to the future, by their nature, they are subject to inherent uncertainties, risks and changes in circumstances that are difficult to predict. As a result, the Company’s actual results may differ materially from those contemplated by the forward-looking statements. Important factors that could cause actual results to differ materially from those in the forward-looking statements include, among others: (i) uncertainties as to the timing of the Offer and the Merger; (ii) the risk that the Offer and the Merger may not be completed in a timely manner or at all; (iii) the possibility that competing offers or acquisition proposals for the Company will be made; (iv) uncertainty surrounding how many of the Company’s stockholders will tender their Shares in the Offer; (v) the possibility that any or all of the various conditions to the consummation of the Offer may not be satisfied or waived; (vi) the possibility of business disruptions due to transaction-related uncertainty; (vii) the occurrence of any event, change or other circumstance that could give rise to the termination of the Merger Agreement; (viii) the risk that stockholder litigation in connection with the Offer and the Merger may result in significant costs of defense, indemnification and liability; and (ix) other factors as set forth from time to time in the Company’s filings with the SEC. Readers are urged to consider these factors carefully in evaluating these forward-looking statements. The Company assumes no obligation to update or revise these forward-looking statements for any reason, even if new information becomes available in the future.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b w:val="1"/>
          <w:bCs w:val="1"/>
          <w:color w:val="auto"/>
        </w:rPr>
        <w:t>ITEM 9. EXHIBITS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 or incorporated herein by reference:</w:t>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46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Exhibit No.</w:t>
            </w:r>
          </w:p>
        </w:tc>
        <w:tc>
          <w:tcPr>
            <w:tcW w:w="140" w:type="dxa"/>
            <w:vAlign w:val="bottom"/>
            <w:tcBorders>
              <w:top w:val="single" w:sz="8" w:color="auto"/>
              <w:bottom w:val="single" w:sz="8" w:color="auto"/>
            </w:tcBorders>
          </w:tcPr>
          <w:p>
            <w:pPr>
              <w:spacing w:after="0"/>
              <w:rPr>
                <w:sz w:val="21"/>
                <w:szCs w:val="21"/>
                <w:color w:val="auto"/>
              </w:rPr>
            </w:pPr>
          </w:p>
        </w:tc>
        <w:tc>
          <w:tcPr>
            <w:tcW w:w="8640" w:type="dxa"/>
            <w:vAlign w:val="bottom"/>
            <w:tcBorders>
              <w:top w:val="single" w:sz="8" w:color="auto"/>
              <w:bottom w:val="single" w:sz="8" w:color="auto"/>
              <w:right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52"/>
        </w:trPr>
        <w:tc>
          <w:tcPr>
            <w:tcW w:w="2460" w:type="dxa"/>
            <w:vAlign w:val="bottom"/>
            <w:tcBorders>
              <w:left w:val="single" w:sz="8" w:color="auto"/>
              <w:right w:val="single" w:sz="8" w:color="auto"/>
            </w:tcBorders>
          </w:tcPr>
          <w:p>
            <w:pPr>
              <w:ind w:left="180"/>
              <w:spacing w:after="0" w:line="152" w:lineRule="exact"/>
              <w:rPr>
                <w:sz w:val="20"/>
                <w:szCs w:val="20"/>
                <w:color w:val="auto"/>
              </w:rPr>
            </w:pPr>
            <w:r>
              <w:rPr>
                <w:rFonts w:ascii="Times New Roman" w:cs="Times New Roman" w:eastAsia="Times New Roman" w:hAnsi="Times New Roman"/>
                <w:sz w:val="17"/>
                <w:szCs w:val="17"/>
                <w:color w:val="auto"/>
              </w:rPr>
              <w:t>(a)(1)(A)</w:t>
            </w:r>
          </w:p>
        </w:tc>
        <w:tc>
          <w:tcPr>
            <w:tcW w:w="140" w:type="dxa"/>
            <w:vAlign w:val="bottom"/>
          </w:tcPr>
          <w:p>
            <w:pPr>
              <w:spacing w:after="0"/>
              <w:rPr>
                <w:sz w:val="13"/>
                <w:szCs w:val="13"/>
                <w:color w:val="auto"/>
              </w:rPr>
            </w:pPr>
          </w:p>
        </w:tc>
        <w:tc>
          <w:tcPr>
            <w:tcW w:w="8640" w:type="dxa"/>
            <w:vAlign w:val="bottom"/>
            <w:tcBorders>
              <w:bottom w:val="single" w:sz="8" w:color="0000EE"/>
              <w:right w:val="single" w:sz="8" w:color="auto"/>
            </w:tcBorders>
            <w:gridSpan w:val="12"/>
          </w:tcPr>
          <w:p>
            <w:pPr>
              <w:spacing w:after="0" w:line="152" w:lineRule="exact"/>
              <w:rPr>
                <w:rFonts w:ascii="Times New Roman" w:cs="Times New Roman" w:eastAsia="Times New Roman" w:hAnsi="Times New Roman"/>
                <w:sz w:val="17"/>
                <w:szCs w:val="17"/>
                <w:color w:val="0000EE"/>
              </w:rPr>
            </w:pPr>
            <w:hyperlink r:id="rId52">
              <w:r>
                <w:rPr>
                  <w:rFonts w:ascii="Times New Roman" w:cs="Times New Roman" w:eastAsia="Times New Roman" w:hAnsi="Times New Roman"/>
                  <w:sz w:val="17"/>
                  <w:szCs w:val="17"/>
                  <w:color w:val="0000EE"/>
                </w:rPr>
                <w:t>Offer to Purchase, dated October 28, 2026 (incorporated by reference to Exhibit (a)(1)(A) to Schedule TO filed by</w:t>
              </w:r>
            </w:hyperlink>
          </w:p>
        </w:tc>
      </w:tr>
      <w:tr>
        <w:trPr>
          <w:trHeight w:val="196"/>
        </w:trPr>
        <w:tc>
          <w:tcPr>
            <w:tcW w:w="2460" w:type="dxa"/>
            <w:vAlign w:val="bottom"/>
            <w:tcBorders>
              <w:left w:val="single" w:sz="8" w:color="auto"/>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640" w:type="dxa"/>
            <w:vAlign w:val="bottom"/>
            <w:tcBorders>
              <w:right w:val="single" w:sz="8" w:color="auto"/>
            </w:tcBorders>
            <w:gridSpan w:val="12"/>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Enersys with the U.S. Securities and Exchange Commission on October 28, 2026).</w:t>
              </w:r>
            </w:hyperlink>
          </w:p>
        </w:tc>
      </w:tr>
      <w:tr>
        <w:trPr>
          <w:trHeight w:val="20"/>
        </w:trPr>
        <w:tc>
          <w:tcPr>
            <w:tcW w:w="2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238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460" w:type="dxa"/>
            <w:vAlign w:val="bottom"/>
            <w:tcBorders>
              <w:left w:val="single" w:sz="8" w:color="auto"/>
              <w:right w:val="single" w:sz="8" w:color="auto"/>
            </w:tcBorders>
          </w:tcPr>
          <w:p>
            <w:pPr>
              <w:ind w:left="180"/>
              <w:spacing w:after="0" w:line="169" w:lineRule="exact"/>
              <w:rPr>
                <w:sz w:val="20"/>
                <w:szCs w:val="20"/>
                <w:color w:val="auto"/>
              </w:rPr>
            </w:pPr>
            <w:r>
              <w:rPr>
                <w:rFonts w:ascii="Times New Roman" w:cs="Times New Roman" w:eastAsia="Times New Roman" w:hAnsi="Times New Roman"/>
                <w:sz w:val="18"/>
                <w:szCs w:val="18"/>
                <w:color w:val="auto"/>
              </w:rPr>
              <w:t>(a)(1)(B)</w:t>
            </w:r>
          </w:p>
        </w:tc>
        <w:tc>
          <w:tcPr>
            <w:tcW w:w="140" w:type="dxa"/>
            <w:vAlign w:val="bottom"/>
          </w:tcPr>
          <w:p>
            <w:pPr>
              <w:spacing w:after="0"/>
              <w:rPr>
                <w:sz w:val="14"/>
                <w:szCs w:val="14"/>
                <w:color w:val="auto"/>
              </w:rPr>
            </w:pPr>
          </w:p>
        </w:tc>
        <w:tc>
          <w:tcPr>
            <w:tcW w:w="8640" w:type="dxa"/>
            <w:vAlign w:val="bottom"/>
            <w:tcBorders>
              <w:bottom w:val="single" w:sz="8" w:color="0000EE"/>
              <w:right w:val="single" w:sz="8" w:color="auto"/>
            </w:tcBorders>
            <w:gridSpan w:val="12"/>
          </w:tcPr>
          <w:p>
            <w:pPr>
              <w:spacing w:after="0" w:line="169"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Letter of Transmittal (incorporated by reference to Exhibit (a)(1)(B) to Schedule TO-T filed by Enersys with the U.S.</w:t>
              </w:r>
            </w:hyperlink>
          </w:p>
        </w:tc>
      </w:tr>
      <w:tr>
        <w:trPr>
          <w:trHeight w:val="196"/>
        </w:trPr>
        <w:tc>
          <w:tcPr>
            <w:tcW w:w="2460" w:type="dxa"/>
            <w:vAlign w:val="bottom"/>
            <w:tcBorders>
              <w:left w:val="single" w:sz="8" w:color="auto"/>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640" w:type="dxa"/>
            <w:vAlign w:val="bottom"/>
            <w:tcBorders>
              <w:right w:val="single" w:sz="8" w:color="auto"/>
            </w:tcBorders>
            <w:gridSpan w:val="12"/>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Securities and Exchange Commission on October 28, 2026)</w:t>
              </w:r>
            </w:hyperlink>
          </w:p>
        </w:tc>
      </w:tr>
      <w:tr>
        <w:trPr>
          <w:trHeight w:val="21"/>
        </w:trPr>
        <w:tc>
          <w:tcPr>
            <w:tcW w:w="2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238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460" w:type="dxa"/>
            <w:vAlign w:val="bottom"/>
            <w:tcBorders>
              <w:left w:val="single" w:sz="8" w:color="auto"/>
              <w:right w:val="single" w:sz="8" w:color="auto"/>
            </w:tcBorders>
          </w:tcPr>
          <w:p>
            <w:pPr>
              <w:ind w:left="180"/>
              <w:spacing w:after="0" w:line="169" w:lineRule="exact"/>
              <w:rPr>
                <w:sz w:val="20"/>
                <w:szCs w:val="20"/>
                <w:color w:val="auto"/>
              </w:rPr>
            </w:pPr>
            <w:r>
              <w:rPr>
                <w:rFonts w:ascii="Times New Roman" w:cs="Times New Roman" w:eastAsia="Times New Roman" w:hAnsi="Times New Roman"/>
                <w:sz w:val="18"/>
                <w:szCs w:val="18"/>
                <w:color w:val="auto"/>
              </w:rPr>
              <w:t>(a)(5)(A)</w:t>
            </w:r>
          </w:p>
        </w:tc>
        <w:tc>
          <w:tcPr>
            <w:tcW w:w="140" w:type="dxa"/>
            <w:vAlign w:val="bottom"/>
          </w:tcPr>
          <w:p>
            <w:pPr>
              <w:spacing w:after="0"/>
              <w:rPr>
                <w:sz w:val="14"/>
                <w:szCs w:val="14"/>
                <w:color w:val="auto"/>
              </w:rPr>
            </w:pPr>
          </w:p>
        </w:tc>
        <w:tc>
          <w:tcPr>
            <w:tcW w:w="8640" w:type="dxa"/>
            <w:vAlign w:val="bottom"/>
            <w:tcBorders>
              <w:bottom w:val="single" w:sz="8" w:color="0000EE"/>
              <w:right w:val="single" w:sz="8" w:color="auto"/>
            </w:tcBorders>
            <w:gridSpan w:val="12"/>
          </w:tcPr>
          <w:p>
            <w:pPr>
              <w:spacing w:after="0" w:line="169"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Press Release of Ultralife Corporation, dated October 27, 2026 (incorporated by reference to Exhibit 99.1 to the</w:t>
              </w:r>
            </w:hyperlink>
          </w:p>
        </w:tc>
      </w:tr>
      <w:tr>
        <w:trPr>
          <w:trHeight w:val="196"/>
        </w:trPr>
        <w:tc>
          <w:tcPr>
            <w:tcW w:w="2460" w:type="dxa"/>
            <w:vAlign w:val="bottom"/>
            <w:tcBorders>
              <w:left w:val="single" w:sz="8" w:color="auto"/>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640" w:type="dxa"/>
            <w:vAlign w:val="bottom"/>
            <w:tcBorders>
              <w:bottom w:val="single" w:sz="8" w:color="0000EE"/>
              <w:right w:val="single" w:sz="8" w:color="auto"/>
            </w:tcBorders>
            <w:gridSpan w:val="12"/>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Current Report on Form 8-K filed by EnerSys with the U.S. Securities and Exchange Commission on October 27,</w:t>
              </w:r>
            </w:hyperlink>
          </w:p>
        </w:tc>
      </w:tr>
      <w:tr>
        <w:trPr>
          <w:trHeight w:val="196"/>
        </w:trPr>
        <w:tc>
          <w:tcPr>
            <w:tcW w:w="2460" w:type="dxa"/>
            <w:vAlign w:val="bottom"/>
            <w:tcBorders>
              <w:left w:val="single" w:sz="8" w:color="auto"/>
              <w:right w:val="single" w:sz="8" w:color="auto"/>
            </w:tcBorders>
          </w:tcPr>
          <w:p>
            <w:pPr>
              <w:spacing w:after="0"/>
              <w:rPr>
                <w:sz w:val="17"/>
                <w:szCs w:val="17"/>
                <w:color w:val="auto"/>
              </w:rPr>
            </w:pPr>
          </w:p>
        </w:tc>
        <w:tc>
          <w:tcPr>
            <w:tcW w:w="1000" w:type="dxa"/>
            <w:vAlign w:val="bottom"/>
            <w:gridSpan w:val="3"/>
          </w:tcPr>
          <w:p>
            <w:pPr>
              <w:ind w:left="140"/>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2026)</w:t>
              </w:r>
            </w:hyperlink>
          </w:p>
        </w:tc>
        <w:tc>
          <w:tcPr>
            <w:tcW w:w="2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80" w:type="dxa"/>
            <w:vAlign w:val="bottom"/>
            <w:tcBorders>
              <w:right w:val="single" w:sz="8" w:color="auto"/>
            </w:tcBorders>
          </w:tcPr>
          <w:p>
            <w:pPr>
              <w:spacing w:after="0"/>
              <w:rPr>
                <w:sz w:val="17"/>
                <w:szCs w:val="17"/>
                <w:color w:val="auto"/>
              </w:rPr>
            </w:pPr>
          </w:p>
        </w:tc>
      </w:tr>
      <w:tr>
        <w:trPr>
          <w:trHeight w:val="20"/>
        </w:trPr>
        <w:tc>
          <w:tcPr>
            <w:tcW w:w="2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460" w:type="dxa"/>
            <w:vAlign w:val="bottom"/>
            <w:tcBorders>
              <w:left w:val="single" w:sz="8" w:color="auto"/>
              <w:right w:val="single" w:sz="8" w:color="auto"/>
            </w:tcBorders>
          </w:tcPr>
          <w:p>
            <w:pPr>
              <w:ind w:left="180"/>
              <w:spacing w:after="0" w:line="169" w:lineRule="exact"/>
              <w:rPr>
                <w:sz w:val="20"/>
                <w:szCs w:val="20"/>
                <w:color w:val="auto"/>
              </w:rPr>
            </w:pPr>
            <w:r>
              <w:rPr>
                <w:rFonts w:ascii="Times New Roman" w:cs="Times New Roman" w:eastAsia="Times New Roman" w:hAnsi="Times New Roman"/>
                <w:sz w:val="18"/>
                <w:szCs w:val="18"/>
                <w:color w:val="auto"/>
              </w:rPr>
              <w:t>(e)(1)</w:t>
            </w:r>
          </w:p>
        </w:tc>
        <w:tc>
          <w:tcPr>
            <w:tcW w:w="140" w:type="dxa"/>
            <w:vAlign w:val="bottom"/>
          </w:tcPr>
          <w:p>
            <w:pPr>
              <w:spacing w:after="0"/>
              <w:rPr>
                <w:sz w:val="14"/>
                <w:szCs w:val="14"/>
                <w:color w:val="auto"/>
              </w:rPr>
            </w:pPr>
          </w:p>
        </w:tc>
        <w:tc>
          <w:tcPr>
            <w:tcW w:w="8640" w:type="dxa"/>
            <w:vAlign w:val="bottom"/>
            <w:tcBorders>
              <w:bottom w:val="single" w:sz="8" w:color="0000EE"/>
              <w:right w:val="single" w:sz="8" w:color="auto"/>
            </w:tcBorders>
            <w:gridSpan w:val="12"/>
          </w:tcPr>
          <w:p>
            <w:pPr>
              <w:spacing w:after="0" w:line="169"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Agreement and Plan of Merger, dated as of October 27, 2026, by and among EnerSys, EnerSys Mergersub Inc. and</w:t>
              </w:r>
            </w:hyperlink>
          </w:p>
        </w:tc>
      </w:tr>
      <w:tr>
        <w:trPr>
          <w:trHeight w:val="196"/>
        </w:trPr>
        <w:tc>
          <w:tcPr>
            <w:tcW w:w="2460" w:type="dxa"/>
            <w:vAlign w:val="bottom"/>
            <w:tcBorders>
              <w:left w:val="single" w:sz="8" w:color="auto"/>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640" w:type="dxa"/>
            <w:vAlign w:val="bottom"/>
            <w:tcBorders>
              <w:bottom w:val="single" w:sz="8" w:color="0000EE"/>
              <w:right w:val="single" w:sz="8" w:color="auto"/>
            </w:tcBorders>
            <w:gridSpan w:val="12"/>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Ultralife Corporation Corporation (incorporated by reference to Exhibit (a)(1)(B) to Schedule TO-T filed by Enersys</w:t>
              </w:r>
            </w:hyperlink>
          </w:p>
        </w:tc>
      </w:tr>
      <w:tr>
        <w:trPr>
          <w:trHeight w:val="196"/>
        </w:trPr>
        <w:tc>
          <w:tcPr>
            <w:tcW w:w="2460" w:type="dxa"/>
            <w:vAlign w:val="bottom"/>
            <w:tcBorders>
              <w:left w:val="single" w:sz="8" w:color="auto"/>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640" w:type="dxa"/>
            <w:vAlign w:val="bottom"/>
            <w:tcBorders>
              <w:right w:val="single" w:sz="8" w:color="auto"/>
            </w:tcBorders>
            <w:gridSpan w:val="12"/>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with the U.S. Securities and Exchange Commission on October 28, 2026)</w:t>
              </w:r>
            </w:hyperlink>
          </w:p>
        </w:tc>
      </w:tr>
      <w:tr>
        <w:trPr>
          <w:trHeight w:val="20"/>
        </w:trPr>
        <w:tc>
          <w:tcPr>
            <w:tcW w:w="2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238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460" w:type="dxa"/>
            <w:vAlign w:val="bottom"/>
            <w:tcBorders>
              <w:left w:val="single" w:sz="8" w:color="auto"/>
              <w:right w:val="single" w:sz="8" w:color="auto"/>
            </w:tcBorders>
          </w:tcPr>
          <w:p>
            <w:pPr>
              <w:ind w:left="180"/>
              <w:spacing w:after="0" w:line="169" w:lineRule="exact"/>
              <w:rPr>
                <w:sz w:val="20"/>
                <w:szCs w:val="20"/>
                <w:color w:val="auto"/>
              </w:rPr>
            </w:pPr>
            <w:r>
              <w:rPr>
                <w:rFonts w:ascii="Times New Roman" w:cs="Times New Roman" w:eastAsia="Times New Roman" w:hAnsi="Times New Roman"/>
                <w:sz w:val="18"/>
                <w:szCs w:val="18"/>
                <w:color w:val="auto"/>
              </w:rPr>
              <w:t>(e)(2)*</w:t>
            </w:r>
          </w:p>
        </w:tc>
        <w:tc>
          <w:tcPr>
            <w:tcW w:w="140" w:type="dxa"/>
            <w:vAlign w:val="bottom"/>
          </w:tcPr>
          <w:p>
            <w:pPr>
              <w:spacing w:after="0"/>
              <w:rPr>
                <w:sz w:val="14"/>
                <w:szCs w:val="14"/>
                <w:color w:val="auto"/>
              </w:rPr>
            </w:pPr>
          </w:p>
        </w:tc>
        <w:tc>
          <w:tcPr>
            <w:tcW w:w="8640" w:type="dxa"/>
            <w:vAlign w:val="bottom"/>
            <w:tcBorders>
              <w:bottom w:val="single" w:sz="8" w:color="0000EE"/>
              <w:right w:val="single" w:sz="8" w:color="auto"/>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EE"/>
              </w:rPr>
              <w:t>Indication of Interest (including confidentiality provisions), dated July 14, 2026, between EnerSys and Ultralife</w:t>
            </w:r>
          </w:p>
        </w:tc>
      </w:tr>
      <w:tr>
        <w:trPr>
          <w:trHeight w:val="196"/>
        </w:trPr>
        <w:tc>
          <w:tcPr>
            <w:tcW w:w="2460" w:type="dxa"/>
            <w:vAlign w:val="bottom"/>
            <w:tcBorders>
              <w:left w:val="single" w:sz="8" w:color="auto"/>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640" w:type="dxa"/>
            <w:vAlign w:val="bottom"/>
            <w:tcBorders>
              <w:right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Corporation</w:t>
            </w:r>
          </w:p>
        </w:tc>
      </w:tr>
      <w:tr>
        <w:trPr>
          <w:trHeight w:val="21"/>
        </w:trPr>
        <w:tc>
          <w:tcPr>
            <w:tcW w:w="2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460" w:type="dxa"/>
            <w:vAlign w:val="bottom"/>
            <w:tcBorders>
              <w:left w:val="single" w:sz="8" w:color="auto"/>
              <w:right w:val="single" w:sz="8" w:color="auto"/>
            </w:tcBorders>
          </w:tcPr>
          <w:p>
            <w:pPr>
              <w:ind w:left="180"/>
              <w:spacing w:after="0" w:line="169" w:lineRule="exact"/>
              <w:rPr>
                <w:sz w:val="20"/>
                <w:szCs w:val="20"/>
                <w:color w:val="auto"/>
              </w:rPr>
            </w:pPr>
            <w:r>
              <w:rPr>
                <w:rFonts w:ascii="Times New Roman" w:cs="Times New Roman" w:eastAsia="Times New Roman" w:hAnsi="Times New Roman"/>
                <w:sz w:val="18"/>
                <w:szCs w:val="18"/>
                <w:color w:val="auto"/>
              </w:rPr>
              <w:t>(e)(3)</w:t>
            </w:r>
          </w:p>
        </w:tc>
        <w:tc>
          <w:tcPr>
            <w:tcW w:w="140" w:type="dxa"/>
            <w:vAlign w:val="bottom"/>
          </w:tcPr>
          <w:p>
            <w:pPr>
              <w:spacing w:after="0"/>
              <w:rPr>
                <w:sz w:val="14"/>
                <w:szCs w:val="14"/>
                <w:color w:val="auto"/>
              </w:rPr>
            </w:pPr>
          </w:p>
        </w:tc>
        <w:tc>
          <w:tcPr>
            <w:tcW w:w="8640" w:type="dxa"/>
            <w:vAlign w:val="bottom"/>
            <w:tcBorders>
              <w:bottom w:val="single" w:sz="8" w:color="0000EE"/>
              <w:right w:val="single" w:sz="8" w:color="auto"/>
            </w:tcBorders>
            <w:gridSpan w:val="12"/>
          </w:tcPr>
          <w:p>
            <w:pPr>
              <w:spacing w:after="0" w:line="169"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Form of Tender and Support Agreement, by and among EnerSys, EnerSys Mergersub Inc. and the stockholders party</w:t>
              </w:r>
            </w:hyperlink>
          </w:p>
        </w:tc>
      </w:tr>
      <w:tr>
        <w:trPr>
          <w:trHeight w:val="196"/>
        </w:trPr>
        <w:tc>
          <w:tcPr>
            <w:tcW w:w="2460" w:type="dxa"/>
            <w:vAlign w:val="bottom"/>
            <w:tcBorders>
              <w:left w:val="single" w:sz="8" w:color="auto"/>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640" w:type="dxa"/>
            <w:vAlign w:val="bottom"/>
            <w:tcBorders>
              <w:bottom w:val="single" w:sz="8" w:color="0000EE"/>
              <w:right w:val="single" w:sz="8" w:color="auto"/>
            </w:tcBorders>
            <w:gridSpan w:val="12"/>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thereto (incorporated by reference to Exhibit (d)(2) to the Schedule TO-T filed by Enersys with the U.S. Securities and</w:t>
              </w:r>
            </w:hyperlink>
          </w:p>
        </w:tc>
      </w:tr>
      <w:tr>
        <w:trPr>
          <w:trHeight w:val="196"/>
        </w:trPr>
        <w:tc>
          <w:tcPr>
            <w:tcW w:w="2460" w:type="dxa"/>
            <w:vAlign w:val="bottom"/>
            <w:tcBorders>
              <w:left w:val="single" w:sz="8" w:color="auto"/>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640" w:type="dxa"/>
            <w:vAlign w:val="bottom"/>
            <w:tcBorders>
              <w:right w:val="single" w:sz="8" w:color="auto"/>
            </w:tcBorders>
            <w:gridSpan w:val="12"/>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Exchange Commission on October 28, 2026)</w:t>
              </w:r>
            </w:hyperlink>
          </w:p>
        </w:tc>
      </w:tr>
      <w:tr>
        <w:trPr>
          <w:trHeight w:val="21"/>
        </w:trPr>
        <w:tc>
          <w:tcPr>
            <w:tcW w:w="2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238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460" w:type="dxa"/>
            <w:vAlign w:val="bottom"/>
            <w:tcBorders>
              <w:left w:val="single" w:sz="8" w:color="auto"/>
              <w:right w:val="single" w:sz="8" w:color="auto"/>
            </w:tcBorders>
          </w:tcPr>
          <w:p>
            <w:pPr>
              <w:ind w:left="180"/>
              <w:spacing w:after="0" w:line="169" w:lineRule="exact"/>
              <w:rPr>
                <w:sz w:val="20"/>
                <w:szCs w:val="20"/>
                <w:color w:val="auto"/>
              </w:rPr>
            </w:pPr>
            <w:r>
              <w:rPr>
                <w:rFonts w:ascii="Times New Roman" w:cs="Times New Roman" w:eastAsia="Times New Roman" w:hAnsi="Times New Roman"/>
                <w:sz w:val="18"/>
                <w:szCs w:val="18"/>
                <w:color w:val="auto"/>
              </w:rPr>
              <w:t>(e)(4)</w:t>
            </w:r>
          </w:p>
        </w:tc>
        <w:tc>
          <w:tcPr>
            <w:tcW w:w="140" w:type="dxa"/>
            <w:vAlign w:val="bottom"/>
          </w:tcPr>
          <w:p>
            <w:pPr>
              <w:spacing w:after="0"/>
              <w:rPr>
                <w:sz w:val="14"/>
                <w:szCs w:val="14"/>
                <w:color w:val="auto"/>
              </w:rPr>
            </w:pPr>
          </w:p>
        </w:tc>
        <w:tc>
          <w:tcPr>
            <w:tcW w:w="8640" w:type="dxa"/>
            <w:vAlign w:val="bottom"/>
            <w:tcBorders>
              <w:bottom w:val="single" w:sz="8" w:color="0000EE"/>
              <w:right w:val="single" w:sz="8" w:color="auto"/>
            </w:tcBorders>
            <w:gridSpan w:val="12"/>
          </w:tcPr>
          <w:p>
            <w:pPr>
              <w:spacing w:after="0" w:line="169"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Ultralife Corporation Amended 2014 Long-Term Incentive Plan (incorporated by reference to Appendix B of Form</w:t>
              </w:r>
            </w:hyperlink>
          </w:p>
        </w:tc>
      </w:tr>
      <w:tr>
        <w:trPr>
          <w:trHeight w:val="196"/>
        </w:trPr>
        <w:tc>
          <w:tcPr>
            <w:tcW w:w="2460" w:type="dxa"/>
            <w:vAlign w:val="bottom"/>
            <w:tcBorders>
              <w:left w:val="single" w:sz="8" w:color="auto"/>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640" w:type="dxa"/>
            <w:vAlign w:val="bottom"/>
            <w:tcBorders>
              <w:right w:val="single" w:sz="8" w:color="auto"/>
            </w:tcBorders>
            <w:gridSpan w:val="12"/>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DEF 14A filed by Ultralife Corporation on June 1, 2021)</w:t>
              </w:r>
            </w:hyperlink>
          </w:p>
        </w:tc>
      </w:tr>
      <w:tr>
        <w:trPr>
          <w:trHeight w:val="21"/>
        </w:trPr>
        <w:tc>
          <w:tcPr>
            <w:tcW w:w="2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238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460" w:type="dxa"/>
            <w:vAlign w:val="bottom"/>
            <w:tcBorders>
              <w:left w:val="single" w:sz="8" w:color="auto"/>
              <w:right w:val="single" w:sz="8" w:color="auto"/>
            </w:tcBorders>
          </w:tcPr>
          <w:p>
            <w:pPr>
              <w:ind w:left="180"/>
              <w:spacing w:after="0" w:line="169" w:lineRule="exact"/>
              <w:rPr>
                <w:sz w:val="20"/>
                <w:szCs w:val="20"/>
                <w:color w:val="auto"/>
              </w:rPr>
            </w:pPr>
            <w:r>
              <w:rPr>
                <w:rFonts w:ascii="Times New Roman" w:cs="Times New Roman" w:eastAsia="Times New Roman" w:hAnsi="Times New Roman"/>
                <w:sz w:val="18"/>
                <w:szCs w:val="18"/>
                <w:color w:val="auto"/>
              </w:rPr>
              <w:t>(e)(5)</w:t>
            </w:r>
          </w:p>
        </w:tc>
        <w:tc>
          <w:tcPr>
            <w:tcW w:w="140" w:type="dxa"/>
            <w:vAlign w:val="bottom"/>
          </w:tcPr>
          <w:p>
            <w:pPr>
              <w:spacing w:after="0"/>
              <w:rPr>
                <w:sz w:val="14"/>
                <w:szCs w:val="14"/>
                <w:color w:val="auto"/>
              </w:rPr>
            </w:pPr>
          </w:p>
        </w:tc>
        <w:tc>
          <w:tcPr>
            <w:tcW w:w="8640" w:type="dxa"/>
            <w:vAlign w:val="bottom"/>
            <w:tcBorders>
              <w:bottom w:val="single" w:sz="8" w:color="0000EE"/>
              <w:right w:val="single" w:sz="8" w:color="auto"/>
            </w:tcBorders>
            <w:gridSpan w:val="12"/>
          </w:tcPr>
          <w:p>
            <w:pPr>
              <w:spacing w:after="0" w:line="169"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Amendment No. 1 to Ultralife Corporation Amended 2014 Long-Term Incentive Plan (incorporated by reference to</w:t>
              </w:r>
            </w:hyperlink>
          </w:p>
        </w:tc>
      </w:tr>
      <w:tr>
        <w:trPr>
          <w:trHeight w:val="196"/>
        </w:trPr>
        <w:tc>
          <w:tcPr>
            <w:tcW w:w="2460" w:type="dxa"/>
            <w:vAlign w:val="bottom"/>
            <w:tcBorders>
              <w:left w:val="single" w:sz="8" w:color="auto"/>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640" w:type="dxa"/>
            <w:vAlign w:val="bottom"/>
            <w:tcBorders>
              <w:right w:val="single" w:sz="8" w:color="auto"/>
            </w:tcBorders>
            <w:gridSpan w:val="12"/>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Appendix A of Form DEF 14A filed by Ultralife Corporation on June 1, 2021)</w:t>
              </w:r>
            </w:hyperlink>
          </w:p>
        </w:tc>
      </w:tr>
      <w:tr>
        <w:trPr>
          <w:trHeight w:val="21"/>
        </w:trPr>
        <w:tc>
          <w:tcPr>
            <w:tcW w:w="2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238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460" w:type="dxa"/>
            <w:vAlign w:val="bottom"/>
            <w:tcBorders>
              <w:left w:val="single" w:sz="8" w:color="auto"/>
              <w:right w:val="single" w:sz="8" w:color="auto"/>
            </w:tcBorders>
          </w:tcPr>
          <w:p>
            <w:pPr>
              <w:ind w:left="180"/>
              <w:spacing w:after="0" w:line="169" w:lineRule="exact"/>
              <w:rPr>
                <w:sz w:val="20"/>
                <w:szCs w:val="20"/>
                <w:color w:val="auto"/>
              </w:rPr>
            </w:pPr>
            <w:r>
              <w:rPr>
                <w:rFonts w:ascii="Times New Roman" w:cs="Times New Roman" w:eastAsia="Times New Roman" w:hAnsi="Times New Roman"/>
                <w:sz w:val="18"/>
                <w:szCs w:val="18"/>
                <w:color w:val="auto"/>
              </w:rPr>
              <w:t>(e)(6)*</w:t>
            </w:r>
          </w:p>
        </w:tc>
        <w:tc>
          <w:tcPr>
            <w:tcW w:w="140" w:type="dxa"/>
            <w:vAlign w:val="bottom"/>
          </w:tcPr>
          <w:p>
            <w:pPr>
              <w:spacing w:after="0"/>
              <w:rPr>
                <w:sz w:val="14"/>
                <w:szCs w:val="14"/>
                <w:color w:val="auto"/>
              </w:rPr>
            </w:pPr>
          </w:p>
        </w:tc>
        <w:tc>
          <w:tcPr>
            <w:tcW w:w="8640" w:type="dxa"/>
            <w:vAlign w:val="bottom"/>
            <w:tcBorders>
              <w:right w:val="single" w:sz="8" w:color="auto"/>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EE"/>
              </w:rPr>
              <w:t>Ultralife Corporation 2024 Long-Term Incentive Plan</w:t>
            </w:r>
          </w:p>
        </w:tc>
      </w:tr>
      <w:tr>
        <w:trPr>
          <w:trHeight w:val="21"/>
        </w:trPr>
        <w:tc>
          <w:tcPr>
            <w:tcW w:w="2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238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460" w:type="dxa"/>
            <w:vAlign w:val="bottom"/>
            <w:tcBorders>
              <w:left w:val="single" w:sz="8" w:color="auto"/>
              <w:right w:val="single" w:sz="8" w:color="auto"/>
            </w:tcBorders>
          </w:tcPr>
          <w:p>
            <w:pPr>
              <w:ind w:left="180"/>
              <w:spacing w:after="0" w:line="169" w:lineRule="exact"/>
              <w:rPr>
                <w:sz w:val="20"/>
                <w:szCs w:val="20"/>
                <w:color w:val="auto"/>
              </w:rPr>
            </w:pPr>
            <w:r>
              <w:rPr>
                <w:rFonts w:ascii="Times New Roman" w:cs="Times New Roman" w:eastAsia="Times New Roman" w:hAnsi="Times New Roman"/>
                <w:sz w:val="18"/>
                <w:szCs w:val="18"/>
                <w:color w:val="auto"/>
              </w:rPr>
              <w:t>Annex I*</w:t>
            </w:r>
          </w:p>
        </w:tc>
        <w:tc>
          <w:tcPr>
            <w:tcW w:w="140" w:type="dxa"/>
            <w:vAlign w:val="bottom"/>
          </w:tcPr>
          <w:p>
            <w:pPr>
              <w:spacing w:after="0"/>
              <w:rPr>
                <w:sz w:val="14"/>
                <w:szCs w:val="14"/>
                <w:color w:val="auto"/>
              </w:rPr>
            </w:pPr>
          </w:p>
        </w:tc>
        <w:tc>
          <w:tcPr>
            <w:tcW w:w="8640" w:type="dxa"/>
            <w:vAlign w:val="bottom"/>
            <w:tcBorders>
              <w:right w:val="single" w:sz="8" w:color="auto"/>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EE"/>
              </w:rPr>
              <w:t>Opinion of StoneX Financial Inc., dated October 27, 2026</w:t>
            </w:r>
          </w:p>
        </w:tc>
      </w:tr>
      <w:tr>
        <w:trPr>
          <w:trHeight w:val="20"/>
        </w:trPr>
        <w:tc>
          <w:tcPr>
            <w:tcW w:w="2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238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460" w:type="dxa"/>
            <w:vAlign w:val="bottom"/>
            <w:tcBorders>
              <w:left w:val="single" w:sz="8" w:color="auto"/>
              <w:right w:val="single" w:sz="8" w:color="auto"/>
            </w:tcBorders>
          </w:tcPr>
          <w:p>
            <w:pPr>
              <w:ind w:left="180"/>
              <w:spacing w:after="0" w:line="169" w:lineRule="exact"/>
              <w:rPr>
                <w:sz w:val="20"/>
                <w:szCs w:val="20"/>
                <w:color w:val="auto"/>
              </w:rPr>
            </w:pPr>
            <w:r>
              <w:rPr>
                <w:rFonts w:ascii="Times New Roman" w:cs="Times New Roman" w:eastAsia="Times New Roman" w:hAnsi="Times New Roman"/>
                <w:sz w:val="18"/>
                <w:szCs w:val="18"/>
                <w:color w:val="auto"/>
              </w:rPr>
              <w:t>Annex II*</w:t>
            </w:r>
          </w:p>
        </w:tc>
        <w:tc>
          <w:tcPr>
            <w:tcW w:w="140" w:type="dxa"/>
            <w:vAlign w:val="bottom"/>
          </w:tcPr>
          <w:p>
            <w:pPr>
              <w:spacing w:after="0"/>
              <w:rPr>
                <w:sz w:val="14"/>
                <w:szCs w:val="14"/>
                <w:color w:val="auto"/>
              </w:rPr>
            </w:pPr>
          </w:p>
        </w:tc>
        <w:tc>
          <w:tcPr>
            <w:tcW w:w="8640" w:type="dxa"/>
            <w:vAlign w:val="bottom"/>
            <w:tcBorders>
              <w:right w:val="single" w:sz="8" w:color="auto"/>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EE"/>
              </w:rPr>
              <w:t>Section 262 of the General Corporation Law of the State of Delaware</w:t>
            </w:r>
          </w:p>
        </w:tc>
      </w:tr>
      <w:tr>
        <w:trPr>
          <w:trHeight w:val="21"/>
        </w:trPr>
        <w:tc>
          <w:tcPr>
            <w:tcW w:w="2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2380" w:type="dxa"/>
            <w:vAlign w:val="bottom"/>
            <w:tcBorders>
              <w:top w:val="single" w:sz="8" w:color="0000EE"/>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r>
      <w:tr>
        <w:trPr>
          <w:trHeight w:val="425"/>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32"/>
        </w:trPr>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780" w:type="dxa"/>
            <w:vAlign w:val="bottom"/>
            <w:gridSpan w:val="10"/>
          </w:tcPr>
          <w:p>
            <w:pPr>
              <w:ind w:left="1880"/>
              <w:spacing w:after="0"/>
              <w:rPr>
                <w:sz w:val="20"/>
                <w:szCs w:val="20"/>
                <w:color w:val="auto"/>
              </w:rPr>
            </w:pPr>
            <w:r>
              <w:rPr>
                <w:rFonts w:ascii="Times New Roman" w:cs="Times New Roman" w:eastAsia="Times New Roman" w:hAnsi="Times New Roman"/>
                <w:sz w:val="18"/>
                <w:szCs w:val="18"/>
                <w:color w:val="auto"/>
              </w:rPr>
              <w:t>Page 35</w:t>
            </w:r>
          </w:p>
        </w:tc>
      </w:tr>
      <w:tr>
        <w:trPr>
          <w:trHeight w:val="115"/>
        </w:trPr>
        <w:tc>
          <w:tcPr>
            <w:tcW w:w="2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6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Schedule 14D-9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Philip A. Fain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17830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 A. Fain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28, 2026</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567" w:right="55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Annex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425700" cy="651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2425700" cy="65151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154305</wp:posOffset>
            </wp:positionV>
            <wp:extent cx="1825625" cy="643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182562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27,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STRICTLY CONFIDENTIAL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Ultralife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Technology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Newark, New York 14513</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members of the Board of Directors: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understand that Ultralife Corporation, a Delaware corporation (“ULBI”, the “Company”) intends to enter into agreement and plan of merger (the “Agreement”) by and among the Company, EnerSys, a Delaware corporation ("Parent"), and EnerSys Mergersub Inc., a Delaware corporation and wholly owned subsidiary of Parent ("Merger Sub"), pursuant to which, as currently contemplated: (a) Merger Sub shall commence a tender offer (the “Offer”) to purchase all of the outstanding shares of common stock, par value $0.10 per share, of the Company (the “Shares”), for a price per Share of $16.00 net to the seller in cash at the closing of the Offer (such amount or any greater amount per Share as may be paid pursuant to the Offer, being hereinafter referred to as the “Offer Price”); and (b) the parties intend that (i) the Merger shall be effected in accordance with Section 251(h) of the General Corporation Law of the State of Delaware (the “DGCL”), and shall be consummated as soon as practicable following the completion of the Offer and subject to the terms of the Agreement, and (ii) at the Effective Time, Merger Sub shall be merged with and into the Company (the “Merger”) and, following the Merger, the separate corporate existence of Merger Sub shall cease and the Company shall continue as the surviving corporation in the Merger (the “Surviving Corporation”) and a wholly owned subsidiary of Parent. The terms of the Merger and the other transactions contemplated by the Agreement (collectively, the “Transaction”) are more fully set forth in the Agreement. Terms capitalized but otherwise not defined shall have their respective meanings set forth in the Agreement.</w:t>
      </w:r>
    </w:p>
    <w:p>
      <w:pPr>
        <w:spacing w:after="0" w:line="19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(the “Board”) of ULBI has requested that StoneX Financial Inc. (“StoneX”) provide a written opinion (the “Opinion”) as to whether the consideration to be received in the Transaction is fair to the Company’s shareholders from a financial point of view.</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exchange for our services in rendering this Opinion, ULBI has agreed to pay a fee to StoneX, which is not contingent upon either the conclusion expressed herein or the consummation of the Transaction. ULBI has also agreed to indemnify us against certain potential liabilities in connection with our services in rendering this Opinion and to reimburse us for certain of our expenses incurred in connection with our engagement with the Company. We are providing additional advisory services to the Company in connection with the Transaction for which we may receive compensation, a portion of which may be contingent on the consummation of the Transaction, and we may seek to provide other financial advisory or investment banking services to ULBI and/or its affiliates and other participants in the Transaction in the future for which we may receive compensation.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Opinion is addressed to, and is intended for the use, information and benefit of the Board, solely in its capacity as such, and may not be used for any other purpose without our prior written consent; provided, that StoneX specifically consents to the Company attaching this Opinion to the Company’s Schedule 14D-9 filing for the Offer. This Opinion is not intended to be, and does not constitute, a recommendation to the Board, any security holder, or any other party as to how to act or vote with respect to any matter relating to the Transaction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7" w:name="page38"/>
    <w:bookmarkEnd w:id="3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not been requested to opine as to, and this Opinion does not express an opinion as to or otherwise address, among other things: (1) the underlying business decision of the Board, the Company, its security holders or any other party to proceed with or effect the Transaction, (ii) the terms of any arrangements, understandings, agreements or documents related to, or the form, structure or any other portion or aspect of, the Transaction or otherwise (other than the consideration to the extent expressly specified herein), (iii) the fairness of any portion or aspect of the Transaction to the holders of any class of securities, creditors or other constituencies of the Company, or to any other party, except if and only to the extent expressly set forth in the last sentence of this Opinion, (iv) the relative merits of the Transaction as compared to any alternative business strategies or transactions that might be available for the Company or any other party, (v) the fairness of any portion or aspect of the Transaction to any one class or group of the Company’s or any other party’s security holders or other constituents vis-à-vis any other class or group of the Company’s or such other party’s security holders or other constituents (including, without limitation, the allocation of any consideration amongst or within such classes or groups of security holders or other constituents), (vi) the solvency, creditworthiness or fair value of the Company, or any other participant in the Transaction, or any of their respective assets, under any applicable laws relating to bankruptcy, insolvency, fraudulent conveyance or similar matters, or (vii) the fairness, financial or otherwise, of the amount, nature or any other aspect of any compensation to or consideration payable to or received by any officers, directors or employees of any party to the Transaction, any class of such persons or any other party, relative to the consideration or otherwise. Furthermore, no opinion, counsel or interpretation is intended in matters that require legal, regulatory, accounting, insurance, tax, or other similar professional advice. It is assumed that such opinions, counsel, or interpretations have been or will be obtained from the appropriate professional sources. Furthermore, we have relied, with the consent of the Board, on the assessments by the Board, the Company, and its advisors, as to all legal, regulatory, accounting, insurance and tax matters with respect to the Company, the Transaction or otherwise. The issuance of this Opinion was approved by a committee of StoneX authorized to approve opinions of this nature.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arriving at this Opinion, we reviewed and considered such financial and other matters as we deemed relevant, including, among other things: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execution version of the Agreement provided to us by the Company, dated October 27, 2026;</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Tender and Support Agreement to be entered into by Parent, Merger Sub and Supporting Stockholders attached a Exhibit B to the Agreement;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relating to the historical, current and future operations, financial condition and prospects of the Company, made available to us by the Company, including consolidated financial statements that included the actual financial statements for the fiscal years ended 12/31/2025 and the fiscal quarters ended 3/31/2026 and 6/30/2026 (as filed on forms 10-K and 10-Q with the Securities and Exchange Commission), preliminary financial statements for the three months ended 9/30/2026, and a financial model with projected financials for the fiscal years 2026 through 2029;</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discussions with certain members of the management of ULBI and certain of its representatives and advisors regarding the business, operations, financial condition and prospects of the Company, the Transaction and related matters;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addressed to us from senior management of ULBI which contains, among other things, representations regarding the accuracy of the information, data and other materials (financial or otherwise) on the Company provided to, or discussed with, us by or on behalf of the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historical market prices, trading characteristics and financial performance of the publicly traded securities of certain companies that we deemed to be relevant;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market prices and trading volumes of the Shares, and the premiums paid in certain acquisitions of U.S. public companies that we deemed to be relevant;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publicly available financial terms of certain transactions that we deemed to be relevant;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economic and market criteria and data, financial studies, analyses and investigations and such other factors as StoneX deemed relevant.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relied upon and assumed, without independent verification, the accuracy and completeness of all data, material and other information furnished, or otherwise made available, to us by the Company, discussed with or reviewed by us and do not assume any responsibility for the independent verification of data, material, and other information. With respect to publicly available information, we have relied on sources we believe to be reliable. In addition, management of ULBI has advised us, and we have assumed, that the financial projections reviewed by us have been reasonably prepared in good faith on bases reflecting the best currently available estimates and judgments of such management as to the future financial results and condition of the Company and we express no opinion with respect to such projections or the assumptions on which they are based. We have relied upon and assumed, without independent verification, that there has been no change in the business, assets, liabilities, financial condition, results of operations, cash flows or prospects of the Company since the respective dates of the most recent financial statements and other information, financial or otherwise, provided to us that would be material to our analyses or this Opinion, and that there is no information or any facts that would make any of the information reviewed by us incomplete or misleading. StoneX has further relied upon the assurance of the management of ULBI that they are unaware of any facts that would make the information provided to StoneX incomplete or misleading in any material respect. In addition, we have relied upon and assumed, without independent verification, that the final form of the Agreement will not differ in any material respect from the latest draft of the Agreement provided to us as identified above. In addition, StoneX did not make any independent evaluation or appraisal of the assets or liabilities of the Company nor was StoneX furnished with any such independent evaluations or appraisals. This Opinion is necessarily based upon financial, economic, market and other conditions as they existed on, and should be evaluated as of, the date hereof. Although subsequent developments might affect this Opinion, StoneX does not have any obligation to update, revise or reaffirm this Opinion.</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StoneX has assumed that the Transaction will be consummated on terms substantially similar to those set forth in the Agreement identified above.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been requested to, and did not, (a) initiate or participate in any discussions or negotiations with, or solicit any indications of interest from, third parties with respect to the Transaction, the securities, assets, businesses or operations of the Company or any other party, or any alternatives to the Transaction, (b) negotiate the terms of the Transaction, or (c) advise the Board or any other party with respect to alternatives to the Transaction.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StoneX may have actively traded the equity or debt securities of ULBI or the Parent and may continue to actively trade such equity or debt securities. In addition, certain individuals who are employees of, or are affiliated with, StoneX may have in the past and may currently be stockholders of ULBI or the Parent.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ind w:firstLine="648"/>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and in reliance thereon, it is our opinion that, as of the date hereof, the consideration to be received in the Transaction pursuant to the Agreement is fair to the Company’s shareholders from a financial point of view.</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STONEX FINANCIAL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John J. Borer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17741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Name:John J. Borer III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Senior Managing Director &amp; Head of Investment Banking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0" w:name="page41"/>
    <w:bookmarkEnd w:id="40"/>
    <w:p>
      <w:pPr>
        <w:ind w:left="10600"/>
        <w:spacing w:after="0"/>
        <w:rPr>
          <w:sz w:val="20"/>
          <w:szCs w:val="20"/>
          <w:color w:val="auto"/>
        </w:rPr>
      </w:pPr>
      <w:r>
        <w:rPr>
          <w:rFonts w:ascii="Times New Roman" w:cs="Times New Roman" w:eastAsia="Times New Roman" w:hAnsi="Times New Roman"/>
          <w:sz w:val="17"/>
          <w:szCs w:val="17"/>
          <w:color w:val="auto"/>
        </w:rPr>
        <w:t>Annex II</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262. Appraisal rights, DE ST TI 8 § 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369570</wp:posOffset>
            </wp:positionV>
            <wp:extent cx="7136130" cy="7067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36130" cy="706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West's Delaware Code Annotated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8. Corporations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Chapter 1. General Corporation Law</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Subchapter IX. Merger, Consolidation or Conversion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 Del.C. § 262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262. Appraisal rights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Effective: July 17, 2023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Currentness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&lt;For application of this section, see 84 Laws 2023, ch. 98, § 16.&gt;</w:t>
      </w:r>
    </w:p>
    <w:p>
      <w:pPr>
        <w:spacing w:after="0" w:line="200" w:lineRule="exact"/>
        <w:rPr>
          <w:sz w:val="20"/>
          <w:szCs w:val="20"/>
          <w:color w:val="auto"/>
        </w:rPr>
      </w:pPr>
    </w:p>
    <w:p>
      <w:pPr>
        <w:spacing w:after="0" w:line="241" w:lineRule="exact"/>
        <w:rPr>
          <w:sz w:val="20"/>
          <w:szCs w:val="20"/>
          <w:color w:val="auto"/>
        </w:rPr>
      </w:pPr>
    </w:p>
    <w:p>
      <w:pPr>
        <w:jc w:val="both"/>
        <w:ind w:firstLine="8"/>
        <w:spacing w:after="0" w:line="253" w:lineRule="auto"/>
        <w:tabs>
          <w:tab w:leader="none" w:pos="2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jc w:val="both"/>
        <w:ind w:firstLine="8"/>
        <w:spacing w:after="0" w:line="258" w:lineRule="auto"/>
        <w:tabs>
          <w:tab w:leader="none" w:pos="2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265 or § 388 of this title):</w:t>
      </w:r>
    </w:p>
    <w:p>
      <w:pPr>
        <w:spacing w:after="0" w:line="399" w:lineRule="exact"/>
        <w:rPr>
          <w:rFonts w:ascii="Times New Roman" w:cs="Times New Roman" w:eastAsia="Times New Roman" w:hAnsi="Times New Roman"/>
          <w:sz w:val="18"/>
          <w:szCs w:val="18"/>
          <w:color w:val="auto"/>
        </w:rPr>
      </w:pPr>
    </w:p>
    <w:p>
      <w:pPr>
        <w:jc w:val="both"/>
        <w:ind w:left="180" w:hanging="10"/>
        <w:spacing w:after="0" w:line="255" w:lineRule="auto"/>
        <w:tabs>
          <w:tab w:leader="none" w:pos="4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 2026 Thomson Reuters. No claim to original U.S. Government Works.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58"/>
        </w:trPr>
        <w:tc>
          <w:tcPr>
            <w:tcW w:w="87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668655" cy="1111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668655" cy="11112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ind w:left="140" w:hanging="132"/>
        <w:spacing w:after="0"/>
        <w:tabs>
          <w:tab w:leader="none" w:pos="1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262. Appraisal rights, DE ST TI 8 § 262</w:t>
      </w:r>
    </w:p>
    <w:p>
      <w:pPr>
        <w:spacing w:after="0" w:line="200" w:lineRule="exact"/>
        <w:rPr>
          <w:rFonts w:ascii="Times New Roman" w:cs="Times New Roman" w:eastAsia="Times New Roman" w:hAnsi="Times New Roman"/>
          <w:sz w:val="18"/>
          <w:szCs w:val="18"/>
          <w:b w:val="1"/>
          <w:bCs w:val="1"/>
          <w:color w:val="auto"/>
        </w:rPr>
      </w:pPr>
    </w:p>
    <w:p>
      <w:pPr>
        <w:spacing w:after="0" w:line="366" w:lineRule="exact"/>
        <w:rPr>
          <w:rFonts w:ascii="Times New Roman" w:cs="Times New Roman" w:eastAsia="Times New Roman" w:hAnsi="Times New Roman"/>
          <w:sz w:val="18"/>
          <w:szCs w:val="18"/>
          <w:b w:val="1"/>
          <w:bCs w:val="1"/>
          <w:color w:val="auto"/>
        </w:rPr>
      </w:pPr>
    </w:p>
    <w:p>
      <w:pPr>
        <w:jc w:val="both"/>
        <w:ind w:left="180" w:hanging="10"/>
        <w:spacing w:after="0" w:line="261" w:lineRule="auto"/>
        <w:tabs>
          <w:tab w:leader="none" w:pos="43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w:t>
      </w:r>
    </w:p>
    <w:p>
      <w:pPr>
        <w:spacing w:after="0" w:line="39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16"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p>
      <w:pPr>
        <w:spacing w:after="0" w:line="39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9"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w:t>
      </w:r>
    </w:p>
    <w:p>
      <w:pPr>
        <w:spacing w:after="0" w:line="391"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lieu of fractional shares or fractional depository receipts described in the foregoing paragraphs (b)(2)a. and b. of this section; or</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8"/>
        <w:spacing w:after="0" w:line="282" w:lineRule="auto"/>
        <w:tabs>
          <w:tab w:leader="none" w:pos="53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shares of stock, depository receipts and cash in lieu of fractional shares or fractional depository receipts described in the foregoing paragraphs (b)(2)a., b. and c. of this section.</w:t>
      </w:r>
    </w:p>
    <w:p>
      <w:pPr>
        <w:spacing w:after="0" w:line="377" w:lineRule="exact"/>
        <w:rPr>
          <w:rFonts w:ascii="Times New Roman" w:cs="Times New Roman" w:eastAsia="Times New Roman" w:hAnsi="Times New Roman"/>
          <w:sz w:val="18"/>
          <w:szCs w:val="18"/>
          <w:color w:val="auto"/>
        </w:rPr>
      </w:pPr>
    </w:p>
    <w:p>
      <w:pPr>
        <w:ind w:left="180" w:hanging="10"/>
        <w:spacing w:after="0" w:line="282" w:lineRule="auto"/>
        <w:tabs>
          <w:tab w:leader="none" w:pos="44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377"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Repealed by 82 Laws 2020, ch. 256,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-4139565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firstLine="8"/>
        <w:spacing w:after="0" w:line="258" w:lineRule="auto"/>
        <w:tabs>
          <w:tab w:leader="none" w:pos="25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 2026 Thomson Reuters. No claim to original U.S. Government Works.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58"/>
        </w:trPr>
        <w:tc>
          <w:tcPr>
            <w:tcW w:w="87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668655" cy="1117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668655" cy="11176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 262. Appraisal rights, DE ST TI 8 § 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perfected as follows: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both"/>
        <w:ind w:left="180" w:hanging="10"/>
        <w:spacing w:after="0" w:line="252" w:lineRule="auto"/>
        <w:tabs>
          <w:tab w:leader="none" w:pos="43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jc w:val="both"/>
        <w:ind w:left="180" w:hanging="10"/>
        <w:spacing w:after="0" w:line="251" w:lineRule="auto"/>
        <w:tabs>
          <w:tab w:leader="none" w:pos="43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 2026 Thomson Reuters. No claim to original U.S. Government Works.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58"/>
        </w:trPr>
        <w:tc>
          <w:tcPr>
            <w:tcW w:w="87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668655" cy="1117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668655" cy="11176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3" w:name="page44"/>
    <w:bookmarkEnd w:id="43"/>
    <w:p>
      <w:pPr>
        <w:ind w:left="140" w:hanging="132"/>
        <w:spacing w:after="0"/>
        <w:tabs>
          <w:tab w:leader="none" w:pos="1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262. Appraisal rights, DE ST TI 8 § 262</w:t>
      </w:r>
    </w:p>
    <w:p>
      <w:pPr>
        <w:spacing w:after="0" w:line="200" w:lineRule="exact"/>
        <w:rPr>
          <w:rFonts w:ascii="Times New Roman" w:cs="Times New Roman" w:eastAsia="Times New Roman" w:hAnsi="Times New Roman"/>
          <w:sz w:val="18"/>
          <w:szCs w:val="18"/>
          <w:b w:val="1"/>
          <w:bCs w:val="1"/>
          <w:color w:val="auto"/>
        </w:rPr>
      </w:pPr>
    </w:p>
    <w:p>
      <w:pPr>
        <w:spacing w:after="0" w:line="366" w:lineRule="exact"/>
        <w:rPr>
          <w:rFonts w:ascii="Times New Roman" w:cs="Times New Roman" w:eastAsia="Times New Roman" w:hAnsi="Times New Roman"/>
          <w:sz w:val="18"/>
          <w:szCs w:val="18"/>
          <w:b w:val="1"/>
          <w:bCs w:val="1"/>
          <w:color w:val="auto"/>
        </w:rPr>
      </w:pPr>
    </w:p>
    <w:p>
      <w:pPr>
        <w:jc w:val="both"/>
        <w:ind w:left="180" w:hanging="10"/>
        <w:spacing w:after="0" w:line="254" w:lineRule="auto"/>
        <w:tabs>
          <w:tab w:leader="none" w:pos="43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subsection (a) of this section (but subject to this paragraph (d)(3)), a beneficial owner may, in such person's name, demand in writing an appraisal of such beneficial owner's shares in accordance with either paragraph (d) (1)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-1417955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8" w:lineRule="exact"/>
        <w:rPr>
          <w:sz w:val="20"/>
          <w:szCs w:val="20"/>
          <w:color w:val="auto"/>
        </w:rPr>
      </w:pPr>
    </w:p>
    <w:p>
      <w:pPr>
        <w:jc w:val="both"/>
        <w:ind w:firstLine="8"/>
        <w:spacing w:after="0" w:line="252" w:lineRule="auto"/>
        <w:tabs>
          <w:tab w:leader="none" w:pos="2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jc w:val="both"/>
        <w:ind w:firstLine="8"/>
        <w:spacing w:after="0" w:line="255" w:lineRule="auto"/>
        <w:tabs>
          <w:tab w:leader="none" w:pos="2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 2026 Thomson Reuters. No claim to original U.S. Government Works.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58"/>
        </w:trPr>
        <w:tc>
          <w:tcPr>
            <w:tcW w:w="87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668655" cy="1111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668655" cy="11112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 262. Appraisal rights, DE ST TI 8 § 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both"/>
        <w:ind w:firstLine="8"/>
        <w:spacing w:after="0" w:line="254" w:lineRule="auto"/>
        <w:tabs>
          <w:tab w:leader="none" w:pos="26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jc w:val="both"/>
        <w:ind w:firstLine="8"/>
        <w:spacing w:after="0" w:line="252"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spacing w:after="0" w:line="200" w:lineRule="exact"/>
        <w:rPr>
          <w:rFonts w:ascii="Times New Roman" w:cs="Times New Roman" w:eastAsia="Times New Roman" w:hAnsi="Times New Roman"/>
          <w:sz w:val="18"/>
          <w:szCs w:val="18"/>
          <w:color w:val="auto"/>
        </w:rPr>
      </w:pPr>
    </w:p>
    <w:p>
      <w:pPr>
        <w:spacing w:after="0" w:line="212" w:lineRule="exact"/>
        <w:rPr>
          <w:rFonts w:ascii="Times New Roman" w:cs="Times New Roman" w:eastAsia="Times New Roman" w:hAnsi="Times New Roman"/>
          <w:sz w:val="18"/>
          <w:szCs w:val="18"/>
          <w:color w:val="auto"/>
        </w:rPr>
      </w:pPr>
    </w:p>
    <w:p>
      <w:pPr>
        <w:jc w:val="both"/>
        <w:ind w:firstLine="8"/>
        <w:spacing w:after="0" w:line="261" w:lineRule="auto"/>
        <w:tabs>
          <w:tab w:leader="none" w:pos="23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spacing w:after="0" w:line="395" w:lineRule="exact"/>
        <w:rPr>
          <w:rFonts w:ascii="Times New Roman" w:cs="Times New Roman" w:eastAsia="Times New Roman" w:hAnsi="Times New Roman"/>
          <w:sz w:val="18"/>
          <w:szCs w:val="18"/>
          <w:color w:val="auto"/>
        </w:rPr>
      </w:pPr>
    </w:p>
    <w:p>
      <w:pPr>
        <w:jc w:val="both"/>
        <w:ind w:firstLine="8"/>
        <w:spacing w:after="0" w:line="256" w:lineRule="auto"/>
        <w:tabs>
          <w:tab w:leader="none" w:pos="23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 2026 Thomson Reuters. No claim to original U.S. Government Works.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58"/>
        </w:trPr>
        <w:tc>
          <w:tcPr>
            <w:tcW w:w="87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668655" cy="1117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668655" cy="11176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 262. Appraisal rights, DE ST TI 8 § 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both"/>
        <w:ind w:firstLine="8"/>
        <w:spacing w:after="0" w:line="252" w:lineRule="auto"/>
        <w:tabs>
          <w:tab w:leader="none" w:pos="2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w:t>
      </w:r>
    </w:p>
    <w:p>
      <w:pPr>
        <w:spacing w:after="0" w:line="200" w:lineRule="exact"/>
        <w:rPr>
          <w:rFonts w:ascii="Times New Roman" w:cs="Times New Roman" w:eastAsia="Times New Roman" w:hAnsi="Times New Roman"/>
          <w:sz w:val="18"/>
          <w:szCs w:val="18"/>
          <w:color w:val="auto"/>
        </w:rPr>
      </w:pPr>
    </w:p>
    <w:p>
      <w:pPr>
        <w:spacing w:after="0" w:line="211" w:lineRule="exact"/>
        <w:rPr>
          <w:rFonts w:ascii="Times New Roman" w:cs="Times New Roman" w:eastAsia="Times New Roman" w:hAnsi="Times New Roman"/>
          <w:sz w:val="18"/>
          <w:szCs w:val="18"/>
          <w:color w:val="auto"/>
        </w:rPr>
      </w:pPr>
    </w:p>
    <w:p>
      <w:pPr>
        <w:jc w:val="both"/>
        <w:ind w:firstLine="8"/>
        <w:spacing w:after="0" w:line="261" w:lineRule="auto"/>
        <w:tabs>
          <w:tab w:leader="none" w:pos="23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 Laws 1967, ch. 50. Amended by 56 Laws 1967, ch. 186, § 24; 57 Laws 1969, ch. 148, §§ 27-29; 59 Laws 1973, ch. 106, § 12; 60 Laws 1976, ch. 371,</w:t>
      </w:r>
    </w:p>
    <w:p>
      <w:pPr>
        <w:spacing w:after="0" w:line="9" w:lineRule="exact"/>
        <w:rPr>
          <w:sz w:val="20"/>
          <w:szCs w:val="20"/>
          <w:color w:val="auto"/>
        </w:rPr>
      </w:pPr>
    </w:p>
    <w:p>
      <w:pPr>
        <w:jc w:val="both"/>
        <w:ind w:firstLine="8"/>
        <w:spacing w:after="0" w:line="251" w:lineRule="auto"/>
        <w:tabs>
          <w:tab w:leader="none" w:pos="23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 63 Laws 1981, ch. 25, § 14; 63 Laws 1981, ch. 152, §§ 1, 2; 64 Laws 1983, ch. 112, §§ 46-54; 66 Laws 1987, ch. 136, §§ 30-32; 66 Laws 1988, ch. 352, § 9; 67 Laws 1990, ch. 376, §§ 19, 20; 68 Laws 1992, ch. 337, §§ 3, 4; 69 Laws 1993, ch. 61, § 10; 69 Laws 1994, ch. 262, §§ 1-9; 70 Laws 1995, ch. 79, § 16, eff. July 1, 1995; 70 Laws 1995, ch. 186, § 1; 70 Laws 1996, ch. 299, §§ 2, 3, eff. Feb. 1, 1996; 70 Laws 1996, ch. 349, § 22, eff. July 1, 1996; 71 Laws 1997, ch. 120, § 15, eff. July 1, 1997; 71 Laws 1998, ch. 339, §§ 49 to 52, eff. July 1, 1998; 73 Laws 2001, ch. 82, § 21, eff. July 1, 2001; 76 Laws 2007, ch. 145, §§ 11-16, eff. July 17, 2007; 77 Laws 2009, ch. 14, §§ 12, 13, eff. Aug. 1, 2009; 77 Laws 2010, ch. 253, §§ 47-50, eff. Aug. 1, 2010; 77 Laws 2010, ch. 290, §§ 16, 17, eff. Aug. 1, 2010; 79 Laws 2013, ch. 72, §§ 10, 11, eff. Aug. 1, 2013; 79 Laws 2013, ch. 122, §§ 6, 7, eff. Aug. 1, 2013; 80 Laws 2016, ch. 265, §§ 8 to 11, eff. Aug. 1, 2016; 81 Laws 2018, ch. 354, §§ 9, 10, eff. Aug. 1, 2018; 82 Laws 2019, ch. 45, § 15, eff. Aug. 1, 2019; 82 Laws 2020, ch. 256, § 15, eff. July 16, 2020; 83 Laws 2022, ch. 377, § 9, eff. July 27, 2022; 84 Laws 2023, ch. 98, § 9, eff. July 17,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Codifications: </w:t>
      </w:r>
      <w:r>
        <w:rPr>
          <w:rFonts w:ascii="Times New Roman" w:cs="Times New Roman" w:eastAsia="Times New Roman" w:hAnsi="Times New Roman"/>
          <w:sz w:val="18"/>
          <w:szCs w:val="18"/>
          <w:color w:val="auto"/>
        </w:rPr>
        <w:t>8 Del.C. 1953, § 262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Del.C. § 262, DE ST TI 8 § 262</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Current through ch. 550 of the 153rd General Assembly (2025-2026). Some statute sections may be more current, see credits for details. Revisions to 2026 Acts by the Delaware Code Revisors were unavailable at the time of 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 of Document</w:t>
            </w:r>
          </w:p>
        </w:tc>
        <w:tc>
          <w:tcPr>
            <w:tcW w:w="7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2026 Thomson Reuters. No claim to original U.S. Government Works.</w:t>
            </w:r>
          </w:p>
        </w:tc>
      </w:tr>
      <w:tr>
        <w:trPr>
          <w:trHeight w:val="486"/>
        </w:trPr>
        <w:tc>
          <w:tcPr>
            <w:tcW w:w="8780" w:type="dxa"/>
            <w:vAlign w:val="bottom"/>
            <w:tcBorders>
              <w:bottom w:val="single" w:sz="8" w:color="auto"/>
            </w:tcBorders>
            <w:gridSpan w:val="2"/>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r>
      <w:tr>
        <w:trPr>
          <w:trHeight w:val="263"/>
        </w:trPr>
        <w:tc>
          <w:tcPr>
            <w:tcW w:w="87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 2026 Thomson Reuters. No claim to original U.S. Government Works.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668655" cy="1111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668655" cy="11112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156845</wp:posOffset>
            </wp:positionV>
            <wp:extent cx="1397000" cy="925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139700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14,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Via email only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Ultralife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Phil Fain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Technology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Newark, NY 14513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Indication of Interest Dear Mr. Fain,</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EnerSys (“</w:t>
      </w:r>
      <w:r>
        <w:rPr>
          <w:rFonts w:ascii="Times New Roman" w:cs="Times New Roman" w:eastAsia="Times New Roman" w:hAnsi="Times New Roman"/>
          <w:sz w:val="18"/>
          <w:szCs w:val="18"/>
          <w:b w:val="1"/>
          <w:bCs w:val="1"/>
          <w:color w:val="auto"/>
        </w:rPr>
        <w:t>EnerSys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Acquirer</w:t>
      </w:r>
      <w:r>
        <w:rPr>
          <w:rFonts w:ascii="Times New Roman" w:cs="Times New Roman" w:eastAsia="Times New Roman" w:hAnsi="Times New Roman"/>
          <w:sz w:val="18"/>
          <w:szCs w:val="18"/>
          <w:color w:val="auto"/>
        </w:rPr>
        <w:t>”) is pleased to submit this letter expressing its formal interest in acquiring Ultralife Corporation (NASDAQ: ULBI) (“</w:t>
      </w:r>
      <w:r>
        <w:rPr>
          <w:rFonts w:ascii="Times New Roman" w:cs="Times New Roman" w:eastAsia="Times New Roman" w:hAnsi="Times New Roman"/>
          <w:sz w:val="18"/>
          <w:szCs w:val="18"/>
          <w:b w:val="1"/>
          <w:bCs w:val="1"/>
          <w:color w:val="auto"/>
        </w:rPr>
        <w:t>Ultralife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 We have long respected Ultralife’s attractive portfolio of products and technologies, deep industry expertise, and demonstrated record of innovation. We believe there is a compelling strategic and cultural fit between our organizations, and that a combination with EnerSys would provide Ultralife with a strong platform for continued growth, supporting the continued success of its business, advancing its technology and customer relationships, and creating meaningful opportunities for its employees.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facilitate a constructive dialogue and provide a basis for further substantive discussions, we are pleased to set forth in this letter a non-binding indication of interest (this “</w:t>
      </w:r>
      <w:r>
        <w:rPr>
          <w:rFonts w:ascii="Times New Roman" w:cs="Times New Roman" w:eastAsia="Times New Roman" w:hAnsi="Times New Roman"/>
          <w:sz w:val="18"/>
          <w:szCs w:val="18"/>
          <w:b w:val="1"/>
          <w:bCs w:val="1"/>
          <w:color w:val="auto"/>
        </w:rPr>
        <w:t>Indication of Interest</w:t>
      </w:r>
      <w:r>
        <w:rPr>
          <w:rFonts w:ascii="Times New Roman" w:cs="Times New Roman" w:eastAsia="Times New Roman" w:hAnsi="Times New Roman"/>
          <w:sz w:val="18"/>
          <w:szCs w:val="18"/>
          <w:color w:val="auto"/>
        </w:rPr>
        <w:t>”) for the acquisition of 100% of the outstanding shares of common stock, inclusive of all employee stock awards granted under your 2014 Long-Term Incentive Plan and 2024 Long-Term Incentive Plan (collectively,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that become fully and non-forfeitability exercisable concurrent with a Change in Control (as that term is defined in the Plan) of Ultralife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In this Indication of Interest, EnerSys and Ultralife are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Background on EnerSys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EnerSys is a global leader in advanced energy storage and power systems for mission-critical applications. With more than a century of battery expertise, EnerSys delivers integrated solutions that combine energy storage technologies, power electronics, software-enabled intelligence, technical expertise, and comprehensive global customer support. The EnerSys portfolio includes trusted brands such as Bren-Tronics®, NexSys®, Odyssey®, and Rebel™, serving customers across communications networks, warehouse and logistics, defense, transportation, industrial, and data center markets.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Today, EnerSys has more than 10,000 employees serving over 10,000 customers across 100 countries. EnerSys reported record net sales of $3.8 billion for fiscal year ending March 31, 2026 and currently has a market capitalization of approximately $8.0 billion.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EnerSys would be a highly attractive strategic partner for Ultralife, its management team, and its employees. We see a strong cultural alignment between the two organizations, with both companies emphasizing innovation, operational excellence, customer commitment, and collaboration. EnerSys has a demonstrated track record of successfully integrating acquired businesses while continuing to invest in their people, technologies, customer relationships, and long-term growth within a broader global platform.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Rationale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our evaluation of Ultralife’s public disclosures to date, we have developed a strong appreciation for Ultralife’s differentiated technologies, mission-critical product portfolio, and the impressive capabilities developed by its team. This view has been reinforced by members of our leadership team who previously worked at Ultralife and understand the business firsthand. We believe Ultralife is highly complementary to EnerSys and that a combination would create a compelling platform for continued innovation, customer support, and growth. Together, we believe EnerSys and Ultralife would be well positioned to:</w:t>
      </w:r>
    </w:p>
    <w:p>
      <w:pPr>
        <w:spacing w:after="0" w:line="183" w:lineRule="exact"/>
        <w:rPr>
          <w:sz w:val="20"/>
          <w:szCs w:val="20"/>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comprehensive portfolio of integrated, mission-critical power solutions by combining complementary products, engineering capabilities, and application-specific design expertise;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broader single-source power partner for defense customers, with expanded platform coverage, deeper program relationships, and enhanced offerings across existing and emerging defense applications;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a differentiated technology position in high-performance primary lithium battery solutions;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exposure to high-growth, well-funded defense priorities where reliable, ruggedized, and mission-critical power solutions are increasingly essential;</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Deepen the combined company’s relationships with the U.S. Department of War and other allied defense customers across a broader mission-critical power portfolio;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8" w:name="page49"/>
    <w:bookmarkEnd w:id="48"/>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 a resilient, U.S.-aligned defense supply chain for critical battery and power solutions.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proposed combination would build naturally on EnerSys’ acquisitions of Bren-Tronics and Rebel and further advance our position as a comprehensive provider of mission-critical power systems to the defense market. We believe the combination would create a stronger and more capable platform for customers while providing Ultralife with a committed strategic partner to support its technologies, customer relationships, and employees over the long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this Indication of Interest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Subject to completion of due diligence satisfactory to Acquirer, the negotiation of a definitive written agreement and plan of merger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w:t>
      </w:r>
      <w:r>
        <w:rPr>
          <w:rFonts w:ascii="Times New Roman" w:cs="Times New Roman" w:eastAsia="Times New Roman" w:hAnsi="Times New Roman"/>
          <w:sz w:val="18"/>
          <w:szCs w:val="18"/>
          <w:color w:val="auto"/>
        </w:rPr>
        <w:t>t”) and related agreements (collectively, the “</w:t>
      </w:r>
      <w:r>
        <w:rPr>
          <w:rFonts w:ascii="Times New Roman" w:cs="Times New Roman" w:eastAsia="Times New Roman" w:hAnsi="Times New Roman"/>
          <w:sz w:val="18"/>
          <w:szCs w:val="18"/>
          <w:b w:val="1"/>
          <w:bCs w:val="1"/>
          <w:color w:val="auto"/>
        </w:rPr>
        <w:t>Definitive Agreements</w:t>
      </w:r>
      <w:r>
        <w:rPr>
          <w:rFonts w:ascii="Times New Roman" w:cs="Times New Roman" w:eastAsia="Times New Roman" w:hAnsi="Times New Roman"/>
          <w:sz w:val="18"/>
          <w:szCs w:val="18"/>
          <w:color w:val="auto"/>
        </w:rPr>
        <w:t>”) for the Business Combination satisfactory to the Parties,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of Acquirer’s board of directors, and based on the information currently known to Acquirer, the following reflects certain proposed terms of the Business Combination:</w:t>
      </w:r>
    </w:p>
    <w:p>
      <w:pPr>
        <w:spacing w:after="0" w:line="176"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Basic Transaction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tax and corporate structuring and analysis, the Business Combination is proposed to be structured as either a one-step merger or two-step merger with a tender offer followed by a back-end merger of a wholly owned subsidiary of Acquirer with Target, with the merger subsidiary continuing as the surviving corporation and a wholly owned subsidiary of Acquirer.</w:t>
      </w:r>
    </w:p>
    <w:p>
      <w:pPr>
        <w:spacing w:after="0" w:line="172"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of Merger and Merger Consideration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financial and other diligence, stockholders of Target are anticipated to receive as merger consideration per share amount in cash to be determined and set forth in the Merger Agreement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This all-cash Offer will be negotiated and determined with the goal of providing Ultralife shareholders with attractive, immediate, and certain value that recognizes both the Company’s future performance potential and the value creation opportunities that we believe could be realized through a combination.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Business Combination is not expected to be subject to a financing contingency. EnerSys has a strong balance sheet with significant liquidity and debt capacity, enabling us to expeditiously fund the entire Business Combination using a combination of cash and existing debt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Employees and Integration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Ultralife’s employees will be integral to the long-term success of the combined company. EnerSys has a demonstrated history of supporting acquired businesses and providing their employees with meaningful leadership, development, and growth opportunities across our global organization. At the appropriate time, we would welcome the opportunity to discuss approaches to retaining key talent and thoughtfully integrating our respective teams in a manner that supports continuity, minimizes disruption, and positions the combined business for success. Our objective would be to ensure that Ultralife’s employees are supported and have the opportunity to continue developing and prospering within the EnerSys organization.</w:t>
      </w:r>
    </w:p>
    <w:p>
      <w:pPr>
        <w:spacing w:after="0" w:line="179"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Due Diligence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Indication of Interest is based on publicly available information regarding Ultralife, as well as EnerSys’ knowledge of the broader industry. Given our significant M&amp;A experience, we would expect to conduct a focused and efficient due diligence process designed to minimize the time and resources required of Ultralife’s management team. To that end, we would provide targeted data requests and seek a limited number of meetings with key members of Ultralife’s management team.</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due diligence effort would be led by a limited group of senior executives from relevant business and functional areas with substantial acquisition experience. We have also engaged financial and legal advisors who are prepared to support us in connection with the Business Combination. EnerSys anticipates completing its due diligence review and negotiating definitive transaction documents within approximately 30 days following receipt of access to diligence materials and management meetings and, subject to satisfactory completion of due diligence and receipt of all required approvals, would target signing and closing the transaction as promptly as reasonably practicable thereafter.</w:t>
      </w:r>
    </w:p>
    <w:p>
      <w:pPr>
        <w:spacing w:after="0" w:line="395"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 Covenants; and Closing Conditions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Merger Agreement will contain representations and warranties, covenants, and closing conditions customary for a transaction such as the Business Combination, including a condition that the Parties have received all required HSR or other regulatory approvals, if applicable (or the expiration of the applicable waiting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0" w:name="page51"/>
    <w:bookmarkEnd w:id="50"/>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Approval By Boards of Directors and Stockholders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Acquirer’s senior management team is enthusiastic about the potential Business Combination. The approval of Acquirer’s Board of Directors is required prior to execution of any Definitive Agreements. We expect that the Business Combination shall be submitted for approval to Ultralife’s Board of Directors and Stockholders.</w:t>
      </w:r>
    </w:p>
    <w:p>
      <w:pPr>
        <w:spacing w:after="0" w:line="172" w:lineRule="exact"/>
        <w:rPr>
          <w:sz w:val="20"/>
          <w:szCs w:val="20"/>
          <w:color w:val="auto"/>
        </w:rPr>
      </w:pPr>
    </w:p>
    <w:p>
      <w:pPr>
        <w:ind w:left="180" w:hanging="172"/>
        <w:spacing w:after="0"/>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Survival of Representations and Warranties; Indemnification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representations and warranties of the Parties and the covenants of the Parties required to be performed at or prior to Closing shall not survive the Closing. The Merger Agreement and all other agreements, letters and other documents executed and delivered in connection with the Business Combination, shall not contain any indemnification provisions regarding breaches of such representations, warranties and covenants.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Paragraph is the legally binding and enforceable agreement of the Parties.</w:t>
      </w:r>
    </w:p>
    <w:p>
      <w:pPr>
        <w:spacing w:after="0" w:line="225" w:lineRule="exact"/>
        <w:rPr>
          <w:sz w:val="20"/>
          <w:szCs w:val="20"/>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Information</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course of discussing the possible Business Combination, each Party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may make available and disclose to the other Party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information and materials, which are confidential, proprietary or which are considered to be a trade secret (hereinafter collectively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Information includes, but is not limited to, the discussion of the possible Business Combination, knowledge, information, samples, forecasts, financial information, current or historical data, computer programs, documentation, market and business research, studies and plans relating to employees or customers, suppliers or other vendors, particular products, machines, devices, processes, or services, such as, but not limited to,</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designs, formulae, manufacturing, assembly and user maintenance information, drawings, construction, performance and other specifications, materials and material specifications, procurement specifications, processes, methods, practices, know-how, show-how, electronic and computer files, notes, minutes and other technical and planning summaries, and all other information of the Disclosing Party, whether received on or after the date of this Indication of Interest, no matter how it is received or conveyed.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1" w:name="page52"/>
    <w:bookmarkEnd w:id="51"/>
    <w:p>
      <w:pPr>
        <w:jc w:val="both"/>
        <w:spacing w:after="0" w:line="253" w:lineRule="auto"/>
        <w:rPr>
          <w:sz w:val="20"/>
          <w:szCs w:val="20"/>
          <w:color w:val="auto"/>
        </w:rPr>
      </w:pPr>
      <w:r>
        <w:rPr>
          <w:rFonts w:ascii="Times New Roman" w:cs="Times New Roman" w:eastAsia="Times New Roman" w:hAnsi="Times New Roman"/>
          <w:sz w:val="18"/>
          <w:szCs w:val="18"/>
          <w:color w:val="auto"/>
        </w:rPr>
        <w:t>Both Parties acknowledge that the Information may contain material non-public information about the other Party and its business operations. Each Party expressly agrees that, during the period beginning on the date hereof until the date that is two years following the date hereof, it will not disclose any material non-public information about the Disclosing Party to any other person other than its directors, officers, employees, agents, potential and actual financing sources, advisors (including financial advisors, consultants, accountants and legal counsel) and affiliates and its affiliates' respective directors, officers and employees (collectively,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who (a) have a need to know such Information for purposes of evaluating and discussing a possible Business Combination and (b) have been made aware of the confidentiality and nonuse obligations of this Paragraph as it relates to Information. The degree of care used in protection of the Information shall meet reasonable commercial standards and shall in no event be less than the degree of care that the Receiving Party applies to its own confidential or proprietary materials. In addition, Receiving Party agrees to not engage in any transactions involving the securities of the Disclosing Party while in possession of any material non-public information concerning the Disclosing Party or its business operations.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Information supplied, including new product data, customer lists, marketing data, competitive information, documents and other information, including without limitation, tangible items of the Information that the Disclosing Party deems to be confidential, shall be and remain the property of the Disclosing Party and will not be used by the Receiving Party except as expressly authorized by this Indication of Interest. The Receiving Party agrees to not reverse engineer, reverse assemble or decompile the Disclosing Party’s products or Information.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Receiving Party shall be responsible for any breach of confidentiality by its Representatives, unless such Representative has executed a separate confidentiality agreement for the benefit of the Disclosing Party. The Receiving Party shall use commercially reasonable efforts to return or destroy and cause its Representatives to return or destroy, all Information of the Disclosing Party upon written request of the Disclosing Party. The above restrictions shall not apply to Information (a) developed by the Receiving Party or its Representative independently of the Disclosing Party’s Information and can be proven as such by the Receiving Party; (b) obtained without restriction by the Receiving Party or its Representative from a third party who had a legal right to make the disclosure; (c) publicly available other than through a breach of this Agreement by the Receiving Party or its Representatives; or (d) known to the Receiving Party or its Representative at the time of its disclosure, without an existing duty to protect the Information, as proven by evidence of such Information in the Receiving Party's files dated prior to the date of this Indication of Interest. Unless specifically authorized in writing by the Disclosing Party, the Receiving Party shall use Information solely for the purpose of evaluating and discussing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jc w:val="both"/>
        <w:spacing w:after="0" w:line="261" w:lineRule="auto"/>
        <w:rPr>
          <w:sz w:val="20"/>
          <w:szCs w:val="20"/>
          <w:color w:val="auto"/>
        </w:rPr>
      </w:pPr>
      <w:r>
        <w:rPr>
          <w:rFonts w:ascii="Times New Roman" w:cs="Times New Roman" w:eastAsia="Times New Roman" w:hAnsi="Times New Roman"/>
          <w:sz w:val="18"/>
          <w:szCs w:val="18"/>
          <w:color w:val="auto"/>
        </w:rPr>
        <w:t>No license is granted or implied by this Indication of Interest or by the provision of any Information furnished, relating to any trade secret, inventions, patents, patent applications, or copyrights now or hereafter obtained. Neither this Indication of Interest nor any Information furnished shall constitute a warranty or representation by either Party to the other regarding the accuracy, completeness or reliability of such Information, or with respect to the infringement of patent, copyright or other right of third parties, unless such warranty is expressly made in a subsequent agreement between the Parties.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Nothing in this Agreement shall grant to either Party the right to use any copyright, trade name or mark of the other Party in connection with any product, promotion or publication without the written consent of the other Party.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Receiving Party or its Representative is required to disclose by applicable law or to comply with any stock exchange or stock association rule any Information, then the Receiving Party or its Representative shall give prior written notice thereof to the Disclosing Party, to the extent permissible by law, and shall endeavor to afford the Disclosing Party the opportunity to take appropriate legal or other action in response to such.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EnerSys shall not solicit for employment or hire any Ultralife employees for a period of two (2) years after the date of this Indication of Interest.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EnerSys shall not, directly or indirectly, except in collaboration with or with the prior express written consent of Ultralife (a) enter into any transaction with any customer disclosed to, or introduced to, EnerSys by Ultralife (a “</w:t>
      </w:r>
      <w:r>
        <w:rPr>
          <w:rFonts w:ascii="Times New Roman" w:cs="Times New Roman" w:eastAsia="Times New Roman" w:hAnsi="Times New Roman"/>
          <w:sz w:val="18"/>
          <w:szCs w:val="18"/>
          <w:b w:val="1"/>
          <w:bCs w:val="1"/>
          <w:color w:val="auto"/>
        </w:rPr>
        <w:t>Restricted Customer</w:t>
      </w:r>
      <w:r>
        <w:rPr>
          <w:rFonts w:ascii="Times New Roman" w:cs="Times New Roman" w:eastAsia="Times New Roman" w:hAnsi="Times New Roman"/>
          <w:sz w:val="18"/>
          <w:szCs w:val="18"/>
          <w:color w:val="auto"/>
        </w:rPr>
        <w:t>”) which could have the effect of preventing Ultralife from receiving the full benefit of Ultralife’s current relationship with such Restricted Customer, or (b) solicit a Restricted Customer to enter into any such transaction. Notwithstanding the foregoing, EnerSys shall not be prohibited from conducting business with any customer with whom it currently has a material level of sales as of the date of this Indication of Interest, provided that (i) Enersys does not use any of Ultralife’s Confidential Information, and (ii) the conduct of such business with any Restricted Customer does not reduce the amount of sales between Ultralife and such Restricted Customer, except where the parties are engaged in competitive bidding or public procurement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The following Paragraph is the legally binding and enforceable agreement of the Parties.</w:t>
      </w:r>
    </w:p>
    <w:p>
      <w:pPr>
        <w:spacing w:after="0" w:line="225" w:lineRule="exact"/>
        <w:rPr>
          <w:sz w:val="20"/>
          <w:szCs w:val="20"/>
          <w:color w:val="auto"/>
        </w:rPr>
      </w:pPr>
    </w:p>
    <w:p>
      <w:pPr>
        <w:ind w:left="180" w:hanging="172"/>
        <w:spacing w:after="0"/>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Public Disclosure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Without the prior written consent of the other Party, and unless required by law, rule or regulation or policy of any national securities exchange or similar regulatory body, neither Party shall make any disclosure (orally or in writing) prior to any consummation of the Business Combination regarding (a) the existence of or identity of the Parties, (b) the fact that Target and Acquirer are engaged in discussions or negotiations with respect to the proposed Business Combination and the fact that either Party has provided information to the other Party for its review, or (c) the subject matter or terms of this Indication of Interest. If a Party is required by law to make such a disclosure, it will (i) provide the other Party with prompt written notice prior to making such disclosure, and to the extent legally permissible the scope of the information that the disclosing Party intends to disclose, (ii) provide such other Party a reasonable opportunity to interpose an objection or obtain a protective order requiring that the Information so disclosed be used only for the purposes for which the order was issued, (iii) cooperate fully with the efforts of such other Party under</w:t>
      </w:r>
    </w:p>
    <w:p>
      <w:pPr>
        <w:spacing w:after="0" w:line="1" w:lineRule="exact"/>
        <w:rPr>
          <w:sz w:val="20"/>
          <w:szCs w:val="20"/>
          <w:color w:val="auto"/>
        </w:rPr>
      </w:pPr>
    </w:p>
    <w:p>
      <w:pPr>
        <w:ind w:left="280" w:hanging="272"/>
        <w:spacing w:after="0"/>
        <w:tabs>
          <w:tab w:leader="none" w:pos="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as requested by such other Party, and (iv) minimize the extent of any such disclosure to the extent legally permitted.</w:t>
      </w:r>
    </w:p>
    <w:p>
      <w:pPr>
        <w:spacing w:after="0" w:line="20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b w:val="1"/>
          <w:bCs w:val="1"/>
          <w:color w:val="auto"/>
        </w:rPr>
        <w:t>Non-Binding; Effect of Letter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Except for Paragraphs 8 and 9 above and Paragraph 12 below, the provisions set forth in this Indication of Interest shall not be binding upon the Parties, and this Indication of Interest is an expression of intent only. The statements of intent or understanding contained herein shall not be deemed to constitute any offer, acceptance or legally binding agreement, and such statements do not create any rights or obligations for or on the part of any Party to this Indication of Interest. Each Party understands and agrees that no contract or agreement providing for any transaction between them shall be deemed to exist between them unless and until the Merger Agreement and all other Definitive Agreements required to be executed concurrently with the Merger Agreement have been executed and delivered. Each of Acquirer and Target agrees that neither will be under any legal obligation of any kind with respect to the Business Combination by virtue of this Indication of Interest, or any legal obligation to enter into any business or contractual relationship, investment or transaction by virtue of this Indication of Interest. In furtherance of the foregoing and for the avoidance of doubt, no obligation shall be created by this Indication of Interest for any party to negotiate in good faith (or any other standard that may be applicable under law) and each of the Parties (on behalf of itself and each of its Representatives) expressly waives and covenants not to sue in connection with the failure by any person to negotiate the Business Combination or the Definitive Agreements or any other transaction or agreements (whether in good faith or otherwise). Either Party may at any time, in its sole discretion, terminate the discussions and negotiations with the other Party in connection with the proposed Business Combination.</w:t>
      </w:r>
    </w:p>
    <w:p>
      <w:pPr>
        <w:spacing w:after="0" w:line="186" w:lineRule="exact"/>
        <w:rPr>
          <w:sz w:val="20"/>
          <w:szCs w:val="20"/>
          <w:color w:val="auto"/>
        </w:rPr>
      </w:pPr>
    </w:p>
    <w:p>
      <w:pPr>
        <w:ind w:left="280" w:hanging="272"/>
        <w:spacing w:after="0"/>
        <w:tabs>
          <w:tab w:leader="none" w:pos="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The following Paragraph is the legally binding and enforceable agreement of the Parties.</w:t>
      </w:r>
    </w:p>
    <w:p>
      <w:pPr>
        <w:spacing w:after="0" w:line="225" w:lineRule="exact"/>
        <w:rPr>
          <w:sz w:val="20"/>
          <w:szCs w:val="20"/>
          <w:color w:val="auto"/>
        </w:rPr>
      </w:pPr>
    </w:p>
    <w:p>
      <w:pPr>
        <w:ind w:left="280" w:hanging="272"/>
        <w:spacing w:after="0"/>
        <w:tabs>
          <w:tab w:leader="none" w:pos="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 Jurisdiction; Remedies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Indication of Interest shall be governed by and construed in accordance with the laws of the State of Delaware, without regard to the conflict of laws principles thereof to the extent that such principles would permit or require the application of the laws of another jurisdiction, and the Parties consent to the exclusive jurisdiction of the Delaware Court of Chancery (as well as to any courts to which an appeal may be taken from the Delaware Court of Chancery), for all disputes related hereto (or, if for any reason it shall be determined by such court that it does not have subject matter jurisdiction, any state or federal court in the State of Delaware). The Parties shall be entitled to seek equitable relief by way of one or more preliminary or permanent injunctions (i) restraining any act which would constitute a breach of Paragraphs 8 or 9 above or this Paragraph 12 or (ii) compelling the performance of any obligation which, if not performed, would constitute a breach Paragraphs 8 or 9 above and/or this Paragraph 12, if the other Party breaches or threatens to breach any of Paragraphs 8 or 9 above and/or this Paragraph 12. Each Party agrees to waive any requirement for the securing or posting of any bond in connection with such remedy. All other remedies available to the non-breaching Party at law or in equity are in addition to the remedies under this Paragraph 12. If either Party brings suit in order to enforce the terms of Paragraphs 8 or 9 above or this Paragraph 12, then the prevailing Party shall be entitled to recover its costs of suit, including the reasonable fees of its counsel. The Party bringing suit will be deemed to be the prevailing Party (i) in a case where only damages are sought, if all or any portion of those damages are awarded; (ii) in a case where only equitable relief is sought, if the relief sought is granted (each application for equitable relief being considered for this purpose as a separate action), or (iii) in a case where both damages or equitable relief are sought, if either all or a portion of the damages are awarded or any of the equitable relief sought is granted. The Party defending suit will be deemed to be the prevailing Party (i) in a case where only damages are sought, if no portion of those damages are awarded; (ii) in a case where only equitable relief is sought, if the relief sought is not granted (each application for equitable relief being considered for this purpose as a separate action), or (iii) in a case where both damages or equitable relief are sought, if no portion of the damages are awarded and none of the equitable relief sought is granted. EACH OF THE PARTIES HERETO HEREBY WAIVES ANY RIGHT TO A TRIAL BY JURY IN ANY LAWSUIT, PROCEEDING OR ACTION TO ENFORCE OR DEFEND ANY RIGHT OR OBLIGATION UNDER THIS INDICATION OF INTEREST AND AGREES THAT ANY LAWSUIT, PROCEEDING OR ACTION WILL BE TRIED BEFORE A COURT AND NOT BEFORE A 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the proposed Business Combination contemplated by this Indication of Interest will represent a compelling opportunity for Ultralife, its shareholders, employees, customers, and other stakeholders. As discussed, EnerSys is committed to pursuing the potential Business Combination in a friendly, constructive, and efficient manner. We would welcome the opportunity to discuss our proposal in greater detail and to coordinate a mutually convenient time to review next steps. The proposed Business Combination is a high priority for EnerSys, and we look forward to your timely response.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Should you have any questions regarding this letter, please contact John Andrews, Director of Strategy and M&amp;A, by email at john.andrews@enersys.com or by phone at (835) 259-8353.</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259840" cy="522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125984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17145</wp:posOffset>
            </wp:positionV>
            <wp:extent cx="411480" cy="3600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411480" cy="3600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Strategy and M&amp;A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Acknowledged and accepted as of </w:t>
      </w:r>
      <w:r>
        <w:rPr>
          <w:rFonts w:ascii="Times New Roman" w:cs="Times New Roman" w:eastAsia="Times New Roman" w:hAnsi="Times New Roman"/>
          <w:sz w:val="18"/>
          <w:szCs w:val="18"/>
          <w:u w:val="single" w:color="auto"/>
          <w:color w:val="auto"/>
        </w:rPr>
        <w:t>July 14,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ULTRALIFE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17145</wp:posOffset>
            </wp:positionV>
            <wp:extent cx="1097280" cy="5314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1097280" cy="53149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Phil Fain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17145</wp:posOffset>
            </wp:positionV>
            <wp:extent cx="14141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1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CFO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14230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(e)(6)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LONG-TERM INCENTIVE PLAN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July 16,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 </w:t>
      </w:r>
      <w:r>
        <w:rPr>
          <w:rFonts w:ascii="Times New Roman" w:cs="Times New Roman" w:eastAsia="Times New Roman" w:hAnsi="Times New Roman"/>
          <w:sz w:val="18"/>
          <w:szCs w:val="18"/>
          <w:b w:val="1"/>
          <w:bCs w:val="1"/>
          <w:i w:val="1"/>
          <w:iCs w:val="1"/>
          <w:color w:val="auto"/>
        </w:rPr>
        <w:t>Purpose.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June 10, 2014, Ultralife Corporation (hereinafter the “Corporation”) adopted a long-term incentive plan known as the Ultralife 2014 Long-Term Incentive Plan (the “Predecessor Plan”). The Corporation’s right to issue awards under the terms of the Predecessor Plan expires by its terms on June 2, 2024. All awards granted pursuant to the terms of the Predecessor Plan shall continue in full force and effect according to their respective terms. The Ultralife Corporation 2024 Long-Term Incentive Plan (hereinafter the “Plan”) replaces the Predecessor Plan and provides the Corporation a vehicle which will enable it to provide Employees, Directors and Consultants who provide services to the Corporation and its Subsidiaries, and who are in a position to contribute to the long-term success of the Corporation, with equity based incentive awards in accordance with the terms specified herein. The Corporation believes that the incentive program which is available to the Corporation under the terms of the Plan will cause those persons to increase their interest in the Corporation’s welfare and aid in attracting and retaining Employees, Directors and Consultants of outstanding ability.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2. </w:t>
      </w:r>
      <w:r>
        <w:rPr>
          <w:rFonts w:ascii="Times New Roman" w:cs="Times New Roman" w:eastAsia="Times New Roman" w:hAnsi="Times New Roman"/>
          <w:sz w:val="18"/>
          <w:szCs w:val="18"/>
          <w:b w:val="1"/>
          <w:bCs w:val="1"/>
          <w:i w:val="1"/>
          <w:i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context clearly indicates otherwise, the following terms, when used in the Plan, shall have the meanings set forth in this Section 2:</w:t>
      </w:r>
    </w:p>
    <w:p>
      <w:pPr>
        <w:spacing w:after="0" w:line="223" w:lineRule="exact"/>
        <w:rPr>
          <w:sz w:val="20"/>
          <w:szCs w:val="20"/>
          <w:color w:val="auto"/>
        </w:rPr>
      </w:pPr>
    </w:p>
    <w:p>
      <w:pPr>
        <w:jc w:val="both"/>
        <w:ind w:firstLine="656"/>
        <w:spacing w:after="0" w:line="267" w:lineRule="auto"/>
        <w:tabs>
          <w:tab w:leader="none" w:pos="102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“Award</w:t>
      </w:r>
      <w:r>
        <w:rPr>
          <w:rFonts w:ascii="Times New Roman" w:cs="Times New Roman" w:eastAsia="Times New Roman" w:hAnsi="Times New Roman"/>
          <w:sz w:val="18"/>
          <w:szCs w:val="18"/>
          <w:color w:val="auto"/>
        </w:rPr>
        <w:t>” shall mean any Option, SAR, Stock Award, Restricted Stock Units or other incentive award granted under the Plan, whether singly,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combination, or in tandem, to a Grantee by the Committee pursuant to such terms, conditions, restrictions and/or limitations, if any, as the Committee may establish by the Award Agreement or otherwise.</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108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shall mean the document establishing the terms, conditions, restrictions and limitations of an Award in addition to those established by the Plan and by the Committee’s exercise of its administrative powers.</w:t>
      </w:r>
    </w:p>
    <w:p>
      <w:pPr>
        <w:spacing w:after="0" w:line="15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shall mean the Board of Directors of the Corporation.</w:t>
      </w:r>
    </w:p>
    <w:p>
      <w:pPr>
        <w:spacing w:after="0" w:line="225"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CEO</w:t>
      </w:r>
      <w:r>
        <w:rPr>
          <w:rFonts w:ascii="Times New Roman" w:cs="Times New Roman" w:eastAsia="Times New Roman" w:hAnsi="Times New Roman"/>
          <w:sz w:val="18"/>
          <w:szCs w:val="18"/>
          <w:color w:val="auto"/>
        </w:rPr>
        <w:t>” shall mean the Chief Executive Officer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jc w:val="both"/>
        <w:ind w:firstLine="656"/>
        <w:spacing w:after="0" w:line="254" w:lineRule="auto"/>
        <w:tabs>
          <w:tab w:leader="none" w:pos="10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shall mean the occurrence of any of the following: (i) any “person” (as such term is used in Sections 13(d) and 14(d) of the Exchange Act (hereinafter a “Person”)) is or becomes a “beneficial owner” (as defined in Rule l3d-3 under the Exchange Act (hereinafter a “Beneficial Owner”), directly or indirectly, of securities of the Corporation representing more than fifty percent (50%) of the voting power of the then outstanding securities of the Corporation; and (ii) the consummation of (A) a merger or consolidation of the Corporation with another corporation where the stockholders of such other corporation, immediately after the merger or consolidation, own shares entitling such stockholders to more than fifty percent (50%) of all votes (without consideration of the rights of any class of stock to elect Directors by separate class vote) to which all stockholders of the corporation issuing cash or securities in the merger or consolidation would be entitled in the election of directors or where the members of the board of directors of such corporation, immediately after the merger or consolidation, constitute a majority of the board of directors of the corporation issuing cash or securities in the merger or consolidation, or (B) the sale or other disposition of all or substantially all the assets of the Corporation, or a liquidation, dissolution or statutory exchange of the Corporation.</w:t>
      </w:r>
    </w:p>
    <w:p>
      <w:pPr>
        <w:spacing w:after="0" w:line="185"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shall mean the Internal Revenue Code of 1986 as it may be amended from time to time.</w:t>
      </w:r>
    </w:p>
    <w:p>
      <w:pPr>
        <w:spacing w:after="0" w:line="22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 Section 409A</w:t>
      </w:r>
      <w:r>
        <w:rPr>
          <w:rFonts w:ascii="Times New Roman" w:cs="Times New Roman" w:eastAsia="Times New Roman" w:hAnsi="Times New Roman"/>
          <w:sz w:val="18"/>
          <w:szCs w:val="18"/>
          <w:color w:val="auto"/>
        </w:rPr>
        <w:t>” shall mean Section 409A of the Code, and the regulations and authoritative guidance promulgated thereunder.</w:t>
      </w:r>
    </w:p>
    <w:p>
      <w:pPr>
        <w:spacing w:after="0" w:line="225" w:lineRule="exact"/>
        <w:rPr>
          <w:rFonts w:ascii="Times New Roman" w:cs="Times New Roman" w:eastAsia="Times New Roman" w:hAnsi="Times New Roman"/>
          <w:sz w:val="18"/>
          <w:szCs w:val="18"/>
          <w:color w:val="auto"/>
        </w:rPr>
      </w:pPr>
    </w:p>
    <w:p>
      <w:pPr>
        <w:jc w:val="both"/>
        <w:ind w:left="20" w:firstLine="654"/>
        <w:spacing w:after="0" w:line="261" w:lineRule="auto"/>
        <w:tabs>
          <w:tab w:leader="none" w:pos="110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shall mean the Compensation and Management Committee of the Board, or such other Board committee as may be designated by the Board to administer the Plan; provided that the Committee shall consist of not less than two Directors who are “Non-Employee Directors,” as that term is defined and interpreted pursuant to Rule l6b-3 under the Exchange Act. The Committee shall be appointed by and serve at the pleasure of the Board.</w:t>
      </w:r>
    </w:p>
    <w:p>
      <w:pPr>
        <w:spacing w:after="0" w:line="179" w:lineRule="exact"/>
        <w:rPr>
          <w:rFonts w:ascii="Times New Roman" w:cs="Times New Roman" w:eastAsia="Times New Roman" w:hAnsi="Times New Roman"/>
          <w:sz w:val="18"/>
          <w:szCs w:val="18"/>
          <w:color w:val="auto"/>
        </w:rPr>
      </w:pPr>
    </w:p>
    <w:p>
      <w:pPr>
        <w:ind w:left="1120" w:hanging="446"/>
        <w:spacing w:after="0"/>
        <w:tabs>
          <w:tab w:leader="none" w:pos="11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Consultant</w:t>
      </w:r>
      <w:r>
        <w:rPr>
          <w:rFonts w:ascii="Times New Roman" w:cs="Times New Roman" w:eastAsia="Times New Roman" w:hAnsi="Times New Roman"/>
          <w:sz w:val="18"/>
          <w:szCs w:val="18"/>
          <w:color w:val="auto"/>
        </w:rPr>
        <w:t>” shall mean any consultant, advisor or independent contractor retained by the Corporation or its Subsidiaries.</w:t>
      </w:r>
    </w:p>
    <w:p>
      <w:pPr>
        <w:spacing w:after="0" w:line="225" w:lineRule="exact"/>
        <w:rPr>
          <w:rFonts w:ascii="Times New Roman" w:cs="Times New Roman" w:eastAsia="Times New Roman" w:hAnsi="Times New Roman"/>
          <w:sz w:val="18"/>
          <w:szCs w:val="18"/>
          <w:color w:val="auto"/>
        </w:rPr>
      </w:pPr>
    </w:p>
    <w:p>
      <w:pPr>
        <w:jc w:val="both"/>
        <w:ind w:left="20" w:firstLine="654"/>
        <w:spacing w:after="0" w:line="284" w:lineRule="auto"/>
        <w:tabs>
          <w:tab w:leader="none" w:pos="113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 Person</w:t>
      </w:r>
      <w:r>
        <w:rPr>
          <w:rFonts w:ascii="Times New Roman" w:cs="Times New Roman" w:eastAsia="Times New Roman" w:hAnsi="Times New Roman"/>
          <w:sz w:val="18"/>
          <w:szCs w:val="18"/>
          <w:color w:val="auto"/>
        </w:rPr>
        <w:t>” shall mean any person who, as of the date of grant of an Option, owns (within the meaning of Section 422A(b)(6) of the Code) stock possessing more than l0% of the total combined voting power or value of all classes of stock of the Corporation or of any Parent or Subsidiary.</w:t>
      </w:r>
    </w:p>
    <w:p>
      <w:pPr>
        <w:spacing w:after="0" w:line="158" w:lineRule="exact"/>
        <w:rPr>
          <w:rFonts w:ascii="Times New Roman" w:cs="Times New Roman" w:eastAsia="Times New Roman" w:hAnsi="Times New Roman"/>
          <w:sz w:val="18"/>
          <w:szCs w:val="18"/>
          <w:color w:val="auto"/>
        </w:rPr>
      </w:pPr>
    </w:p>
    <w:p>
      <w:pPr>
        <w:ind w:left="1100" w:hanging="426"/>
        <w:spacing w:after="0"/>
        <w:tabs>
          <w:tab w:leader="none" w:pos="11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shall mean Ultralife Corporation, a Delaware corporation.</w:t>
      </w:r>
    </w:p>
    <w:p>
      <w:pPr>
        <w:spacing w:after="0" w:line="225" w:lineRule="exact"/>
        <w:rPr>
          <w:rFonts w:ascii="Times New Roman" w:cs="Times New Roman" w:eastAsia="Times New Roman" w:hAnsi="Times New Roman"/>
          <w:sz w:val="18"/>
          <w:szCs w:val="18"/>
          <w:color w:val="auto"/>
        </w:rPr>
      </w:pPr>
    </w:p>
    <w:p>
      <w:pPr>
        <w:ind w:left="1120" w:hanging="446"/>
        <w:spacing w:after="0"/>
        <w:tabs>
          <w:tab w:leader="none" w:pos="11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18"/>
          <w:szCs w:val="18"/>
          <w:color w:val="auto"/>
        </w:rPr>
        <w:t>” shall mean any member of the Board.</w:t>
      </w:r>
    </w:p>
    <w:p>
      <w:pPr>
        <w:spacing w:after="0" w:line="225" w:lineRule="exact"/>
        <w:rPr>
          <w:rFonts w:ascii="Times New Roman" w:cs="Times New Roman" w:eastAsia="Times New Roman" w:hAnsi="Times New Roman"/>
          <w:sz w:val="18"/>
          <w:szCs w:val="18"/>
          <w:color w:val="auto"/>
        </w:rPr>
      </w:pPr>
    </w:p>
    <w:p>
      <w:pPr>
        <w:jc w:val="both"/>
        <w:ind w:left="20" w:firstLine="654"/>
        <w:spacing w:after="0" w:line="261" w:lineRule="auto"/>
        <w:tabs>
          <w:tab w:leader="none" w:pos="113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Delay Period</w:t>
      </w:r>
      <w:r>
        <w:rPr>
          <w:rFonts w:ascii="Times New Roman" w:cs="Times New Roman" w:eastAsia="Times New Roman" w:hAnsi="Times New Roman"/>
          <w:sz w:val="18"/>
          <w:szCs w:val="18"/>
          <w:color w:val="auto"/>
        </w:rPr>
        <w:t>” shall mean, in the case of a Grantee who, on the date of the Grantee’s termination is deemed to be a “specified employee” within the meaning of that term under Code Section 409A(a)(2)(B), and who is entitled to a payment in connection with such termination, the period beginning on the date of the Grantee’s termination and ending on the earlier of: (i) the expiration of the six (6) month period beginning on the date of the Grantee’s termination; and (ii) the date of the Grantee’s death.</w:t>
      </w:r>
    </w:p>
    <w:p>
      <w:pPr>
        <w:spacing w:after="0" w:line="180" w:lineRule="exact"/>
        <w:rPr>
          <w:sz w:val="20"/>
          <w:szCs w:val="20"/>
          <w:color w:val="auto"/>
        </w:rPr>
      </w:pPr>
    </w:p>
    <w:p>
      <w:pPr>
        <w:ind w:left="1100" w:hanging="444"/>
        <w:spacing w:after="0"/>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Disability</w:t>
      </w:r>
      <w:r>
        <w:rPr>
          <w:rFonts w:ascii="Times New Roman" w:cs="Times New Roman" w:eastAsia="Times New Roman" w:hAnsi="Times New Roman"/>
          <w:sz w:val="18"/>
          <w:szCs w:val="18"/>
          <w:color w:val="auto"/>
        </w:rPr>
        <w:t>” shall mean permanent and total disability as defined by Section 22(e)(3) of the Code.</w:t>
      </w:r>
    </w:p>
    <w:p>
      <w:pPr>
        <w:spacing w:after="0" w:line="225" w:lineRule="exact"/>
        <w:rPr>
          <w:rFonts w:ascii="Times New Roman" w:cs="Times New Roman" w:eastAsia="Times New Roman" w:hAnsi="Times New Roman"/>
          <w:sz w:val="18"/>
          <w:szCs w:val="18"/>
          <w:color w:val="auto"/>
        </w:rPr>
      </w:pPr>
    </w:p>
    <w:p>
      <w:pPr>
        <w:ind w:firstLine="656"/>
        <w:spacing w:after="0" w:line="284" w:lineRule="auto"/>
        <w:tabs>
          <w:tab w:leader="none" w:pos="109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Employee</w:t>
      </w:r>
      <w:r>
        <w:rPr>
          <w:rFonts w:ascii="Times New Roman" w:cs="Times New Roman" w:eastAsia="Times New Roman" w:hAnsi="Times New Roman"/>
          <w:sz w:val="18"/>
          <w:szCs w:val="18"/>
          <w:color w:val="auto"/>
        </w:rPr>
        <w:t>” shall mean any person employed by the Corporation or its Subsidiaries on a full or part-time basis, including Directors who are otherwise employed by the Corporation or its Subsidiaries.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58" w:name="page59"/>
    <w:bookmarkEnd w:id="58"/>
    <w:p>
      <w:pPr>
        <w:ind w:firstLine="654"/>
        <w:spacing w:after="0" w:line="284" w:lineRule="auto"/>
        <w:tabs>
          <w:tab w:leader="none" w:pos="108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shall mean the Securities Exchange Act of 1934 as it may be amended from time to time, including the rules thereunder and any successor provisions and the rules thereto.</w:t>
      </w:r>
    </w:p>
    <w:p>
      <w:pPr>
        <w:spacing w:after="0" w:line="158" w:lineRule="exact"/>
        <w:rPr>
          <w:rFonts w:ascii="Times New Roman" w:cs="Times New Roman" w:eastAsia="Times New Roman" w:hAnsi="Times New Roman"/>
          <w:sz w:val="18"/>
          <w:szCs w:val="18"/>
          <w:color w:val="auto"/>
        </w:rPr>
      </w:pPr>
    </w:p>
    <w:p>
      <w:pPr>
        <w:jc w:val="both"/>
        <w:ind w:firstLine="654"/>
        <w:spacing w:after="0" w:line="258" w:lineRule="auto"/>
        <w:tabs>
          <w:tab w:leader="none" w:pos="103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shall mean for any day (i) if the Corporation is a registrant under Section 12 of the Exchange Act, the volume weighted average price (“VWAP”) of the Stock in the over-the-counter market, as determined in accordance with the trading rules of the National Association of Securities Dealers Automated Quotation System or, if the Stock is listed or admitted to trading on any national securities exchange, the VWAP as determined in accordance with the trading rules on such exchange or, (ii) if the Corporation is not a registrant under Section 12 of the Exchange Act, the price of the Stock will be determined by the Board on the date of grant but will not be less than the par value of such Stock.</w:t>
      </w:r>
    </w:p>
    <w:p>
      <w:pPr>
        <w:spacing w:after="0" w:line="183" w:lineRule="exact"/>
        <w:rPr>
          <w:rFonts w:ascii="Times New Roman" w:cs="Times New Roman" w:eastAsia="Times New Roman" w:hAnsi="Times New Roman"/>
          <w:sz w:val="18"/>
          <w:szCs w:val="18"/>
          <w:color w:val="auto"/>
        </w:rPr>
      </w:pPr>
    </w:p>
    <w:p>
      <w:pPr>
        <w:ind w:left="1060" w:hanging="406"/>
        <w:spacing w:after="0"/>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Grantee</w:t>
      </w:r>
      <w:r>
        <w:rPr>
          <w:rFonts w:ascii="Times New Roman" w:cs="Times New Roman" w:eastAsia="Times New Roman" w:hAnsi="Times New Roman"/>
          <w:sz w:val="18"/>
          <w:szCs w:val="18"/>
          <w:color w:val="auto"/>
        </w:rPr>
        <w:t>” shall mean an Employee, Director or Consultant granted an Award under the Plan.</w:t>
      </w:r>
    </w:p>
    <w:p>
      <w:pPr>
        <w:spacing w:after="0" w:line="225" w:lineRule="exact"/>
        <w:rPr>
          <w:rFonts w:ascii="Times New Roman" w:cs="Times New Roman" w:eastAsia="Times New Roman" w:hAnsi="Times New Roman"/>
          <w:sz w:val="18"/>
          <w:szCs w:val="18"/>
          <w:color w:val="auto"/>
        </w:rPr>
      </w:pPr>
    </w:p>
    <w:p>
      <w:pPr>
        <w:ind w:firstLine="654"/>
        <w:spacing w:after="0" w:line="284" w:lineRule="auto"/>
        <w:tabs>
          <w:tab w:leader="none" w:pos="111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Immediate Family Member</w:t>
      </w:r>
      <w:r>
        <w:rPr>
          <w:rFonts w:ascii="Times New Roman" w:cs="Times New Roman" w:eastAsia="Times New Roman" w:hAnsi="Times New Roman"/>
          <w:sz w:val="18"/>
          <w:szCs w:val="18"/>
          <w:color w:val="auto"/>
        </w:rPr>
        <w:t>” shall mean the transferor and his or her spouse, children or grandchildren, whether natural, step or adopted children or grandchildren.</w:t>
      </w:r>
    </w:p>
    <w:p>
      <w:pPr>
        <w:spacing w:after="0" w:line="158" w:lineRule="exact"/>
        <w:rPr>
          <w:rFonts w:ascii="Times New Roman" w:cs="Times New Roman" w:eastAsia="Times New Roman" w:hAnsi="Times New Roman"/>
          <w:sz w:val="18"/>
          <w:szCs w:val="18"/>
          <w:color w:val="auto"/>
        </w:rPr>
      </w:pPr>
    </w:p>
    <w:p>
      <w:pPr>
        <w:ind w:firstLine="654"/>
        <w:spacing w:after="0" w:line="284" w:lineRule="auto"/>
        <w:tabs>
          <w:tab w:leader="none" w:pos="11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ISO</w:t>
      </w:r>
      <w:r>
        <w:rPr>
          <w:rFonts w:ascii="Times New Roman" w:cs="Times New Roman" w:eastAsia="Times New Roman" w:hAnsi="Times New Roman"/>
          <w:sz w:val="18"/>
          <w:szCs w:val="18"/>
          <w:color w:val="auto"/>
        </w:rPr>
        <w:t>” shall mean an Option granted pursuant to the Plan to purchase shares of Stock and intended to qualify as an incentive stock option under Section 422 of the Code, as now or hereafter constituted.</w:t>
      </w:r>
    </w:p>
    <w:p>
      <w:pPr>
        <w:spacing w:after="0" w:line="158" w:lineRule="exact"/>
        <w:rPr>
          <w:rFonts w:ascii="Times New Roman" w:cs="Times New Roman" w:eastAsia="Times New Roman" w:hAnsi="Times New Roman"/>
          <w:sz w:val="18"/>
          <w:szCs w:val="18"/>
          <w:color w:val="auto"/>
        </w:rPr>
      </w:pPr>
    </w:p>
    <w:p>
      <w:pPr>
        <w:ind w:left="1080" w:hanging="426"/>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NQSO</w:t>
      </w:r>
      <w:r>
        <w:rPr>
          <w:rFonts w:ascii="Times New Roman" w:cs="Times New Roman" w:eastAsia="Times New Roman" w:hAnsi="Times New Roman"/>
          <w:sz w:val="18"/>
          <w:szCs w:val="18"/>
          <w:color w:val="auto"/>
        </w:rPr>
        <w:t>” shall mean an Option granted pursuant to the Plan to purchase shares of the Stock that is not an ISO.</w:t>
      </w:r>
    </w:p>
    <w:p>
      <w:pPr>
        <w:spacing w:after="0" w:line="225" w:lineRule="exact"/>
        <w:rPr>
          <w:rFonts w:ascii="Times New Roman" w:cs="Times New Roman" w:eastAsia="Times New Roman" w:hAnsi="Times New Roman"/>
          <w:sz w:val="18"/>
          <w:szCs w:val="18"/>
          <w:color w:val="auto"/>
        </w:rPr>
      </w:pPr>
    </w:p>
    <w:p>
      <w:pPr>
        <w:ind w:left="1080" w:hanging="426"/>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Non-Employee Director</w:t>
      </w:r>
      <w:r>
        <w:rPr>
          <w:rFonts w:ascii="Times New Roman" w:cs="Times New Roman" w:eastAsia="Times New Roman" w:hAnsi="Times New Roman"/>
          <w:sz w:val="18"/>
          <w:szCs w:val="18"/>
          <w:color w:val="auto"/>
        </w:rPr>
        <w:t>” shall mean a “non-employee director” within the meaning of Rule l6b-3 under the Exchange Act.</w:t>
      </w:r>
    </w:p>
    <w:p>
      <w:pPr>
        <w:spacing w:after="0" w:line="225" w:lineRule="exact"/>
        <w:rPr>
          <w:rFonts w:ascii="Times New Roman" w:cs="Times New Roman" w:eastAsia="Times New Roman" w:hAnsi="Times New Roman"/>
          <w:sz w:val="18"/>
          <w:szCs w:val="18"/>
          <w:color w:val="auto"/>
        </w:rPr>
      </w:pPr>
    </w:p>
    <w:p>
      <w:pPr>
        <w:ind w:left="1080" w:hanging="426"/>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shall refer collectively to NQSOs and ISOs subject to the Plan.</w:t>
      </w:r>
    </w:p>
    <w:p>
      <w:pPr>
        <w:spacing w:after="0" w:line="225" w:lineRule="exact"/>
        <w:rPr>
          <w:rFonts w:ascii="Times New Roman" w:cs="Times New Roman" w:eastAsia="Times New Roman" w:hAnsi="Times New Roman"/>
          <w:sz w:val="18"/>
          <w:szCs w:val="18"/>
          <w:color w:val="auto"/>
        </w:rPr>
      </w:pPr>
    </w:p>
    <w:p>
      <w:pPr>
        <w:ind w:left="1080" w:hanging="426"/>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shall mean any parent (as defined in Section 425 of the Code) of the Corporation.</w:t>
      </w:r>
    </w:p>
    <w:p>
      <w:pPr>
        <w:spacing w:after="0" w:line="225" w:lineRule="exact"/>
        <w:rPr>
          <w:rFonts w:ascii="Times New Roman" w:cs="Times New Roman" w:eastAsia="Times New Roman" w:hAnsi="Times New Roman"/>
          <w:sz w:val="18"/>
          <w:szCs w:val="18"/>
          <w:color w:val="auto"/>
        </w:rPr>
      </w:pPr>
    </w:p>
    <w:p>
      <w:pPr>
        <w:ind w:left="1080" w:hanging="426"/>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shall mean the Ultralife Corporation 2024 Long-Term Incentive Plan as set forth herein and as amended from time to time.</w:t>
      </w:r>
    </w:p>
    <w:p>
      <w:pPr>
        <w:spacing w:after="0" w:line="225" w:lineRule="exact"/>
        <w:rPr>
          <w:rFonts w:ascii="Times New Roman" w:cs="Times New Roman" w:eastAsia="Times New Roman" w:hAnsi="Times New Roman"/>
          <w:sz w:val="18"/>
          <w:szCs w:val="18"/>
          <w:color w:val="auto"/>
        </w:rPr>
      </w:pPr>
    </w:p>
    <w:p>
      <w:pPr>
        <w:jc w:val="both"/>
        <w:ind w:right="20" w:firstLine="654"/>
        <w:spacing w:after="0" w:line="267" w:lineRule="auto"/>
        <w:tabs>
          <w:tab w:leader="none" w:pos="108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 Unit</w:t>
      </w:r>
      <w:r>
        <w:rPr>
          <w:rFonts w:ascii="Times New Roman" w:cs="Times New Roman" w:eastAsia="Times New Roman" w:hAnsi="Times New Roman"/>
          <w:sz w:val="18"/>
          <w:szCs w:val="18"/>
          <w:color w:val="auto"/>
        </w:rPr>
        <w:t>” means a unit of measurement equivalent to one share of Stock, with none of the attendant rights of a stockholder of such Stock (including among the rights which the holder of a Restricted Stock Unit does not have are the right to vote such Stock and the right to receive dividends), except to the extent otherwise specifically set forth herein.</w:t>
      </w:r>
    </w:p>
    <w:p>
      <w:pPr>
        <w:spacing w:after="0" w:line="173" w:lineRule="exact"/>
        <w:rPr>
          <w:sz w:val="20"/>
          <w:szCs w:val="20"/>
          <w:color w:val="auto"/>
        </w:rPr>
      </w:pPr>
    </w:p>
    <w:p>
      <w:pPr>
        <w:jc w:val="both"/>
        <w:ind w:firstLine="654"/>
        <w:spacing w:after="0" w:line="267" w:lineRule="auto"/>
        <w:tabs>
          <w:tab w:leader="none" w:pos="111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SAR</w:t>
      </w:r>
      <w:r>
        <w:rPr>
          <w:rFonts w:ascii="Times New Roman" w:cs="Times New Roman" w:eastAsia="Times New Roman" w:hAnsi="Times New Roman"/>
          <w:sz w:val="18"/>
          <w:szCs w:val="18"/>
          <w:color w:val="auto"/>
        </w:rPr>
        <w:t>” shall mean a stock appreciation right granted pursuant to Section 8 hereof; a stock appreciation right shall entitle the Grantee to receive a payment equal to the appreciation in a stated number of shares of Stock from the exercise price for that stock appreciation right to the Fair Market Value of the stated number of shares of Stock on the date of exercise.</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78" w:right="339" w:bottom="1440" w:gutter="0" w:footer="0" w:header="0"/>
        </w:sectPr>
      </w:pPr>
    </w:p>
    <w:bookmarkStart w:id="59" w:name="page60"/>
    <w:bookmarkEnd w:id="59"/>
    <w:p>
      <w:pPr>
        <w:ind w:left="20" w:firstLine="654"/>
        <w:spacing w:after="0" w:line="284" w:lineRule="auto"/>
        <w:tabs>
          <w:tab w:leader="none" w:pos="115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shall mean the Securities Act of 1933 as it may be amended from time to time, including the rules thereunder and any successor provisions and the rules thereto.</w:t>
      </w:r>
    </w:p>
    <w:p>
      <w:pPr>
        <w:spacing w:after="0" w:line="158" w:lineRule="exact"/>
        <w:rPr>
          <w:rFonts w:ascii="Times New Roman" w:cs="Times New Roman" w:eastAsia="Times New Roman" w:hAnsi="Times New Roman"/>
          <w:sz w:val="18"/>
          <w:szCs w:val="18"/>
          <w:color w:val="auto"/>
        </w:rPr>
      </w:pPr>
    </w:p>
    <w:p>
      <w:pPr>
        <w:ind w:left="1080" w:hanging="406"/>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shall mean shares of the Common Stock, par value $.10 per share, of the Corporation.</w:t>
      </w:r>
    </w:p>
    <w:p>
      <w:pPr>
        <w:spacing w:after="0" w:line="225" w:lineRule="exact"/>
        <w:rPr>
          <w:rFonts w:ascii="Times New Roman" w:cs="Times New Roman" w:eastAsia="Times New Roman" w:hAnsi="Times New Roman"/>
          <w:sz w:val="18"/>
          <w:szCs w:val="18"/>
          <w:color w:val="auto"/>
        </w:rPr>
      </w:pPr>
    </w:p>
    <w:p>
      <w:pPr>
        <w:ind w:left="1100" w:hanging="426"/>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Award</w:t>
      </w:r>
      <w:r>
        <w:rPr>
          <w:rFonts w:ascii="Times New Roman" w:cs="Times New Roman" w:eastAsia="Times New Roman" w:hAnsi="Times New Roman"/>
          <w:sz w:val="18"/>
          <w:szCs w:val="18"/>
          <w:color w:val="auto"/>
        </w:rPr>
        <w:t>” shall mean an award of shares of Stock or restricted shares of Stock granted pursuant to Section 9 hereof.</w:t>
      </w:r>
    </w:p>
    <w:p>
      <w:pPr>
        <w:spacing w:after="0" w:line="225" w:lineRule="exact"/>
        <w:rPr>
          <w:rFonts w:ascii="Times New Roman" w:cs="Times New Roman" w:eastAsia="Times New Roman" w:hAnsi="Times New Roman"/>
          <w:sz w:val="18"/>
          <w:szCs w:val="18"/>
          <w:color w:val="auto"/>
        </w:rPr>
      </w:pPr>
    </w:p>
    <w:p>
      <w:pPr>
        <w:ind w:left="1080" w:hanging="406"/>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shall mean any subsidiary (as defined in Section 425 of the Code) of the Corporation.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3. </w:t>
      </w:r>
      <w:r>
        <w:rPr>
          <w:rFonts w:ascii="Times New Roman" w:cs="Times New Roman" w:eastAsia="Times New Roman" w:hAnsi="Times New Roman"/>
          <w:sz w:val="18"/>
          <w:szCs w:val="18"/>
          <w:b w:val="1"/>
          <w:bCs w:val="1"/>
          <w:i w:val="1"/>
          <w:iCs w:val="1"/>
          <w:color w:val="auto"/>
        </w:rPr>
        <w:t>Shares of Stock Subject to the Plan</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53" w:lineRule="auto"/>
        <w:tabs>
          <w:tab w:leader="none" w:pos="103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General</w:t>
      </w:r>
      <w:r>
        <w:rPr>
          <w:rFonts w:ascii="Times New Roman" w:cs="Times New Roman" w:eastAsia="Times New Roman" w:hAnsi="Times New Roman"/>
          <w:sz w:val="18"/>
          <w:szCs w:val="18"/>
          <w:color w:val="auto"/>
        </w:rPr>
        <w:t>. The maximum number of shares of Stock which shall be available for the grant or issuance of Awards under the Plan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ISOs) during its term shall be equal to 2,000,000, which shares shall also be available for the grant or issuance of Awards under the Plan); provided, however, that no more than 800,000 shares of Stock may be used for Awards other than Options or SARs. Such amounts shall be subject to adjustment as provided in Section 3(c) hereof. Any shares of Stock related to Awards which terminate by expiration, forfeiture, cancellation or otherwise without the issuance of such shares, are settled in cash in lieu of Stock, or are exchanged with the Committee’s permission for Awards not involving Stock, shall be available again for grant under the Plan. Moreover, if the exercise price of any Award granted under the Plan or the tax withholding requirements with respect to any Award granted under the Plan are satisfied by tendering shares of Stock to the Corporation (by either actual delivery or by attestation), only the number of shares of Stock issued net of the shares of Stock tendered will be deemed delivered for purposes of determining the maximum number of shares of Stock available for delivery under the Plan. The shares of Stock available for issuance under the Plan may be authorized and unissued shares or treasury shares, including shares purchased in open market or private transactions. For the purpose of computing the total number of shares of Stock granted under the Plan, where one or more types of Awards, both of which are payable in shares of Stock, are granted in tandem with each other, such that the exercise of one type of Award with respect to a number of shares cancels an equal number of shares of the other, the number of shares granted under both Awards shall be deemed to be equivalent to the number of shares under one of the Awards.</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1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Maximum Awards Payable</w:t>
      </w:r>
      <w:r>
        <w:rPr>
          <w:rFonts w:ascii="Times New Roman" w:cs="Times New Roman" w:eastAsia="Times New Roman" w:hAnsi="Times New Roman"/>
          <w:sz w:val="18"/>
          <w:szCs w:val="18"/>
          <w:color w:val="auto"/>
        </w:rPr>
        <w:t>. Subject to Section 3(c) hereof, and notwithstanding any provision contained in the Plan to the contrary,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maximum Award payable (or granted, if applicable) to any one Grantee under the Plan for a calendar year shall be 150,000 shares of Stock; provided, however, that the 150,000 share limitation shall not apply to inducement grants to Grantees who are new executives or key employees that do not exceed 700,000 shares of Stock.</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60" w:name="page61"/>
    <w:bookmarkEnd w:id="60"/>
    <w:p>
      <w:pPr>
        <w:jc w:val="both"/>
        <w:ind w:firstLine="656"/>
        <w:spacing w:after="0" w:line="255" w:lineRule="auto"/>
        <w:tabs>
          <w:tab w:leader="none" w:pos="11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 Upon Changes in Capitalization</w:t>
      </w:r>
      <w:r>
        <w:rPr>
          <w:rFonts w:ascii="Times New Roman" w:cs="Times New Roman" w:eastAsia="Times New Roman" w:hAnsi="Times New Roman"/>
          <w:sz w:val="18"/>
          <w:szCs w:val="18"/>
          <w:color w:val="auto"/>
        </w:rPr>
        <w:t>. In the event of any reclassification, recapitalization, merger, consolidation, reorganization,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of warrants, rights or debentures, stock dividend, stock split or reverse stock split, cash dividend, property dividend, combination or exchange of shares, repurchase of shares or any other change in corporate structure which in the judgment of the Committee materially affects the value of shares, then the Committee may determine the substitutions or adjustments to the maximum number of shares available for the grant or issuance of Awards under the Plan pursuant to Section 3(a) hereof, the maximum Award payable under Section 3(b) hereof, the number and class of shares and the exercise price per share set forth in any Award theretofore granted, or any other affected terms of an Award or the Plan as the Committee, in its sole discretion and without liability to any person, deems equitable or appropriate; provided, however, that no such adjustments shall be made to any ISO without the Grantee’s consent, if such adjustment would cause such ISO to fail to qualify as such.</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4. </w:t>
      </w:r>
      <w:r>
        <w:rPr>
          <w:rFonts w:ascii="Times New Roman" w:cs="Times New Roman" w:eastAsia="Times New Roman" w:hAnsi="Times New Roman"/>
          <w:sz w:val="18"/>
          <w:szCs w:val="18"/>
          <w:b w:val="1"/>
          <w:bCs w:val="1"/>
          <w:i w:val="1"/>
          <w:iCs w:val="1"/>
          <w:color w:val="auto"/>
        </w:rPr>
        <w:t>Administration of the Plan</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61" w:lineRule="auto"/>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General</w:t>
      </w:r>
      <w:r>
        <w:rPr>
          <w:rFonts w:ascii="Times New Roman" w:cs="Times New Roman" w:eastAsia="Times New Roman" w:hAnsi="Times New Roman"/>
          <w:sz w:val="18"/>
          <w:szCs w:val="18"/>
          <w:color w:val="auto"/>
        </w:rPr>
        <w:t>. The Committee shall have total and exclusive responsibility to control, operate, manage and administer the Plan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its terms. The Committee may act only by a majority of its members. Any determination of the Committee may be made, without a meeting, by a writing or writings signed by all of the members of the Committee. The decisions of the Committee and its actions with respect to the Plan shall be final, binding and conclusive upon all persons having or claiming to have any right or interest in or under the Plan.</w:t>
      </w:r>
    </w:p>
    <w:p>
      <w:pPr>
        <w:spacing w:after="0" w:line="179" w:lineRule="exact"/>
        <w:rPr>
          <w:rFonts w:ascii="Times New Roman" w:cs="Times New Roman" w:eastAsia="Times New Roman" w:hAnsi="Times New Roman"/>
          <w:sz w:val="18"/>
          <w:szCs w:val="18"/>
          <w:color w:val="auto"/>
        </w:rPr>
      </w:pPr>
    </w:p>
    <w:p>
      <w:pPr>
        <w:ind w:right="20" w:firstLine="656"/>
        <w:spacing w:after="0" w:line="284" w:lineRule="auto"/>
        <w:tabs>
          <w:tab w:leader="none" w:pos="110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 The Committee shall have all the authority that may be necessary or helpful to enable it to discharge its responsibilities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the Plan. Without limiting the generality of the preceding sentence, the Committee shall have the exclusive right to:</w:t>
      </w:r>
    </w:p>
    <w:p>
      <w:pPr>
        <w:spacing w:after="0" w:line="160"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eligibility for participation in the Plan;</w:t>
      </w:r>
    </w:p>
    <w:p>
      <w:pPr>
        <w:spacing w:after="0" w:line="225" w:lineRule="exact"/>
        <w:rPr>
          <w:rFonts w:ascii="Times New Roman" w:cs="Times New Roman" w:eastAsia="Times New Roman" w:hAnsi="Times New Roman"/>
          <w:sz w:val="18"/>
          <w:szCs w:val="18"/>
          <w:color w:val="auto"/>
        </w:rPr>
      </w:pPr>
    </w:p>
    <w:p>
      <w:pPr>
        <w:jc w:val="both"/>
        <w:ind w:left="660" w:firstLine="482"/>
        <w:spacing w:after="0" w:line="266" w:lineRule="auto"/>
        <w:tabs>
          <w:tab w:leader="none" w:pos="167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the Grantees and determine the type of Awards to be made to Grantees, the number of shares of Stock subject to Awards and the terms, conditions, restrictions and limitations of the Awards, including, but not by way of limitation, restrictions on the transferability of Awards and conditions with respect to continued employment or performance criteria;</w:t>
      </w:r>
    </w:p>
    <w:p>
      <w:pPr>
        <w:spacing w:after="0" w:line="175" w:lineRule="exact"/>
        <w:rPr>
          <w:rFonts w:ascii="Times New Roman" w:cs="Times New Roman" w:eastAsia="Times New Roman" w:hAnsi="Times New Roman"/>
          <w:sz w:val="18"/>
          <w:szCs w:val="18"/>
          <w:color w:val="auto"/>
        </w:rPr>
      </w:pPr>
    </w:p>
    <w:p>
      <w:pPr>
        <w:ind w:left="1640" w:hanging="498"/>
        <w:spacing w:after="0"/>
        <w:tabs>
          <w:tab w:leader="none" w:pos="16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the Plan or any Award Agreement;</w:t>
      </w:r>
    </w:p>
    <w:p>
      <w:pPr>
        <w:spacing w:after="0" w:line="225" w:lineRule="exact"/>
        <w:rPr>
          <w:rFonts w:ascii="Times New Roman" w:cs="Times New Roman" w:eastAsia="Times New Roman" w:hAnsi="Times New Roman"/>
          <w:sz w:val="18"/>
          <w:szCs w:val="18"/>
          <w:color w:val="auto"/>
        </w:rPr>
      </w:pPr>
    </w:p>
    <w:p>
      <w:pPr>
        <w:ind w:left="660" w:firstLine="482"/>
        <w:spacing w:after="0" w:line="282" w:lineRule="auto"/>
        <w:tabs>
          <w:tab w:leader="none" w:pos="174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any ambiguous provision, correct any default, supply any omission, and reconcile any inconsistency of the Plan or an Award Agreement;</w:t>
      </w:r>
    </w:p>
    <w:p>
      <w:pPr>
        <w:spacing w:after="0" w:line="161" w:lineRule="exact"/>
        <w:rPr>
          <w:rFonts w:ascii="Times New Roman" w:cs="Times New Roman" w:eastAsia="Times New Roman" w:hAnsi="Times New Roman"/>
          <w:sz w:val="18"/>
          <w:szCs w:val="18"/>
          <w:color w:val="auto"/>
        </w:rPr>
      </w:pPr>
    </w:p>
    <w:p>
      <w:pPr>
        <w:ind w:left="1680" w:hanging="538"/>
        <w:spacing w:after="0"/>
        <w:tabs>
          <w:tab w:leader="none" w:pos="16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administrative guidelines as an aid to administer the Plan and make changes in such guidelines as it from time to time deems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w:t>
      </w:r>
    </w:p>
    <w:p>
      <w:pPr>
        <w:spacing w:after="0" w:line="206"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promulgate regulations for carrying out the Plan and make changes in such regulations as it from time to time deems proper;</w:t>
      </w:r>
    </w:p>
    <w:p>
      <w:pPr>
        <w:spacing w:after="0" w:line="225" w:lineRule="exact"/>
        <w:rPr>
          <w:rFonts w:ascii="Times New Roman" w:cs="Times New Roman" w:eastAsia="Times New Roman" w:hAnsi="Times New Roman"/>
          <w:sz w:val="18"/>
          <w:szCs w:val="18"/>
          <w:color w:val="auto"/>
        </w:rPr>
      </w:pPr>
    </w:p>
    <w:p>
      <w:pPr>
        <w:ind w:left="1640" w:hanging="498"/>
        <w:spacing w:after="0"/>
        <w:tabs>
          <w:tab w:leader="none" w:pos="16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Code and applicable law, grant waivers of Plan terms, conditions, restrictions, and limitations;</w:t>
      </w:r>
    </w:p>
    <w:p>
      <w:pPr>
        <w:spacing w:after="0" w:line="225" w:lineRule="exact"/>
        <w:rPr>
          <w:rFonts w:ascii="Times New Roman" w:cs="Times New Roman" w:eastAsia="Times New Roman" w:hAnsi="Times New Roman"/>
          <w:sz w:val="18"/>
          <w:szCs w:val="18"/>
          <w:color w:val="auto"/>
        </w:rPr>
      </w:pPr>
    </w:p>
    <w:p>
      <w:pPr>
        <w:jc w:val="both"/>
        <w:ind w:left="660" w:firstLine="482"/>
        <w:spacing w:after="0" w:line="266" w:lineRule="auto"/>
        <w:tabs>
          <w:tab w:leader="none" w:pos="168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promulgate rules and regulations regarding treatment of Awards of a Grantee under the Plan in the event of such Grantee’s death, disability, retirement, termination from the Corporation or breach of agreement by the Grantee, or in the event of a Change in Control of the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61" w:name="page62"/>
    <w:bookmarkEnd w:id="61"/>
    <w:p>
      <w:pPr>
        <w:ind w:left="660" w:right="20" w:firstLine="482"/>
        <w:spacing w:after="0" w:line="282" w:lineRule="auto"/>
        <w:tabs>
          <w:tab w:leader="none" w:pos="165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Section 5(c) hereof, accelerate the vesting, exercise, or payment of an Award when such action or actions would be in the best interest of the Corporation;</w:t>
      </w:r>
    </w:p>
    <w:p>
      <w:pPr>
        <w:spacing w:after="0" w:line="161" w:lineRule="exact"/>
        <w:rPr>
          <w:rFonts w:ascii="Times New Roman" w:cs="Times New Roman" w:eastAsia="Times New Roman" w:hAnsi="Times New Roman"/>
          <w:sz w:val="18"/>
          <w:szCs w:val="18"/>
          <w:color w:val="auto"/>
        </w:rPr>
      </w:pPr>
    </w:p>
    <w:p>
      <w:pPr>
        <w:ind w:left="660" w:firstLine="482"/>
        <w:spacing w:after="0" w:line="282" w:lineRule="auto"/>
        <w:tabs>
          <w:tab w:leader="none" w:pos="172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4(d) hereof, grant Awards in replacement of Awards previously granted under the Plan or any other executive compensation plan of the Corporation;</w:t>
      </w:r>
    </w:p>
    <w:p>
      <w:pPr>
        <w:spacing w:after="0" w:line="161" w:lineRule="exact"/>
        <w:rPr>
          <w:rFonts w:ascii="Times New Roman" w:cs="Times New Roman" w:eastAsia="Times New Roman" w:hAnsi="Times New Roman"/>
          <w:sz w:val="18"/>
          <w:szCs w:val="18"/>
          <w:color w:val="auto"/>
        </w:rPr>
      </w:pPr>
    </w:p>
    <w:p>
      <w:pPr>
        <w:jc w:val="both"/>
        <w:ind w:left="660" w:firstLine="482"/>
        <w:spacing w:after="0" w:line="266" w:lineRule="auto"/>
        <w:tabs>
          <w:tab w:leader="none" w:pos="160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and provisions of any Award Agreements entered into hereunder, including, a provision in an Award Agreement that requires, upon the occurrence of a Change in Control specified in Section 2(e)(iii) hereof, the cancellation for cash of outstanding Awards or the issuance of comparable replacement Awards granted by the successor entity in such event;</w:t>
      </w:r>
    </w:p>
    <w:p>
      <w:pPr>
        <w:spacing w:after="0" w:line="175" w:lineRule="exact"/>
        <w:rPr>
          <w:rFonts w:ascii="Times New Roman" w:cs="Times New Roman" w:eastAsia="Times New Roman" w:hAnsi="Times New Roman"/>
          <w:sz w:val="18"/>
          <w:szCs w:val="18"/>
          <w:color w:val="auto"/>
        </w:rPr>
      </w:pPr>
    </w:p>
    <w:p>
      <w:pPr>
        <w:ind w:left="1640" w:hanging="498"/>
        <w:spacing w:after="0"/>
        <w:tabs>
          <w:tab w:leader="none" w:pos="16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and all other action it deems necessary or advisable for the proper operation or administration of the Plan; and</w:t>
      </w:r>
    </w:p>
    <w:p>
      <w:pPr>
        <w:spacing w:after="0" w:line="225" w:lineRule="exact"/>
        <w:rPr>
          <w:rFonts w:ascii="Times New Roman" w:cs="Times New Roman" w:eastAsia="Times New Roman" w:hAnsi="Times New Roman"/>
          <w:sz w:val="18"/>
          <w:szCs w:val="18"/>
          <w:color w:val="auto"/>
        </w:rPr>
      </w:pPr>
    </w:p>
    <w:p>
      <w:pPr>
        <w:ind w:left="1640" w:hanging="498"/>
        <w:spacing w:after="0"/>
        <w:tabs>
          <w:tab w:leader="none" w:pos="16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other determinations it deems necessary or advisable for the administration of the Plan, including factual determinations.</w:t>
      </w:r>
    </w:p>
    <w:p>
      <w:pPr>
        <w:spacing w:after="0" w:line="223" w:lineRule="exact"/>
        <w:rPr>
          <w:rFonts w:ascii="Times New Roman" w:cs="Times New Roman" w:eastAsia="Times New Roman" w:hAnsi="Times New Roman"/>
          <w:sz w:val="18"/>
          <w:szCs w:val="18"/>
          <w:color w:val="auto"/>
        </w:rPr>
      </w:pPr>
    </w:p>
    <w:p>
      <w:pPr>
        <w:jc w:val="both"/>
        <w:ind w:firstLine="656"/>
        <w:spacing w:after="0" w:line="258" w:lineRule="auto"/>
        <w:tabs>
          <w:tab w:leader="none" w:pos="110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Delegation</w:t>
      </w:r>
      <w:r>
        <w:rPr>
          <w:rFonts w:ascii="Times New Roman" w:cs="Times New Roman" w:eastAsia="Times New Roman" w:hAnsi="Times New Roman"/>
          <w:sz w:val="18"/>
          <w:szCs w:val="18"/>
          <w:color w:val="auto"/>
        </w:rPr>
        <w:t>. The Committee may allocate all or any portion of its responsibilities and powers under the Plan to any one or more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the CEO or other senior members of management as the Committee deems appropriate and may delegate all or any part of its responsibilities and powers to any such person or persons, provided that any such allocation or delegation be in writing; provided, however, that only the Committee, or another committee consisting of two or more Non-Employee Directors may select and grant Awards to Grantees who are subject to Section 16 of the Exchange Act. The Committee may revoke any such allocation or delegation at any time for any reason with or without prior notice.</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103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Repricing</w:t>
      </w:r>
      <w:r>
        <w:rPr>
          <w:rFonts w:ascii="Times New Roman" w:cs="Times New Roman" w:eastAsia="Times New Roman" w:hAnsi="Times New Roman"/>
          <w:sz w:val="18"/>
          <w:szCs w:val="18"/>
          <w:color w:val="auto"/>
        </w:rPr>
        <w:t>. Except for adjustments pursuant to Section 3(c) hereof, the Committee shall not reprice any Options or SARs unless such action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by the stockholders of the Corporation. For purposes of the Plan, the term “reprice” shall mean: (i) the reduction, directly or indirectly, in the per-share exercise price of an outstanding Option or SAR by amendment, cancellation or substitution; (ii) any action that is treated as a repricing under United States generally accepted accounting principles; (iii) canceling an Option or SAR when its exercise price exceeds the fair market value of the underlying Stock in exchange for another Option, SAR or other equity security (unless the cancellation and exchange occurs in connection with a merger, acquisition, or similar transaction); and (iv) any other action that is treated as a repricing by the rules or regulations of any stock exchange on which the securities of the Corporation are traded. Any amendment or repeal of this provision shall require the affirmative vote of a majority of shares of voting capital stock present at a stockholders meeting in person or by proxy and entitled to vote thereon.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5. </w:t>
      </w:r>
      <w:r>
        <w:rPr>
          <w:rFonts w:ascii="Times New Roman" w:cs="Times New Roman" w:eastAsia="Times New Roman" w:hAnsi="Times New Roman"/>
          <w:sz w:val="18"/>
          <w:szCs w:val="18"/>
          <w:b w:val="1"/>
          <w:bCs w:val="1"/>
          <w:i w:val="1"/>
          <w:iCs w:val="1"/>
          <w:color w:val="auto"/>
        </w:rPr>
        <w:t>Awards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67" w:lineRule="auto"/>
        <w:tabs>
          <w:tab w:leader="none" w:pos="10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Subject to Section 4 hereof, all Employees, Directors and Consultants are eligible to participate in the Plan; provided,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Employees are eligible to receive ISOs. The Committee shall determine and designate from time to time those Employees, Directors and Consultants who are to be granted Awards, the nature of each Award granted and the number of shares of Stock subject to each such Award.</w:t>
      </w:r>
    </w:p>
    <w:p>
      <w:pPr>
        <w:spacing w:after="0" w:line="173" w:lineRule="exact"/>
        <w:rPr>
          <w:rFonts w:ascii="Times New Roman" w:cs="Times New Roman" w:eastAsia="Times New Roman" w:hAnsi="Times New Roman"/>
          <w:sz w:val="18"/>
          <w:szCs w:val="18"/>
          <w:color w:val="auto"/>
        </w:rPr>
      </w:pPr>
    </w:p>
    <w:p>
      <w:pPr>
        <w:jc w:val="both"/>
        <w:ind w:firstLine="656"/>
        <w:spacing w:after="0" w:line="258" w:lineRule="auto"/>
        <w:tabs>
          <w:tab w:leader="none" w:pos="105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General</w:t>
      </w:r>
      <w:r>
        <w:rPr>
          <w:rFonts w:ascii="Times New Roman" w:cs="Times New Roman" w:eastAsia="Times New Roman" w:hAnsi="Times New Roman"/>
          <w:sz w:val="18"/>
          <w:szCs w:val="18"/>
          <w:color w:val="auto"/>
        </w:rPr>
        <w:t>. Awards may, at the Committee’s sole discretion, be paid in the form of Options pursuant to Section 6 hereof, SARs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7 hereof, Stock Awards or Restricted Stock Units pursuant to Section 8 hereof, or a combination thereof. Each Award shall be subject to the terms, conditions, restrictions and limitations of the Plan and the Award Agreement for such Award. Awards under a particular Section of the Plan need not be uniform and Awards under two or more Sections may be combined into a single Award Agreement. Any combination of Awards may be granted at one time and on more than one occasion to the same Grantee.</w:t>
      </w:r>
    </w:p>
    <w:p>
      <w:pPr>
        <w:spacing w:after="0" w:line="183" w:lineRule="exact"/>
        <w:rPr>
          <w:rFonts w:ascii="Times New Roman" w:cs="Times New Roman" w:eastAsia="Times New Roman" w:hAnsi="Times New Roman"/>
          <w:sz w:val="18"/>
          <w:szCs w:val="18"/>
          <w:color w:val="auto"/>
        </w:rPr>
      </w:pPr>
    </w:p>
    <w:p>
      <w:pPr>
        <w:ind w:right="20" w:firstLine="656"/>
        <w:spacing w:after="0" w:line="284" w:lineRule="auto"/>
        <w:tabs>
          <w:tab w:leader="none" w:pos="105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 Upon a Change in Control.</w:t>
      </w:r>
      <w:r>
        <w:rPr>
          <w:rFonts w:ascii="Times New Roman" w:cs="Times New Roman" w:eastAsia="Times New Roman" w:hAnsi="Times New Roman"/>
          <w:sz w:val="18"/>
          <w:szCs w:val="18"/>
          <w:color w:val="auto"/>
        </w:rPr>
        <w:t>Each Award shall be deemed and construed to provide that, upon the occurrence of a 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rights of the Grantee under the terms of such Award shall automatically become fully nonforfeitable (vested).</w:t>
      </w:r>
    </w:p>
    <w:p>
      <w:pPr>
        <w:spacing w:after="0" w:line="158" w:lineRule="exact"/>
        <w:rPr>
          <w:rFonts w:ascii="Times New Roman" w:cs="Times New Roman" w:eastAsia="Times New Roman" w:hAnsi="Times New Roman"/>
          <w:sz w:val="18"/>
          <w:szCs w:val="18"/>
          <w:color w:val="auto"/>
        </w:rPr>
      </w:pPr>
    </w:p>
    <w:p>
      <w:pPr>
        <w:jc w:val="both"/>
        <w:ind w:firstLine="656"/>
        <w:spacing w:after="0" w:line="267" w:lineRule="auto"/>
        <w:tabs>
          <w:tab w:leader="none" w:pos="104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Foreign Jurisdictions</w:t>
      </w:r>
      <w:r>
        <w:rPr>
          <w:rFonts w:ascii="Times New Roman" w:cs="Times New Roman" w:eastAsia="Times New Roman" w:hAnsi="Times New Roman"/>
          <w:sz w:val="18"/>
          <w:szCs w:val="18"/>
          <w:color w:val="auto"/>
        </w:rPr>
        <w:t>. With respect to Grantees who reside or work outside of the United States, the Committee may, in its sole and absolute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 amend the terms of the Plan or Awards with respect to such Grantees in order to conform such terms with the provisions of local law and practice or otherwise as deemed necessary or desirable by the Committee.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6. </w:t>
      </w:r>
      <w:r>
        <w:rPr>
          <w:rFonts w:ascii="Times New Roman" w:cs="Times New Roman" w:eastAsia="Times New Roman" w:hAnsi="Times New Roman"/>
          <w:sz w:val="18"/>
          <w:szCs w:val="18"/>
          <w:b w:val="1"/>
          <w:bCs w:val="1"/>
          <w:i w:val="1"/>
          <w:iCs w:val="1"/>
          <w:color w:val="auto"/>
        </w:rPr>
        <w:t>Stock Options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67" w:lineRule="auto"/>
        <w:tabs>
          <w:tab w:leader="none" w:pos="108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General</w:t>
      </w:r>
      <w:r>
        <w:rPr>
          <w:rFonts w:ascii="Times New Roman" w:cs="Times New Roman" w:eastAsia="Times New Roman" w:hAnsi="Times New Roman"/>
          <w:sz w:val="18"/>
          <w:szCs w:val="18"/>
          <w:color w:val="auto"/>
        </w:rPr>
        <w:t>. Awards may be granted in the form of Options. Options granted under the Plan may be of two types: ISOs and NQSOs.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shall have the authority and discretion to grant to an eligible Employee either ISOs, NQSOs, or both, but shall clearly designate the nature of each Option at the time of grant. Consultants and Directors shall only receive NQSOs.</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104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Options</w:t>
      </w:r>
      <w:r>
        <w:rPr>
          <w:rFonts w:ascii="Times New Roman" w:cs="Times New Roman" w:eastAsia="Times New Roman" w:hAnsi="Times New Roman"/>
          <w:sz w:val="18"/>
          <w:szCs w:val="18"/>
          <w:color w:val="auto"/>
        </w:rPr>
        <w:t>. An Option shall be exercisable in accordance with such terms and conditions and at such times and during such periods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determined by the Committee. In addition to any such terms and conditions, the following terms and conditions shall apply to all Options granted under the Plan:</w:t>
      </w:r>
    </w:p>
    <w:p>
      <w:pPr>
        <w:spacing w:after="0" w:line="175" w:lineRule="exact"/>
        <w:rPr>
          <w:rFonts w:ascii="Times New Roman" w:cs="Times New Roman" w:eastAsia="Times New Roman" w:hAnsi="Times New Roman"/>
          <w:sz w:val="18"/>
          <w:szCs w:val="18"/>
          <w:color w:val="auto"/>
        </w:rPr>
      </w:pPr>
    </w:p>
    <w:p>
      <w:pPr>
        <w:jc w:val="both"/>
        <w:ind w:left="660" w:firstLine="482"/>
        <w:spacing w:after="0" w:line="258" w:lineRule="auto"/>
        <w:tabs>
          <w:tab w:leader="none" w:pos="171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per share of Stock subject to an Option shall be not less than 100% of the Fair Market Value of a share of the Stock on the date such Option is granted, except for Options granted in assumption of or substitution for outstanding awards previously granted by the Corporation or its affiliates or an entity that the Corporation acquires or with which the Corporation combines, in any case in a transaction contemplated by Section 3(c); provided, however, that the exercise price for any ISO granted to a Control Person shall not be less than 110% of such Fair Market Value.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3" w:name="page64"/>
    <w:bookmarkEnd w:id="63"/>
    <w:p>
      <w:pPr>
        <w:jc w:val="both"/>
        <w:ind w:left="660" w:firstLine="482"/>
        <w:spacing w:after="0" w:line="266" w:lineRule="auto"/>
        <w:tabs>
          <w:tab w:leader="none" w:pos="170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each Option shall be determined by the Committee, provided that no Option shall be exercisable more than ten years from the date such Option is granted, and provided further that no ISO granted to a Control Person shall be exercisable more than five years from the date of Option grant.</w:t>
      </w:r>
    </w:p>
    <w:p>
      <w:pPr>
        <w:spacing w:after="0" w:line="175" w:lineRule="exact"/>
        <w:rPr>
          <w:rFonts w:ascii="Times New Roman" w:cs="Times New Roman" w:eastAsia="Times New Roman" w:hAnsi="Times New Roman"/>
          <w:sz w:val="18"/>
          <w:szCs w:val="18"/>
          <w:color w:val="auto"/>
        </w:rPr>
      </w:pPr>
    </w:p>
    <w:p>
      <w:pPr>
        <w:jc w:val="both"/>
        <w:ind w:left="660" w:firstLine="482"/>
        <w:spacing w:after="0" w:line="255" w:lineRule="auto"/>
        <w:tabs>
          <w:tab w:leader="none" w:pos="167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hereof, the aggregate Fair Market Value (determined at the time the ISO is granted) of the Stock with respect to which ISOs are exercisable for the first time by any Employee during any calendar year under all plans of the Corporation and any Parent or Subsidiary corporation shall not exceed $100,000. In the event that the aggregate Fair Market Value (determined at the time of grant of an ISO) of the Stock with respect to which ISOs are exercisable for the first time by an Employee for any calendar year under all plans of the Corporation and any Parent or Subsidiary corporation exceeds $100,000.00, then to the extent that the aggregate Fair Market Value of the Stock with respect to ISOs exercisable for the first time by an Employee in such a calendar year exceeds $100,000.00, the ISOs providing for the purchase of such Stock shall automatically be converted into and shall be deemed to be NQSOs.</w:t>
      </w:r>
    </w:p>
    <w:p>
      <w:pPr>
        <w:spacing w:after="0" w:line="186" w:lineRule="exact"/>
        <w:rPr>
          <w:rFonts w:ascii="Times New Roman" w:cs="Times New Roman" w:eastAsia="Times New Roman" w:hAnsi="Times New Roman"/>
          <w:sz w:val="18"/>
          <w:szCs w:val="18"/>
          <w:color w:val="auto"/>
        </w:rPr>
      </w:pPr>
    </w:p>
    <w:p>
      <w:pPr>
        <w:jc w:val="both"/>
        <w:ind w:firstLine="656"/>
        <w:spacing w:after="0" w:line="253" w:lineRule="auto"/>
        <w:tabs>
          <w:tab w:leader="none" w:pos="106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of Options</w:t>
      </w:r>
      <w:r>
        <w:rPr>
          <w:rFonts w:ascii="Times New Roman" w:cs="Times New Roman" w:eastAsia="Times New Roman" w:hAnsi="Times New Roman"/>
          <w:sz w:val="18"/>
          <w:szCs w:val="18"/>
          <w:color w:val="auto"/>
        </w:rPr>
        <w:t>. Except as provided in Section 10 hereof, no Option granted to an Employee or Consultant shall be exercised unless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of such exercise the Grantee is then an Employee or Consultant. Upon exercise, the exercise price of an Option may be paid: (i) in cash, which may be paid by check or other instrument acceptable to the Corporation, or by wire transfer of funds, in each case, in United States Dollars; or (ii) to the extent permitted by the Committee: (A) by delivery to the Corporation of shares of Stock; provided that such shares have been owned for the requisite period necessary to avoid a charge to the Corporation’s earnings; (B) by the surrender to the Corporation of shares of Stock that otherwise would have been delivered to the Grantee upon exercise of the Option; (C) to the extent permissible under applicable law, through any cashless or net exercise sale and remittance procedure that the Committee may, in its discretion approve; or (D) by way of a broker-assisted stock option exercise program, if any, provided such program is available at the time of the Grantee’s exercise. The Committee shall establish appropriate methods for accepting Stock, whether restricted or unrestricted, and may impose such conditions as it deems appropriate on the use of such Stock to exercise an Option. Notwithstanding the foregoing or the provision of any Award Agreement, a Grantee may not pay the exercise price of an Option using shares of Stock if, in the opinion of counsel to the Corporation, (i) the Grantee is, or within the six months preceding such exercise was, subject to reporting under Section 16(a) of the Exchange Act and (ii) there is a substantial likelihood that the use of such form of payment or the timing of such form of payment would subject the Grantee to a substantial risk of liability under Section 16 of the Exchange Act, or (iii) there is a substantial likelihood that the use of such form of payment would result in accounting treatment to the Corporation under generally accepted accounting principles that the Committee reasonably determines is adverse to the Corporation.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7. </w:t>
      </w:r>
      <w:r>
        <w:rPr>
          <w:rFonts w:ascii="Times New Roman" w:cs="Times New Roman" w:eastAsia="Times New Roman" w:hAnsi="Times New Roman"/>
          <w:sz w:val="18"/>
          <w:szCs w:val="18"/>
          <w:b w:val="1"/>
          <w:bCs w:val="1"/>
          <w:i w:val="1"/>
          <w:iCs w:val="1"/>
          <w:color w:val="auto"/>
        </w:rPr>
        <w:t>Stock Appreciation Rights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67" w:lineRule="auto"/>
        <w:tabs>
          <w:tab w:leader="none" w:pos="102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General</w:t>
      </w:r>
      <w:r>
        <w:rPr>
          <w:rFonts w:ascii="Times New Roman" w:cs="Times New Roman" w:eastAsia="Times New Roman" w:hAnsi="Times New Roman"/>
          <w:sz w:val="18"/>
          <w:szCs w:val="18"/>
          <w:color w:val="auto"/>
        </w:rPr>
        <w:t>. Awards may be granted in the form of SARs. SARs granted under the Plan may be of two types: an SAR granted in tandem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or a portion of a related Option under the Plan (“Tandem SARs”) or granted separately (“Freestanding SARs”). A Tandem SAR may be granted either at the time of the grant of the related Option or at any time thereafter during the term of the Option.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4" w:name="page65"/>
    <w:bookmarkEnd w:id="64"/>
    <w:p>
      <w:pPr>
        <w:jc w:val="both"/>
        <w:ind w:firstLine="656"/>
        <w:spacing w:after="0" w:line="256" w:lineRule="auto"/>
        <w:tabs>
          <w:tab w:leader="none" w:pos="11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Tandem SARs</w:t>
      </w:r>
      <w:r>
        <w:rPr>
          <w:rFonts w:ascii="Times New Roman" w:cs="Times New Roman" w:eastAsia="Times New Roman" w:hAnsi="Times New Roman"/>
          <w:sz w:val="18"/>
          <w:szCs w:val="18"/>
          <w:color w:val="auto"/>
        </w:rPr>
        <w:t>. A Tandem SAR shall be exercisable to the extent, and only to the extent, that the related Option is exercisable,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price” of such a SAR (the base from which the value of the SAR is measured at its exercise) shall be the exercise price under the related Option. However, at no time shall a Tandem SAR be issued if the exercise price of its related Option is less than the Fair Market Value of the Stock, as determined by the Committee, on the date that the Tandem SAR is granted. If a related Option is exercised as to some or all of the shares covered by the Award, the related Tandem SAR, if any, shall be canceled automatically to the extent of the number of shares covered by the Option exercise. Upon exercise of a Tandem SAR as to some or all of the shares covered by the Award, the related Option shall be canceled automatically to the extent of the number of shares covered by such exercise. All Tandem SARs shall expire not later than ten years from the date of the grant of the SAR.</w:t>
      </w:r>
    </w:p>
    <w:p>
      <w:pPr>
        <w:spacing w:after="0" w:line="182" w:lineRule="exact"/>
        <w:rPr>
          <w:rFonts w:ascii="Times New Roman" w:cs="Times New Roman" w:eastAsia="Times New Roman" w:hAnsi="Times New Roman"/>
          <w:sz w:val="18"/>
          <w:szCs w:val="18"/>
          <w:color w:val="auto"/>
        </w:rPr>
      </w:pPr>
    </w:p>
    <w:p>
      <w:pPr>
        <w:jc w:val="both"/>
        <w:ind w:firstLine="656"/>
        <w:spacing w:after="0" w:line="261" w:lineRule="auto"/>
        <w:tabs>
          <w:tab w:leader="none" w:pos="108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Freestanding SARs</w:t>
      </w:r>
      <w:r>
        <w:rPr>
          <w:rFonts w:ascii="Times New Roman" w:cs="Times New Roman" w:eastAsia="Times New Roman" w:hAnsi="Times New Roman"/>
          <w:sz w:val="18"/>
          <w:szCs w:val="18"/>
          <w:color w:val="auto"/>
        </w:rPr>
        <w:t>. Freestanding SARs shall be exercisable or automatically mature in accordance with such terms and conditions and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times and during such periods as may be determined by the Committee. The exercise price of a Freestanding SAR shall be defined in the Award Agreement for that SAR and shall be not less than 100% of the Fair Market Value of a share of Stock on the date of the grant of the Freestanding SAR. All Freestanding SARs shall expire not later than ten years from the date of grant of the SAR.</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07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of SARs</w:t>
      </w:r>
      <w:r>
        <w:rPr>
          <w:rFonts w:ascii="Times New Roman" w:cs="Times New Roman" w:eastAsia="Times New Roman" w:hAnsi="Times New Roman"/>
          <w:sz w:val="18"/>
          <w:szCs w:val="18"/>
          <w:color w:val="auto"/>
        </w:rPr>
        <w:t>. Except as provided in Section 10 hereof, no SAR granted to an Employee or Consultant shall be exercised unless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such exercise the Grantee is then an Employee or Consultant. The Committee may provide that an SAR shall be deemed to be exercised at the close of business on the scheduled expiration date of such SAR if at such time the SAR by its terms remains exercisable and, if so exercised, would result in a payment to the holder of such SAR. Unless otherwise provided in an Award Agreement, an SAR may be paid in cash, shares of Stock or any combination thereof, as determined by the Committee, in its sole and absolute discretion, at the time that the SAR is exercised.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8. </w:t>
      </w:r>
      <w:r>
        <w:rPr>
          <w:rFonts w:ascii="Times New Roman" w:cs="Times New Roman" w:eastAsia="Times New Roman" w:hAnsi="Times New Roman"/>
          <w:sz w:val="18"/>
          <w:szCs w:val="18"/>
          <w:b w:val="1"/>
          <w:bCs w:val="1"/>
          <w:i w:val="1"/>
          <w:iCs w:val="1"/>
          <w:color w:val="auto"/>
        </w:rPr>
        <w:t>Stock Awards and Restricted Stock Units.</w:t>
      </w:r>
    </w:p>
    <w:p>
      <w:pPr>
        <w:spacing w:after="0" w:line="227" w:lineRule="exact"/>
        <w:rPr>
          <w:sz w:val="20"/>
          <w:szCs w:val="20"/>
          <w:color w:val="auto"/>
        </w:rPr>
      </w:pPr>
    </w:p>
    <w:p>
      <w:pPr>
        <w:jc w:val="both"/>
        <w:ind w:firstLine="656"/>
        <w:spacing w:after="0" w:line="261" w:lineRule="auto"/>
        <w:tabs>
          <w:tab w:leader="none" w:pos="102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General</w:t>
      </w:r>
      <w:r>
        <w:rPr>
          <w:rFonts w:ascii="Times New Roman" w:cs="Times New Roman" w:eastAsia="Times New Roman" w:hAnsi="Times New Roman"/>
          <w:sz w:val="18"/>
          <w:szCs w:val="18"/>
          <w:color w:val="auto"/>
        </w:rPr>
        <w:t>. Awards may be granted in the form of Stock Awards or Restricted Stock Units. Stock Awards and Restricted Stock Units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awarded in such numbers and at such times during the term of the Plan as the Committee shall determine. Restricted Stock Units shall have such restrictions as the Committee, in its sole discretion may determine to impose and the value of a Restricted Stock Unit may be paid to the Grantee by delivery of such property as the Committee shall determine, including, without limitation, cash or Stock, or any combination thereof.</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65" w:name="page66"/>
    <w:bookmarkEnd w:id="65"/>
    <w:p>
      <w:pPr>
        <w:jc w:val="both"/>
        <w:ind w:firstLine="656"/>
        <w:spacing w:after="0" w:line="255" w:lineRule="auto"/>
        <w:tabs>
          <w:tab w:leader="none" w:pos="109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w:t>
      </w:r>
      <w:r>
        <w:rPr>
          <w:rFonts w:ascii="Times New Roman" w:cs="Times New Roman" w:eastAsia="Times New Roman" w:hAnsi="Times New Roman"/>
          <w:sz w:val="18"/>
          <w:szCs w:val="18"/>
          <w:color w:val="auto"/>
        </w:rPr>
        <w:t>. The Committee may condition, restrict or limit the grant of a Stock Award or Restricted Stock Units on the achievement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enumerated performance objectives or, with respect to Stock Awards or Restricted Stock Units issued to an Employee or a Consultant, on such Employee’s or Consultant’s continued employment or service to the Corporation through a specified period of time. The restricted period specified in respect of any Stock Award or Restricted Stock Unit shall not be less than three years, except that the Committee may (i) provide for the restricted period to terminate at any time after one year upon the attainment of performance-based objectives, and (ii) grant Stock Awards or Restricted Stock Units of up to 30,000 shares of Stock without regard to this limitation. Furthermore, the Committee may not terminate the restrictions applicable to outstanding Stock Awards or Restricted Stock Units except in connection with a Change in Control. The Committee may grant an unrestricted Stock Award or Restricted Stock Units only if the Committee determines that such Stock Award is made in lieu of all or a portion of salary or cash bonus of comparable value.</w:t>
      </w:r>
    </w:p>
    <w:p>
      <w:pPr>
        <w:spacing w:after="0" w:line="184" w:lineRule="exact"/>
        <w:rPr>
          <w:rFonts w:ascii="Times New Roman" w:cs="Times New Roman" w:eastAsia="Times New Roman" w:hAnsi="Times New Roman"/>
          <w:sz w:val="18"/>
          <w:szCs w:val="18"/>
          <w:color w:val="auto"/>
        </w:rPr>
      </w:pPr>
    </w:p>
    <w:p>
      <w:pPr>
        <w:jc w:val="both"/>
        <w:ind w:firstLine="656"/>
        <w:spacing w:after="0" w:line="261" w:lineRule="auto"/>
        <w:tabs>
          <w:tab w:leader="none" w:pos="104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of Holders of Restricted Stock</w:t>
      </w:r>
      <w:r>
        <w:rPr>
          <w:rFonts w:ascii="Times New Roman" w:cs="Times New Roman" w:eastAsia="Times New Roman" w:hAnsi="Times New Roman"/>
          <w:sz w:val="18"/>
          <w:szCs w:val="18"/>
          <w:color w:val="auto"/>
        </w:rPr>
        <w:t>. During the period in which any shares of Stock received pursuant to a Stock Award are subject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the Committee may, in its sole and absolute discretion, deny the Grantee to whom such shares have been awarded all or any of the rights of a stockholder with respect to such shares, including, but not by way of limitation, limiting the right to vote such shares or the right to receive dividends on such shares.</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05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of Holders of Restricted Stock Units</w:t>
      </w:r>
      <w:r>
        <w:rPr>
          <w:rFonts w:ascii="Times New Roman" w:cs="Times New Roman" w:eastAsia="Times New Roman" w:hAnsi="Times New Roman"/>
          <w:sz w:val="18"/>
          <w:szCs w:val="18"/>
          <w:color w:val="auto"/>
        </w:rPr>
        <w:t>. A Grantee receiving an Award of Restricted Stock Units shall not possess voting rights, nor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to receive cash dividends with respect to such Award, unless a right to Dividend Equivalents is included in the Award Agreement for such Award of Restricted Stock Units. If a right to Dividend Equivalents is included in the Award Agreement for an Award of Restricted Stock Units, then any Stock or any other property distributed as a dividend or otherwise with respect to the Stock underlying such Award as to which the restrictions have not yet lapsed shall be subject to the same restrictions as such Award of Restricted Stock Units, and may either be automatically deemed invested in additional Restricted Stock Units or held by the Corporation in escrow for the Grantee, and shall be paid to the Grantee at the same time as the Restricted Stock Units. “Dividend Equivalents” means an amount credited under a Grantee’s Restricted Stock Unit, which amount is equal to the dividends paid on the Stock, if any, determined as if the Restricted Stock Unit was shares of Stock on the record date of any such dividend.”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9. </w:t>
      </w:r>
      <w:r>
        <w:rPr>
          <w:rFonts w:ascii="Times New Roman" w:cs="Times New Roman" w:eastAsia="Times New Roman" w:hAnsi="Times New Roman"/>
          <w:sz w:val="18"/>
          <w:szCs w:val="18"/>
          <w:b w:val="1"/>
          <w:bCs w:val="1"/>
          <w:i w:val="1"/>
          <w:iCs w:val="1"/>
          <w:color w:val="auto"/>
        </w:rPr>
        <w:t>Payment of Awards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58" w:lineRule="auto"/>
        <w:tabs>
          <w:tab w:leader="none" w:pos="107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 General. </w:t>
      </w:r>
      <w:r>
        <w:rPr>
          <w:rFonts w:ascii="Times New Roman" w:cs="Times New Roman" w:eastAsia="Times New Roman" w:hAnsi="Times New Roman"/>
          <w:sz w:val="18"/>
          <w:szCs w:val="18"/>
          <w:color w:val="auto"/>
        </w:rPr>
        <w:t>Absent a Plan or Award Agreement provision to the contrary, payment of Awards may, at the discretion of the Committee,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in cash, Stock, a combination of cash and Stock, or any other form of property as the Committee shall determine. In addition, payment of Awards may include such terms, conditions, restrictions and/or limitations, if any, as the Committee deems appropriate, including, in the case of Awards paid in the form of Stock, restrictions on transfer and forfeiture provisions; provided, however, such terms, conditions, restrictions and/or limitations are not inconsistent with the Plan.</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110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Withholding</w:t>
      </w:r>
      <w:r>
        <w:rPr>
          <w:rFonts w:ascii="Times New Roman" w:cs="Times New Roman" w:eastAsia="Times New Roman" w:hAnsi="Times New Roman"/>
          <w:sz w:val="18"/>
          <w:szCs w:val="18"/>
          <w:color w:val="auto"/>
        </w:rPr>
        <w:t>. The Corporation shall be entitled to deduct from any payment under the Plan, regardless of the form of such payment,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all applicable income and employment taxes required by law to be withheld with respect to such payment or may require the Grantee to pay to the Corporation such tax prior to and as a condition of the making of such payment. In accordance with any applicable administrative guidelines it establishes, the Committee may allow a Grantee to pay the amount of taxes required by law to be withheld from an Award by withholding from any payment of shares of Stock due as a result of such Award, or by permitting the Grantee to deliver to the Corporation, shares of Stock having a Fair Market Value equal to the minimum amount of such required withholding taxes. Notwithstanding the foregoing or the provision of any Award Agreement, a Grantee may not pay the amount of taxes required by law to be withheld using shares of Stock if, in the opinion of counsel to the Corporation, (i) the Grantee is, or within the six months preceding such exercise was, subject to reporting under Section 16(a) of the Exchange Act, (ii) there is a substantial likelihood that the use of such form of payment or the timing of such form of payment would subject the Grantee to a substantial risk of liability under Section 16 of the Exchange Act, or (iii) there is a substantial likelihood that the use of such form of payment would result in accounting treatment to the Corporation under generally accepted accounting principles that the Committee reasonably determines is adverse to the Corporation.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10. </w:t>
      </w:r>
      <w:r>
        <w:rPr>
          <w:rFonts w:ascii="Times New Roman" w:cs="Times New Roman" w:eastAsia="Times New Roman" w:hAnsi="Times New Roman"/>
          <w:sz w:val="18"/>
          <w:szCs w:val="18"/>
          <w:b w:val="1"/>
          <w:bCs w:val="1"/>
          <w:i w:val="1"/>
          <w:iCs w:val="1"/>
          <w:color w:val="auto"/>
        </w:rPr>
        <w:t>Effect of Termination of Relationship with the Corporation</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61" w:lineRule="auto"/>
        <w:tabs>
          <w:tab w:leader="none" w:pos="110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Committee Rules</w:t>
      </w:r>
      <w:r>
        <w:rPr>
          <w:rFonts w:ascii="Times New Roman" w:cs="Times New Roman" w:eastAsia="Times New Roman" w:hAnsi="Times New Roman"/>
          <w:sz w:val="18"/>
          <w:szCs w:val="18"/>
          <w:color w:val="auto"/>
        </w:rPr>
        <w:t>. The Committee shall have the authority to promulgate rules and regulations to determine the treatment of a Grantee’s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under the Plan in the event of such Grantee’s death, Disability, and termination. In addition, notwithstanding the provisions of this Section 10, the terms of an Award Agreement or the rules and regulations promulgated by the Committee and in effect from time to time, the Committee shall have the right to extend the period for exercise of any Option or SAR, provided such extension does not exceed the term of such Option or SAR.</w:t>
      </w:r>
    </w:p>
    <w:p>
      <w:pPr>
        <w:spacing w:after="0" w:line="179" w:lineRule="exact"/>
        <w:rPr>
          <w:rFonts w:ascii="Times New Roman" w:cs="Times New Roman" w:eastAsia="Times New Roman" w:hAnsi="Times New Roman"/>
          <w:sz w:val="18"/>
          <w:szCs w:val="18"/>
          <w:color w:val="auto"/>
        </w:rPr>
      </w:pPr>
    </w:p>
    <w:p>
      <w:pPr>
        <w:jc w:val="both"/>
        <w:ind w:firstLine="656"/>
        <w:spacing w:after="0" w:line="267" w:lineRule="auto"/>
        <w:tabs>
          <w:tab w:leader="none" w:pos="110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w:t>
      </w:r>
      <w:r>
        <w:rPr>
          <w:rFonts w:ascii="Times New Roman" w:cs="Times New Roman" w:eastAsia="Times New Roman" w:hAnsi="Times New Roman"/>
          <w:sz w:val="18"/>
          <w:szCs w:val="18"/>
          <w:color w:val="auto"/>
        </w:rPr>
        <w:t>. Unless otherwise decided by the Committee and provided in an Award Agreement, upon a Grantee’s death prior to the complete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of the Options or SARs granted to him or her under the Plan, any remaining Options or SARs may be exercised in whole or in part within one year after the date of the Grantee’s death and then only:</w:t>
      </w:r>
    </w:p>
    <w:p>
      <w:pPr>
        <w:spacing w:after="0" w:line="175" w:lineRule="exact"/>
        <w:rPr>
          <w:rFonts w:ascii="Times New Roman" w:cs="Times New Roman" w:eastAsia="Times New Roman" w:hAnsi="Times New Roman"/>
          <w:sz w:val="18"/>
          <w:szCs w:val="18"/>
          <w:color w:val="auto"/>
        </w:rPr>
      </w:pPr>
    </w:p>
    <w:p>
      <w:pPr>
        <w:jc w:val="both"/>
        <w:ind w:left="660" w:firstLine="482"/>
        <w:spacing w:after="0" w:line="266" w:lineRule="auto"/>
        <w:tabs>
          <w:tab w:leader="none" w:pos="161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beneficiary designated by the Grantee in a writing submitted to the Corporation prior to the Grantee’s death, or in the absence of same, by the Grantee’s estate or by or on behalf of such person or persons to whom the Grantee’s rights pass under his or her will or the laws of descent and distribution,</w:t>
      </w:r>
    </w:p>
    <w:p>
      <w:pPr>
        <w:spacing w:after="0" w:line="175" w:lineRule="exact"/>
        <w:rPr>
          <w:rFonts w:ascii="Times New Roman" w:cs="Times New Roman" w:eastAsia="Times New Roman" w:hAnsi="Times New Roman"/>
          <w:sz w:val="18"/>
          <w:szCs w:val="18"/>
          <w:color w:val="auto"/>
        </w:rPr>
      </w:pPr>
    </w:p>
    <w:p>
      <w:pPr>
        <w:ind w:left="660" w:firstLine="482"/>
        <w:spacing w:after="0" w:line="282" w:lineRule="auto"/>
        <w:tabs>
          <w:tab w:leader="none" w:pos="160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Grantee would have been entitled to exercise the Option or SAR at the date of his or her death and subject to all of the conditions on exercise imposed by the Plan and the Award Agreement, and</w:t>
      </w:r>
    </w:p>
    <w:p>
      <w:pPr>
        <w:spacing w:after="0" w:line="161" w:lineRule="exact"/>
        <w:rPr>
          <w:rFonts w:ascii="Times New Roman" w:cs="Times New Roman" w:eastAsia="Times New Roman" w:hAnsi="Times New Roman"/>
          <w:sz w:val="18"/>
          <w:szCs w:val="18"/>
          <w:color w:val="auto"/>
        </w:rPr>
      </w:pPr>
    </w:p>
    <w:p>
      <w:pPr>
        <w:ind w:left="1600" w:hanging="458"/>
        <w:spacing w:after="0"/>
        <w:tabs>
          <w:tab w:leader="none" w:pos="16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expiration of the term of the Option or SAR.</w:t>
      </w:r>
    </w:p>
    <w:p>
      <w:pPr>
        <w:spacing w:after="0" w:line="223" w:lineRule="exact"/>
        <w:rPr>
          <w:rFonts w:ascii="Times New Roman" w:cs="Times New Roman" w:eastAsia="Times New Roman" w:hAnsi="Times New Roman"/>
          <w:sz w:val="18"/>
          <w:szCs w:val="18"/>
          <w:color w:val="auto"/>
        </w:rPr>
      </w:pPr>
    </w:p>
    <w:p>
      <w:pPr>
        <w:jc w:val="both"/>
        <w:ind w:firstLine="656"/>
        <w:spacing w:after="0" w:line="267" w:lineRule="auto"/>
        <w:tabs>
          <w:tab w:leader="none" w:pos="112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Disability</w:t>
      </w:r>
      <w:r>
        <w:rPr>
          <w:rFonts w:ascii="Times New Roman" w:cs="Times New Roman" w:eastAsia="Times New Roman" w:hAnsi="Times New Roman"/>
          <w:sz w:val="18"/>
          <w:szCs w:val="18"/>
          <w:color w:val="auto"/>
        </w:rPr>
        <w:t>. Unless otherwise decided by the Committee and provided in an Award Agreement, upon a Grantee’s Disability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 exercise of the Options or SARs granted to him or her under the Plan, any remaining Options or SARs may be exercised in whole or in part within one year after the date of the Grantee’s Disability and then only:</w:t>
      </w:r>
    </w:p>
    <w:p>
      <w:pPr>
        <w:spacing w:after="0" w:line="175" w:lineRule="exact"/>
        <w:rPr>
          <w:rFonts w:ascii="Times New Roman" w:cs="Times New Roman" w:eastAsia="Times New Roman" w:hAnsi="Times New Roman"/>
          <w:sz w:val="18"/>
          <w:szCs w:val="18"/>
          <w:color w:val="auto"/>
        </w:rPr>
      </w:pPr>
    </w:p>
    <w:p>
      <w:pPr>
        <w:ind w:left="1580" w:hanging="438"/>
        <w:spacing w:after="0"/>
        <w:tabs>
          <w:tab w:leader="none" w:pos="15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Grantee or his or her legal representative,</w:t>
      </w:r>
    </w:p>
    <w:p>
      <w:pPr>
        <w:spacing w:after="0" w:line="225" w:lineRule="exact"/>
        <w:rPr>
          <w:rFonts w:ascii="Times New Roman" w:cs="Times New Roman" w:eastAsia="Times New Roman" w:hAnsi="Times New Roman"/>
          <w:sz w:val="18"/>
          <w:szCs w:val="18"/>
          <w:color w:val="auto"/>
        </w:rPr>
      </w:pPr>
    </w:p>
    <w:p>
      <w:pPr>
        <w:ind w:left="660" w:firstLine="482"/>
        <w:spacing w:after="0" w:line="282" w:lineRule="auto"/>
        <w:tabs>
          <w:tab w:leader="none" w:pos="162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Grantee would have been entitled to exercise the Option or SAR on the date of his or her Disability, subject to all of the conditions on exercise imposed by the Plan and the Award Agreement, and</w:t>
      </w:r>
    </w:p>
    <w:p>
      <w:pPr>
        <w:spacing w:after="0" w:line="161" w:lineRule="exact"/>
        <w:rPr>
          <w:rFonts w:ascii="Times New Roman" w:cs="Times New Roman" w:eastAsia="Times New Roman" w:hAnsi="Times New Roman"/>
          <w:sz w:val="18"/>
          <w:szCs w:val="18"/>
          <w:color w:val="auto"/>
        </w:rPr>
      </w:pPr>
    </w:p>
    <w:p>
      <w:pPr>
        <w:ind w:left="1600" w:hanging="458"/>
        <w:spacing w:after="0"/>
        <w:tabs>
          <w:tab w:leader="none" w:pos="16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expiration of the term of the Option or SAR.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7" w:name="page68"/>
    <w:bookmarkEnd w:id="67"/>
    <w:p>
      <w:pPr>
        <w:jc w:val="both"/>
        <w:ind w:firstLine="656"/>
        <w:spacing w:after="0" w:line="261" w:lineRule="auto"/>
        <w:tabs>
          <w:tab w:leader="none" w:pos="11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Termination</w:t>
      </w:r>
      <w:r>
        <w:rPr>
          <w:rFonts w:ascii="Times New Roman" w:cs="Times New Roman" w:eastAsia="Times New Roman" w:hAnsi="Times New Roman"/>
          <w:sz w:val="18"/>
          <w:szCs w:val="18"/>
          <w:color w:val="auto"/>
        </w:rPr>
        <w:t>. Unless otherwise decided by the Committee and provided in an Award Agreement, the termination of a Grantee’s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consulting relationship or term of directorship with the Corporation for a reason other than the Grantee’s death or Disability and prior to the complete exercise of the Options or SARs granted to him or her under the Plan, any remaining Options or SARs may be exercised in whole or in part within three months after the date of the Grantee’s termination and then only:</w:t>
      </w:r>
    </w:p>
    <w:p>
      <w:pPr>
        <w:spacing w:after="0" w:line="181" w:lineRule="exact"/>
        <w:rPr>
          <w:rFonts w:ascii="Times New Roman" w:cs="Times New Roman" w:eastAsia="Times New Roman" w:hAnsi="Times New Roman"/>
          <w:sz w:val="18"/>
          <w:szCs w:val="18"/>
          <w:color w:val="auto"/>
        </w:rPr>
      </w:pPr>
    </w:p>
    <w:p>
      <w:pPr>
        <w:ind w:left="1580" w:hanging="438"/>
        <w:spacing w:after="0"/>
        <w:tabs>
          <w:tab w:leader="none" w:pos="15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Grantee or his or her legal representative,</w:t>
      </w:r>
    </w:p>
    <w:p>
      <w:pPr>
        <w:spacing w:after="0" w:line="225" w:lineRule="exact"/>
        <w:rPr>
          <w:rFonts w:ascii="Times New Roman" w:cs="Times New Roman" w:eastAsia="Times New Roman" w:hAnsi="Times New Roman"/>
          <w:sz w:val="18"/>
          <w:szCs w:val="18"/>
          <w:color w:val="auto"/>
        </w:rPr>
      </w:pPr>
    </w:p>
    <w:p>
      <w:pPr>
        <w:ind w:left="660" w:firstLine="482"/>
        <w:spacing w:after="0" w:line="282" w:lineRule="auto"/>
        <w:tabs>
          <w:tab w:leader="none" w:pos="160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Grantee would have been entitled to exercise the Option or SAR on the date of his or her termination, subject to all of the conditions on exercise imposed by the Plan and the Award Agreement, and</w:t>
      </w:r>
    </w:p>
    <w:p>
      <w:pPr>
        <w:spacing w:after="0" w:line="161" w:lineRule="exact"/>
        <w:rPr>
          <w:rFonts w:ascii="Times New Roman" w:cs="Times New Roman" w:eastAsia="Times New Roman" w:hAnsi="Times New Roman"/>
          <w:sz w:val="18"/>
          <w:szCs w:val="18"/>
          <w:color w:val="auto"/>
        </w:rPr>
      </w:pPr>
    </w:p>
    <w:p>
      <w:pPr>
        <w:ind w:left="1600" w:hanging="458"/>
        <w:spacing w:after="0"/>
        <w:tabs>
          <w:tab w:leader="none" w:pos="16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expiration of the term of the Option or SAR.</w:t>
      </w:r>
    </w:p>
    <w:p>
      <w:pPr>
        <w:spacing w:after="0" w:line="223" w:lineRule="exact"/>
        <w:rPr>
          <w:rFonts w:ascii="Times New Roman" w:cs="Times New Roman" w:eastAsia="Times New Roman" w:hAnsi="Times New Roman"/>
          <w:sz w:val="18"/>
          <w:szCs w:val="18"/>
          <w:color w:val="auto"/>
        </w:rPr>
      </w:pPr>
    </w:p>
    <w:p>
      <w:pPr>
        <w:jc w:val="both"/>
        <w:ind w:firstLine="656"/>
        <w:spacing w:after="0" w:line="267" w:lineRule="auto"/>
        <w:tabs>
          <w:tab w:leader="none" w:pos="117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Intra-Corporation Transfers</w:t>
      </w:r>
      <w:r>
        <w:rPr>
          <w:rFonts w:ascii="Times New Roman" w:cs="Times New Roman" w:eastAsia="Times New Roman" w:hAnsi="Times New Roman"/>
          <w:sz w:val="18"/>
          <w:szCs w:val="18"/>
          <w:color w:val="auto"/>
        </w:rPr>
        <w:t>. In the case of an Employee or Consultant, the transfer between the Corporation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shall not be deemed to be a termination of employment or consulting relationship, and a change from the status of an Employee to a Consultant or from a Consultant to an Employee shall not be deemed to be a termination of employment or consulting relationship.</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11. </w:t>
      </w:r>
      <w:r>
        <w:rPr>
          <w:rFonts w:ascii="Times New Roman" w:cs="Times New Roman" w:eastAsia="Times New Roman" w:hAnsi="Times New Roman"/>
          <w:sz w:val="18"/>
          <w:szCs w:val="18"/>
          <w:b w:val="1"/>
          <w:bCs w:val="1"/>
          <w:i w:val="1"/>
          <w:iCs w:val="1"/>
          <w:color w:val="auto"/>
        </w:rPr>
        <w:t>General Provisions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58" w:lineRule="auto"/>
        <w:tabs>
          <w:tab w:leader="none" w:pos="117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Each Award grant shall be evidenced by a written Award Agreement containing such terms and conditions,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inconsistent with the Plan, as the Committee shall approve. The terms and provisions of Award Agreements may vary among Grantees and among different Awards granted to the same Grantee. Any Stock Award granted under the Plan may be evidenced in such manner as the Committee deems appropriate, including, without limitation, book-entry registration or issuance of a stock certificate or certificates, with such restrictive legends and/or stop transfer instructions as the Committee deems appropriate.</w:t>
      </w:r>
    </w:p>
    <w:p>
      <w:pPr>
        <w:spacing w:after="0" w:line="183" w:lineRule="exact"/>
        <w:rPr>
          <w:rFonts w:ascii="Times New Roman" w:cs="Times New Roman" w:eastAsia="Times New Roman" w:hAnsi="Times New Roman"/>
          <w:sz w:val="18"/>
          <w:szCs w:val="18"/>
          <w:color w:val="auto"/>
        </w:rPr>
      </w:pPr>
    </w:p>
    <w:p>
      <w:pPr>
        <w:jc w:val="both"/>
        <w:ind w:firstLine="656"/>
        <w:spacing w:after="0" w:line="267" w:lineRule="auto"/>
        <w:tabs>
          <w:tab w:leader="none" w:pos="104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Right to Further Awards or Continued Service</w:t>
      </w:r>
      <w:r>
        <w:rPr>
          <w:rFonts w:ascii="Times New Roman" w:cs="Times New Roman" w:eastAsia="Times New Roman" w:hAnsi="Times New Roman"/>
          <w:sz w:val="18"/>
          <w:szCs w:val="18"/>
          <w:color w:val="auto"/>
        </w:rPr>
        <w:t>. The grant of an Award in any year shall not give the Grantee any right to similar grants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years or any right to continue such Grantee’s employment or consultant relationship with the Corporation or its Subsidiaries. All Grantees shall remain subject to discharge to the same extent as if the Plan were not in effect.</w:t>
      </w:r>
    </w:p>
    <w:p>
      <w:pPr>
        <w:spacing w:after="0" w:line="173" w:lineRule="exact"/>
        <w:rPr>
          <w:rFonts w:ascii="Times New Roman" w:cs="Times New Roman" w:eastAsia="Times New Roman" w:hAnsi="Times New Roman"/>
          <w:sz w:val="18"/>
          <w:szCs w:val="18"/>
          <w:color w:val="auto"/>
        </w:rPr>
      </w:pPr>
    </w:p>
    <w:p>
      <w:pPr>
        <w:jc w:val="both"/>
        <w:ind w:firstLine="656"/>
        <w:spacing w:after="0" w:line="257" w:lineRule="auto"/>
        <w:tabs>
          <w:tab w:leader="none" w:pos="106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Right, Title, or Interest in Corporation Assets</w:t>
      </w:r>
      <w:r>
        <w:rPr>
          <w:rFonts w:ascii="Times New Roman" w:cs="Times New Roman" w:eastAsia="Times New Roman" w:hAnsi="Times New Roman"/>
          <w:sz w:val="18"/>
          <w:szCs w:val="18"/>
          <w:color w:val="auto"/>
        </w:rPr>
        <w:t>. No Grantee shall have any rights as a stockholder as a result of participation in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until the date of issuance of a stock certificate in his or her name, and, in the case of restricted shares of Stock, such rights are granted to the Grantee under the Plan. To the extent any person acquires a right to receive payments from the Corporation under the Plan, such rights shall be no greater than the rights of an unsecured creditor of the Corporation and the Grantee shall not have any rights in or against any specific assets of the Corporation. All of the Awards granted under the Plan shall be unfunded and the Corporation shall not be required to establish any fund or make any other segregation of assets to assure the payment of any Award.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68" w:name="page69"/>
    <w:bookmarkEnd w:id="68"/>
    <w:p>
      <w:pPr>
        <w:ind w:left="384" w:hanging="384"/>
        <w:spacing w:after="0"/>
        <w:tabs>
          <w:tab w:leader="none" w:pos="38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Nonassignability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4" w:firstLine="482"/>
        <w:spacing w:after="0" w:line="266" w:lineRule="auto"/>
        <w:tabs>
          <w:tab w:leader="none" w:pos="90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determined by the Committee or as otherwise provided in Section 11(d)(ii) hereof, no Award or other right under the Plan shall be subject to anticipation, sale, assignment, pledge, encumbrance, or charge except by will or the laws of descent and distribution, and an Award shall be exercisable during the Grantee’s lifetime only by the Grantee.</w:t>
      </w:r>
    </w:p>
    <w:p>
      <w:pPr>
        <w:spacing w:after="0" w:line="175" w:lineRule="exact"/>
        <w:rPr>
          <w:rFonts w:ascii="Times New Roman" w:cs="Times New Roman" w:eastAsia="Times New Roman" w:hAnsi="Times New Roman"/>
          <w:sz w:val="18"/>
          <w:szCs w:val="18"/>
          <w:color w:val="auto"/>
        </w:rPr>
      </w:pPr>
    </w:p>
    <w:p>
      <w:pPr>
        <w:jc w:val="both"/>
        <w:ind w:left="4" w:firstLine="482"/>
        <w:spacing w:after="0" w:line="266" w:lineRule="auto"/>
        <w:tabs>
          <w:tab w:leader="none" w:pos="109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have the discretionary authority to grant NQSOs or amend outstanding NQSOs to provide that they be transferable, subject to such terms and conditions as the Committee shall establish. In addition to any such terms and conditions, the following terms and conditions shall apply to all transfers of NQSOs:</w:t>
      </w:r>
    </w:p>
    <w:p>
      <w:pPr>
        <w:spacing w:after="0" w:line="175" w:lineRule="exact"/>
        <w:rPr>
          <w:rFonts w:ascii="Times New Roman" w:cs="Times New Roman" w:eastAsia="Times New Roman" w:hAnsi="Times New Roman"/>
          <w:sz w:val="18"/>
          <w:szCs w:val="18"/>
          <w:color w:val="auto"/>
        </w:rPr>
      </w:pPr>
    </w:p>
    <w:p>
      <w:pPr>
        <w:jc w:val="both"/>
        <w:ind w:left="484" w:firstLine="488"/>
        <w:spacing w:after="0" w:line="266" w:lineRule="auto"/>
        <w:tabs>
          <w:tab w:leader="none" w:pos="1444"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by the Committee, in its sole and absolute discretion, only Directors and corporate officers of the Corporation shall be permitted to transfer their NQSOs, and such individuals must be a Director or a corporate officer on the date of transfer.</w:t>
      </w:r>
    </w:p>
    <w:p>
      <w:pPr>
        <w:spacing w:after="0" w:line="175" w:lineRule="exact"/>
        <w:rPr>
          <w:rFonts w:ascii="Times New Roman" w:cs="Times New Roman" w:eastAsia="Times New Roman" w:hAnsi="Times New Roman"/>
          <w:sz w:val="18"/>
          <w:szCs w:val="18"/>
          <w:color w:val="auto"/>
        </w:rPr>
      </w:pPr>
    </w:p>
    <w:p>
      <w:pPr>
        <w:jc w:val="both"/>
        <w:ind w:left="484" w:firstLine="488"/>
        <w:spacing w:after="0" w:line="261" w:lineRule="auto"/>
        <w:tabs>
          <w:tab w:leader="none" w:pos="1462"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shall only be permitted to: (1) the transferor’s Immediate Family Members; (2) a trust or trusts for the exclusive benefit of the transferor’s Immediate Family Members; or (3) a family partnership or family limited partnership in which each partner is, at the time of transfer and all time subsequent thereto, either an Immediate Family Member or a trust for the exclusive benefit of one or more Immediate Family Members.</w:t>
      </w:r>
    </w:p>
    <w:p>
      <w:pPr>
        <w:spacing w:after="0" w:line="179" w:lineRule="exact"/>
        <w:rPr>
          <w:rFonts w:ascii="Times New Roman" w:cs="Times New Roman" w:eastAsia="Times New Roman" w:hAnsi="Times New Roman"/>
          <w:sz w:val="18"/>
          <w:szCs w:val="18"/>
          <w:color w:val="auto"/>
        </w:rPr>
      </w:pPr>
    </w:p>
    <w:p>
      <w:pPr>
        <w:ind w:left="1424" w:hanging="452"/>
        <w:spacing w:after="0"/>
        <w:tabs>
          <w:tab w:leader="none" w:pos="1424"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transfers shall be made for no consideration.</w:t>
      </w:r>
    </w:p>
    <w:p>
      <w:pPr>
        <w:spacing w:after="0" w:line="225" w:lineRule="exact"/>
        <w:rPr>
          <w:rFonts w:ascii="Times New Roman" w:cs="Times New Roman" w:eastAsia="Times New Roman" w:hAnsi="Times New Roman"/>
          <w:sz w:val="18"/>
          <w:szCs w:val="18"/>
          <w:color w:val="auto"/>
        </w:rPr>
      </w:pPr>
    </w:p>
    <w:p>
      <w:pPr>
        <w:jc w:val="both"/>
        <w:ind w:left="484" w:firstLine="488"/>
        <w:spacing w:after="0" w:line="266" w:lineRule="auto"/>
        <w:tabs>
          <w:tab w:leader="none" w:pos="1421"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a NQSO is transferred, any subsequent transfer of such transferred NQSO shall, notwithstanding Section 11(d)(i) hereof to the contrary, be permitted; provided, however, such subsequent transfer complies with all of the terms and conditions of this Section 11(d)(ii), with the exception of Section 11(d)(ii)(A) hereof.</w:t>
      </w:r>
    </w:p>
    <w:p>
      <w:pPr>
        <w:spacing w:after="0" w:line="175" w:lineRule="exact"/>
        <w:rPr>
          <w:rFonts w:ascii="Times New Roman" w:cs="Times New Roman" w:eastAsia="Times New Roman" w:hAnsi="Times New Roman"/>
          <w:sz w:val="18"/>
          <w:szCs w:val="18"/>
          <w:color w:val="auto"/>
        </w:rPr>
      </w:pPr>
    </w:p>
    <w:p>
      <w:pPr>
        <w:ind w:left="484" w:right="20" w:firstLine="488"/>
        <w:spacing w:after="0" w:line="282" w:lineRule="auto"/>
        <w:tabs>
          <w:tab w:leader="none" w:pos="1479"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for a transfer to be effective, the Committee’s designated transfer agent must be used to effectuate the transfer. The costs of such transfer agent shall be borne solely by the transferor.</w:t>
      </w:r>
    </w:p>
    <w:p>
      <w:pPr>
        <w:spacing w:after="0" w:line="161" w:lineRule="exact"/>
        <w:rPr>
          <w:rFonts w:ascii="Times New Roman" w:cs="Times New Roman" w:eastAsia="Times New Roman" w:hAnsi="Times New Roman"/>
          <w:sz w:val="18"/>
          <w:szCs w:val="18"/>
          <w:color w:val="auto"/>
        </w:rPr>
      </w:pPr>
    </w:p>
    <w:p>
      <w:pPr>
        <w:jc w:val="both"/>
        <w:ind w:left="484" w:firstLine="488"/>
        <w:spacing w:after="0" w:line="261" w:lineRule="auto"/>
        <w:tabs>
          <w:tab w:leader="none" w:pos="1498"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for a transfer in accordance with Section 11(d)(ii) to be effective, the transferor must agree in writing prior to the transfer on a form provided by the Corporation to pay any and all payroll and withholding taxes due upon exercise of the transferred NQSO. In addition, prior to the exercise of the transferred NQSO by the transferee, arrangements must be made by the Grantee with the Corporation for the payment of any and all payroll and withholding taxes.</w:t>
      </w:r>
    </w:p>
    <w:p>
      <w:pPr>
        <w:spacing w:after="0" w:line="179" w:lineRule="exact"/>
        <w:rPr>
          <w:rFonts w:ascii="Times New Roman" w:cs="Times New Roman" w:eastAsia="Times New Roman" w:hAnsi="Times New Roman"/>
          <w:sz w:val="18"/>
          <w:szCs w:val="18"/>
          <w:color w:val="auto"/>
        </w:rPr>
      </w:pPr>
    </w:p>
    <w:p>
      <w:pPr>
        <w:jc w:val="both"/>
        <w:ind w:left="484" w:firstLine="488"/>
        <w:spacing w:after="0" w:line="261" w:lineRule="auto"/>
        <w:tabs>
          <w:tab w:leader="none" w:pos="1466"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transfer, a NQSO continues to be governed by and subject to the terms and conditions of the Plan. A transferee of a NQSO is entitled to the same rights as the Grantee to whom such NQSO was originally granted, as if no transfer had taken place. Accordingly, the rights of the transferee are subject to the terms and conditions of the original grant of the NQSO, including provisions relating to expiration date, exercisability, exercise price and forfeiture.</w:t>
      </w:r>
    </w:p>
    <w:p>
      <w:pPr>
        <w:spacing w:after="0" w:line="18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8" w:right="339" w:bottom="1440" w:gutter="0" w:footer="0" w:header="0"/>
        </w:sectPr>
      </w:pPr>
    </w:p>
    <w:bookmarkStart w:id="69" w:name="page70"/>
    <w:bookmarkEnd w:id="69"/>
    <w:p>
      <w:pPr>
        <w:ind w:left="1140" w:firstLine="488"/>
        <w:spacing w:after="0" w:line="282" w:lineRule="auto"/>
        <w:tabs>
          <w:tab w:leader="none" w:pos="2126"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be under no obligation to provide a transferee with any notice regarding the transferred NQSO held by the transferee upon forfeiture or any other circumstance.</w:t>
      </w:r>
    </w:p>
    <w:p>
      <w:pPr>
        <w:spacing w:after="0" w:line="159" w:lineRule="exact"/>
        <w:rPr>
          <w:rFonts w:ascii="Times New Roman" w:cs="Times New Roman" w:eastAsia="Times New Roman" w:hAnsi="Times New Roman"/>
          <w:sz w:val="18"/>
          <w:szCs w:val="18"/>
          <w:color w:val="auto"/>
        </w:rPr>
      </w:pPr>
    </w:p>
    <w:p>
      <w:pPr>
        <w:jc w:val="both"/>
        <w:ind w:firstLine="656"/>
        <w:spacing w:after="0" w:line="267" w:lineRule="auto"/>
        <w:tabs>
          <w:tab w:leader="none" w:pos="11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Approvals and Listings</w:t>
      </w:r>
      <w:r>
        <w:rPr>
          <w:rFonts w:ascii="Times New Roman" w:cs="Times New Roman" w:eastAsia="Times New Roman" w:hAnsi="Times New Roman"/>
          <w:sz w:val="18"/>
          <w:szCs w:val="18"/>
          <w:color w:val="auto"/>
        </w:rPr>
        <w:t>. Notwithstanding any other provision of the Plan or Award Agreements made pursuant thereto,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shall not be required to issue or deliver any certificate or certificates for shares of Stock under the Plan prior to fulfillment of all of the following conditions:</w:t>
      </w:r>
    </w:p>
    <w:p>
      <w:pPr>
        <w:spacing w:after="0" w:line="175" w:lineRule="exact"/>
        <w:rPr>
          <w:rFonts w:ascii="Times New Roman" w:cs="Times New Roman" w:eastAsia="Times New Roman" w:hAnsi="Times New Roman"/>
          <w:sz w:val="18"/>
          <w:szCs w:val="18"/>
          <w:color w:val="auto"/>
        </w:rPr>
      </w:pPr>
    </w:p>
    <w:p>
      <w:pPr>
        <w:ind w:left="1580" w:hanging="438"/>
        <w:spacing w:after="0"/>
        <w:tabs>
          <w:tab w:leader="none" w:pos="15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or approval for listing upon notice of issuance, of such shares on any securities exchange on which the Stock may then be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traded;</w:t>
      </w:r>
    </w:p>
    <w:p>
      <w:pPr>
        <w:spacing w:after="0" w:line="206" w:lineRule="exact"/>
        <w:rPr>
          <w:rFonts w:ascii="Times New Roman" w:cs="Times New Roman" w:eastAsia="Times New Roman" w:hAnsi="Times New Roman"/>
          <w:sz w:val="18"/>
          <w:szCs w:val="18"/>
          <w:color w:val="auto"/>
        </w:rPr>
      </w:pPr>
    </w:p>
    <w:p>
      <w:pPr>
        <w:ind w:left="660" w:firstLine="482"/>
        <w:spacing w:after="0" w:line="282" w:lineRule="auto"/>
        <w:tabs>
          <w:tab w:leader="none" w:pos="165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registration or other qualification of such shares under any state or federal law or regulation, or other qualification which the Board shall, in its absolute discretion and upon the advice of counsel, deem necessary or advisable;</w:t>
      </w:r>
    </w:p>
    <w:p>
      <w:pPr>
        <w:spacing w:after="0" w:line="161" w:lineRule="exact"/>
        <w:rPr>
          <w:rFonts w:ascii="Times New Roman" w:cs="Times New Roman" w:eastAsia="Times New Roman" w:hAnsi="Times New Roman"/>
          <w:sz w:val="18"/>
          <w:szCs w:val="18"/>
          <w:color w:val="auto"/>
        </w:rPr>
      </w:pPr>
    </w:p>
    <w:p>
      <w:pPr>
        <w:ind w:left="660" w:right="20" w:firstLine="482"/>
        <w:spacing w:after="0" w:line="282" w:lineRule="auto"/>
        <w:tabs>
          <w:tab w:leader="none" w:pos="165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obtaining of any other consent approval or permit from any state or federal government agency which the Board shall, in its absolute discretion and upon the advice of counsel, determine to be necessary or advisable; and</w:t>
      </w:r>
    </w:p>
    <w:p>
      <w:pPr>
        <w:spacing w:after="0" w:line="161" w:lineRule="exact"/>
        <w:rPr>
          <w:rFonts w:ascii="Times New Roman" w:cs="Times New Roman" w:eastAsia="Times New Roman" w:hAnsi="Times New Roman"/>
          <w:sz w:val="18"/>
          <w:szCs w:val="18"/>
          <w:color w:val="auto"/>
        </w:rPr>
      </w:pPr>
    </w:p>
    <w:p>
      <w:pPr>
        <w:jc w:val="both"/>
        <w:ind w:left="660" w:firstLine="482"/>
        <w:spacing w:after="0" w:line="261" w:lineRule="auto"/>
        <w:tabs>
          <w:tab w:leader="none" w:pos="159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by the Grantee (or the Grantee’s legal representative) of such written representation that the Committee may in its sole discretion deem necessary or advisable to the effect that the shares then being purchased are being purchased for investment with no present intention of reselling or otherwise disposing of such shares in any manner which may result in a violation of the Securities Act and the placement upon certificates for such shares of an appropriate legend in connection therewith.</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02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grant of an Option to any Employee or Consultant of a Subsidiary, the Corporation may, if the Committee so directs, issue or transfer the shares covered by the Option to the Subsidiary, for such lawful consideration as the Committee may specify, upon the condition or understanding that the Subsidiary will transfer the shares to the Employee or Consultant in accordance with the terms of the Plan and the Award Agreement relating to such Option.</w:t>
      </w:r>
    </w:p>
    <w:p>
      <w:pPr>
        <w:spacing w:after="0" w:line="177"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Notwithstanding anything to the contrary in this Agreement:</w:t>
      </w:r>
    </w:p>
    <w:p>
      <w:pPr>
        <w:spacing w:after="0" w:line="227" w:lineRule="exact"/>
        <w:rPr>
          <w:rFonts w:ascii="Times New Roman" w:cs="Times New Roman" w:eastAsia="Times New Roman" w:hAnsi="Times New Roman"/>
          <w:sz w:val="18"/>
          <w:szCs w:val="18"/>
          <w:color w:val="auto"/>
        </w:rPr>
      </w:pPr>
    </w:p>
    <w:p>
      <w:pPr>
        <w:jc w:val="both"/>
        <w:ind w:left="660" w:firstLine="482"/>
        <w:spacing w:after="0" w:line="261" w:lineRule="auto"/>
        <w:tabs>
          <w:tab w:leader="none" w:pos="156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and each Award granted hereunder shall be interpreted to comply with or be exempt from Code Section 409A to the extent applicable, and all provisions of this Plan and each Award granted hereunder shall be construed in a manner consistent with the requirements for avoiding taxes or penalties under Code Section 409A. In no event whatsoever will the Corporation be liable for any additional tax, interest or penalties that may be imposed on any Grantee under Code Section 409A or any damages for failing to comply with Code Section 409A.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0" w:name="page71"/>
    <w:bookmarkEnd w:id="70"/>
    <w:p>
      <w:pPr>
        <w:jc w:val="both"/>
        <w:ind w:left="640" w:firstLine="482"/>
        <w:spacing w:after="0" w:line="253" w:lineRule="auto"/>
        <w:tabs>
          <w:tab w:leader="none" w:pos="159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shall not be deemed to have occurred for purposes of any provision of this Plan or any Award granted hereunder providing for the payment of any amounts or benefits considered “nonqualified deferred compensation” under Code Section 409A upon or following a termination of employment unless such termination is also a “separation from service” within the meaning of Code Section 409A and, for purposes of any such provision of this Plan and any Award granted hereunder, references to a “termination,” “termination of employment” or like terms shall mean “separation from service.” If a Grantee is deemed on the date of termination to be a “specified employee” within the meaning of that term under Code Section 409A(a)(2)(B), then with regard to any payment that is considered nonqualified deferred compensation under Code Section 409A payable on account of a “separation from service,” such payment or benefit shall not be paid until the expiration of the Delay Period. Upon the expiration of the Delay Period, all payments delayed pursuant to this Section 11(g)(ii) (whether they would have otherwise been payable in a single sum or in installments in the absence of such delay) shall be paid or reimbursed on the first business day following the expiration of the Delay Period to the Grantee in a lump sum, and any remaining payments due under this Agreement shall be paid or provided in accordance with the normal payment dates specified for them herein.</w:t>
      </w:r>
    </w:p>
    <w:p>
      <w:pPr>
        <w:spacing w:after="0" w:line="189" w:lineRule="exact"/>
        <w:rPr>
          <w:rFonts w:ascii="Times New Roman" w:cs="Times New Roman" w:eastAsia="Times New Roman" w:hAnsi="Times New Roman"/>
          <w:sz w:val="18"/>
          <w:szCs w:val="18"/>
          <w:color w:val="auto"/>
        </w:rPr>
      </w:pPr>
    </w:p>
    <w:p>
      <w:pPr>
        <w:ind w:right="20" w:firstLine="654"/>
        <w:spacing w:after="0" w:line="284" w:lineRule="auto"/>
        <w:tabs>
          <w:tab w:leader="none" w:pos="111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Plan shall be governed by and construed in accordance with the laws of the State of New York, except as superseded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applicable federal law, without giving effect to its conflicts of law provisions.</w:t>
      </w:r>
    </w:p>
    <w:p>
      <w:pPr>
        <w:spacing w:after="0" w:line="158" w:lineRule="exact"/>
        <w:rPr>
          <w:rFonts w:ascii="Times New Roman" w:cs="Times New Roman" w:eastAsia="Times New Roman" w:hAnsi="Times New Roman"/>
          <w:sz w:val="18"/>
          <w:szCs w:val="18"/>
          <w:color w:val="auto"/>
        </w:rPr>
      </w:pPr>
    </w:p>
    <w:p>
      <w:pPr>
        <w:jc w:val="both"/>
        <w:ind w:firstLine="654"/>
        <w:spacing w:after="0" w:line="261" w:lineRule="auto"/>
        <w:tabs>
          <w:tab w:leader="none" w:pos="104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Guarantee of Tax Consequences. </w:t>
      </w:r>
      <w:r>
        <w:rPr>
          <w:rFonts w:ascii="Times New Roman" w:cs="Times New Roman" w:eastAsia="Times New Roman" w:hAnsi="Times New Roman"/>
          <w:sz w:val="18"/>
          <w:szCs w:val="18"/>
          <w:color w:val="auto"/>
        </w:rPr>
        <w:t>No person connected with the Plan in any capacity, including, but not limited to, the Corporation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officers, agents and employees, makes any representation, commitment, or guarantee that any tax treatment, including, but not limited to, federal, state and local income, estate and gift tax treatment, will be applicable with respect to the tax treatment of any Award, or that such tax treatment will apply to or be available to a Grantee on account of participation in the Plan.</w:t>
      </w:r>
    </w:p>
    <w:p>
      <w:pPr>
        <w:spacing w:after="0" w:line="179" w:lineRule="exact"/>
        <w:rPr>
          <w:rFonts w:ascii="Times New Roman" w:cs="Times New Roman" w:eastAsia="Times New Roman" w:hAnsi="Times New Roman"/>
          <w:sz w:val="18"/>
          <w:szCs w:val="18"/>
          <w:color w:val="auto"/>
        </w:rPr>
      </w:pPr>
    </w:p>
    <w:p>
      <w:pPr>
        <w:jc w:val="both"/>
        <w:ind w:firstLine="654"/>
        <w:spacing w:after="0" w:line="254" w:lineRule="auto"/>
        <w:tabs>
          <w:tab w:leader="none" w:pos="105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or Termination</w:t>
      </w:r>
      <w:r>
        <w:rPr>
          <w:rFonts w:ascii="Times New Roman" w:cs="Times New Roman" w:eastAsia="Times New Roman" w:hAnsi="Times New Roman"/>
          <w:sz w:val="18"/>
          <w:szCs w:val="18"/>
          <w:color w:val="auto"/>
        </w:rPr>
        <w:t>. The Board may, at any time and for any reason, with or without prior notice, suspend, discontinue or terminate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provided, however, that no such action shall adversely affect the rights of Grantees to Awards previously granted hereunder. In addition, the Board may, at any time and for any reason, with or without prior notice, amend the Plan in any manner, but may not without stockholder approval, adopt any amendment which would: (i) increase the number of shares available under the Plan; (ii) expand the types of Awards available under the Plan; (iii) expand the class of persons eligible to participate in the Plan; (iv) extend the term of the Plan; (v) be a material amendment to the Plan, including, but not limited to, a change in the method of determining the exercise price of Options issued under the Plan; (vi) allow for repricing of Options or SARs issued under the Plan; (vii) terminate restrictions applicable to Awards (except in connection with a Grantee’s death, Disability or termination of employment or in connection with a Change in Control); or (viii) require the vote of the stockholders if such approval is necessary or desirable in order to comply with tax, securities, or other applicable laws or regulations, including, but not limited to, the listing requirements of the stock exchanges on which the securities of Corporation are listed.</w:t>
      </w:r>
    </w:p>
    <w:p>
      <w:pPr>
        <w:spacing w:after="0" w:line="185" w:lineRule="exact"/>
        <w:rPr>
          <w:rFonts w:ascii="Times New Roman" w:cs="Times New Roman" w:eastAsia="Times New Roman" w:hAnsi="Times New Roman"/>
          <w:sz w:val="18"/>
          <w:szCs w:val="18"/>
          <w:color w:val="auto"/>
        </w:rPr>
      </w:pPr>
    </w:p>
    <w:p>
      <w:pPr>
        <w:jc w:val="both"/>
        <w:ind w:firstLine="654"/>
        <w:spacing w:after="0" w:line="261" w:lineRule="auto"/>
        <w:tabs>
          <w:tab w:leader="none" w:pos="105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 Date and Duration of Plan</w:t>
      </w:r>
      <w:r>
        <w:rPr>
          <w:rFonts w:ascii="Times New Roman" w:cs="Times New Roman" w:eastAsia="Times New Roman" w:hAnsi="Times New Roman"/>
          <w:sz w:val="18"/>
          <w:szCs w:val="18"/>
          <w:color w:val="auto"/>
        </w:rPr>
        <w:t>. The adoption of the Plan was approved by the Board of Directors on April 17, 2024, subject,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approval by the stockholders of the Corporation by a majority of the votes cast in person or by proxy at the 2024 annual meeting of the Corporation’s stockholders including any adjournment thereof. The effective date of the Plan shall be July 16, 2024, the date of such approval by the Corporation’s stockholders. Awards may not be granted under the Plan after July 15, 2034, but Awards theretofore granted may extend beyond that date.</w:t>
      </w:r>
    </w:p>
    <w:p>
      <w:pPr>
        <w:spacing w:after="0" w:line="1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sectPr>
      <w:pgSz w:w="11900" w:h="16838" w:orient="portrait"/>
      <w:cols w:equalWidth="0" w:num="1">
        <w:col w:w="11220"/>
      </w:cols>
      <w:pgMar w:left="34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1)"/>
      <w:numFmt w:val="decimal"/>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1)"/>
      <w:numFmt w:val="decimal"/>
      <w:start w:val="1"/>
    </w:lvl>
  </w:abstractNum>
  <w:abstractNum w:abstractNumId="5">
    <w:nsid w:val="22221A70"/>
    <w:multiLevelType w:val="hybridMultilevel"/>
    <w:lvl w:ilvl="0">
      <w:lvlJc w:val="left"/>
      <w:lvlText w:val="(%1)"/>
      <w:numFmt w:val="decimal"/>
      <w:start w:val="3"/>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1)"/>
      <w:numFmt w:val="lowerLetter"/>
      <w:start w:val="1"/>
    </w:lvl>
    <w:lvl w:ilvl="1">
      <w:lvlJc w:val="left"/>
      <w:lvlText w:val="(%2)"/>
      <w:numFmt w:val="decimal"/>
      <w:start w:val="1"/>
    </w:lvl>
  </w:abstractNum>
  <w:abstractNum w:abstractNumId="9">
    <w:nsid w:val="419AC241"/>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0">
    <w:nsid w:val="5577F8E1"/>
    <w:multiLevelType w:val="hybridMultilevel"/>
    <w:lvl w:ilvl="0">
      <w:lvlJc w:val="left"/>
      <w:lvlText w:val="(%1)"/>
      <w:numFmt w:val="lowerLetter"/>
      <w:start w:val="3"/>
    </w:lvl>
  </w:abstractNum>
  <w:abstractNum w:abstractNumId="11">
    <w:nsid w:val="440BADFC"/>
    <w:multiLevelType w:val="hybridMultilevel"/>
    <w:lvl w:ilvl="0">
      <w:lvlJc w:val="left"/>
      <w:lvlText w:val="(%1)"/>
      <w:numFmt w:val="lowerLetter"/>
      <w:start w:val="4"/>
    </w:lvl>
    <w:lvl w:ilvl="1">
      <w:lvlJc w:val="left"/>
      <w:lvlText w:val="(%2)"/>
      <w:numFmt w:val="decimal"/>
      <w:start w:val="1"/>
    </w:lvl>
  </w:abstractNum>
  <w:abstractNum w:abstractNumId="12">
    <w:nsid w:val="5072367"/>
    <w:multiLevelType w:val="hybridMultilevel"/>
    <w:lvl w:ilvl="0">
      <w:lvlJc w:val="left"/>
      <w:lvlText w:val="§"/>
      <w:numFmt w:val="bullet"/>
      <w:start w:val="1"/>
    </w:lvl>
    <w:lvl w:ilvl="1">
      <w:lvlJc w:val="left"/>
      <w:lvlText w:val="(%2)"/>
      <w:numFmt w:val="decimal"/>
      <w:start w:val="3"/>
    </w:lvl>
  </w:abstractNum>
  <w:abstractNum w:abstractNumId="13">
    <w:nsid w:val="3804823E"/>
    <w:multiLevelType w:val="hybridMultilevel"/>
    <w:lvl w:ilvl="0">
      <w:lvlJc w:val="left"/>
      <w:lvlText w:val="(%1)"/>
      <w:numFmt w:val="lowerLetter"/>
      <w:start w:val="5"/>
    </w:lvl>
  </w:abstractNum>
  <w:abstractNum w:abstractNumId="14">
    <w:nsid w:val="77465F01"/>
    <w:multiLevelType w:val="hybridMultilevel"/>
    <w:lvl w:ilvl="0">
      <w:lvlJc w:val="left"/>
      <w:lvlText w:val="(%1)"/>
      <w:numFmt w:val="lowerLetter"/>
      <w:start w:val="7"/>
    </w:lvl>
  </w:abstractNum>
  <w:abstractNum w:abstractNumId="15">
    <w:nsid w:val="7724C67E"/>
    <w:multiLevelType w:val="hybridMultilevel"/>
    <w:lvl w:ilvl="0">
      <w:lvlJc w:val="left"/>
      <w:lvlText w:val="(%1)"/>
      <w:numFmt w:val="lowerLetter"/>
      <w:start w:val="1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1."/>
      <w:numFmt w:val="decimal"/>
      <w:start w:val="2"/>
    </w:lvl>
  </w:abstractNum>
  <w:abstractNum w:abstractNumId="21">
    <w:nsid w:val="580BD78F"/>
    <w:multiLevelType w:val="hybridMultilevel"/>
    <w:lvl w:ilvl="0">
      <w:lvlJc w:val="left"/>
      <w:lvlText w:val="%1."/>
      <w:numFmt w:val="decimal"/>
      <w:start w:val="3"/>
    </w:lvl>
  </w:abstractNum>
  <w:abstractNum w:abstractNumId="22">
    <w:nsid w:val="153EA438"/>
    <w:multiLevelType w:val="hybridMultilevel"/>
    <w:lvl w:ilvl="0">
      <w:lvlJc w:val="left"/>
      <w:lvlText w:val="%1."/>
      <w:numFmt w:val="decimal"/>
      <w:start w:val="4"/>
    </w:lvl>
  </w:abstractNum>
  <w:abstractNum w:abstractNumId="23">
    <w:nsid w:val="3855585C"/>
    <w:multiLevelType w:val="hybridMultilevel"/>
    <w:lvl w:ilvl="0">
      <w:lvlJc w:val="left"/>
      <w:lvlText w:val="%1."/>
      <w:numFmt w:val="decimal"/>
      <w:start w:val="5"/>
    </w:lvl>
  </w:abstractNum>
  <w:abstractNum w:abstractNumId="24">
    <w:nsid w:val="70A64E2A"/>
    <w:multiLevelType w:val="hybridMultilevel"/>
    <w:lvl w:ilvl="0">
      <w:lvlJc w:val="left"/>
      <w:lvlText w:val="%1."/>
      <w:numFmt w:val="decimal"/>
      <w:start w:val="6"/>
    </w:lvl>
  </w:abstractNum>
  <w:abstractNum w:abstractNumId="25">
    <w:nsid w:val="6A2342EC"/>
    <w:multiLevelType w:val="hybridMultilevel"/>
    <w:lvl w:ilvl="0">
      <w:lvlJc w:val="left"/>
      <w:lvlText w:val="%1."/>
      <w:numFmt w:val="decimal"/>
      <w:start w:val="7"/>
    </w:lvl>
  </w:abstractNum>
  <w:abstractNum w:abstractNumId="26">
    <w:nsid w:val="2A487CB0"/>
    <w:multiLevelType w:val="hybridMultilevel"/>
    <w:lvl w:ilvl="0">
      <w:lvlJc w:val="left"/>
      <w:lvlText w:val="%1."/>
      <w:numFmt w:val="decimal"/>
      <w:start w:val="8"/>
    </w:lvl>
  </w:abstractNum>
  <w:abstractNum w:abstractNumId="27">
    <w:nsid w:val="1D4ED43B"/>
    <w:multiLevelType w:val="hybridMultilevel"/>
    <w:lvl w:ilvl="0">
      <w:lvlJc w:val="left"/>
      <w:lvlText w:val="%1."/>
      <w:numFmt w:val="decimal"/>
      <w:start w:val="9"/>
    </w:lvl>
  </w:abstractNum>
  <w:abstractNum w:abstractNumId="28">
    <w:nsid w:val="725A06FB"/>
    <w:multiLevelType w:val="hybridMultilevel"/>
    <w:lvl w:ilvl="0">
      <w:lvlJc w:val="left"/>
      <w:lvlText w:val="(%1)"/>
      <w:numFmt w:val="lowerRoman"/>
      <w:start w:val="2"/>
    </w:lvl>
  </w:abstractNum>
  <w:abstractNum w:abstractNumId="29">
    <w:nsid w:val="2CD89A32"/>
    <w:multiLevelType w:val="hybridMultilevel"/>
    <w:lvl w:ilvl="0">
      <w:lvlJc w:val="left"/>
      <w:lvlText w:val="%1."/>
      <w:numFmt w:val="decimal"/>
      <w:start w:val="11"/>
    </w:lvl>
  </w:abstractNum>
  <w:abstractNum w:abstractNumId="30">
    <w:nsid w:val="57E4CCAF"/>
    <w:multiLevelType w:val="hybridMultilevel"/>
    <w:lvl w:ilvl="0">
      <w:lvlJc w:val="left"/>
      <w:lvlText w:val="%1."/>
      <w:numFmt w:val="decimal"/>
      <w:start w:val="12"/>
    </w:lvl>
  </w:abstractNum>
  <w:abstractNum w:abstractNumId="31">
    <w:nsid w:val="7A6D8D3C"/>
    <w:multiLevelType w:val="hybridMultilevel"/>
    <w:lvl w:ilvl="0">
      <w:lvlJc w:val="left"/>
      <w:lvlText w:val="(%1)"/>
      <w:numFmt w:val="lowerLetter"/>
      <w:start w:val="1"/>
    </w:lvl>
  </w:abstractNum>
  <w:abstractNum w:abstractNumId="32">
    <w:nsid w:val="4B588F54"/>
    <w:multiLevelType w:val="hybridMultilevel"/>
    <w:lvl w:ilvl="0">
      <w:lvlJc w:val="left"/>
      <w:lvlText w:val="(%1)"/>
      <w:numFmt w:val="lowerLetter"/>
      <w:start w:val="5"/>
    </w:lvl>
    <w:lvl w:ilvl="1">
      <w:lvlJc w:val="left"/>
      <w:lvlText w:val="(%2)"/>
      <w:numFmt w:val="lowerLetter"/>
      <w:start w:val="8"/>
    </w:lvl>
  </w:abstractNum>
  <w:abstractNum w:abstractNumId="33">
    <w:nsid w:val="542289EC"/>
    <w:multiLevelType w:val="hybridMultilevel"/>
    <w:lvl w:ilvl="0">
      <w:lvlJc w:val="left"/>
      <w:lvlText w:val="(%1)"/>
      <w:numFmt w:val="lowerLetter"/>
      <w:start w:val="14"/>
    </w:lvl>
  </w:abstractNum>
  <w:abstractNum w:abstractNumId="34">
    <w:nsid w:val="6DE91B18"/>
    <w:multiLevelType w:val="hybridMultilevel"/>
    <w:lvl w:ilvl="0">
      <w:lvlJc w:val="left"/>
      <w:lvlText w:val="(%1)"/>
      <w:numFmt w:val="lowerLetter"/>
      <w:start w:val="16"/>
    </w:lvl>
  </w:abstractNum>
  <w:abstractNum w:abstractNumId="35">
    <w:nsid w:val="38437FDB"/>
    <w:multiLevelType w:val="hybridMultilevel"/>
    <w:lvl w:ilvl="0">
      <w:lvlJc w:val="left"/>
      <w:lvlText w:val="(%1)"/>
      <w:numFmt w:val="lowerLetter"/>
      <w:start w:val="27"/>
    </w:lvl>
  </w:abstractNum>
  <w:abstractNum w:abstractNumId="36">
    <w:nsid w:val="7644A45C"/>
    <w:multiLevelType w:val="hybridMultilevel"/>
    <w:lvl w:ilvl="0">
      <w:lvlJc w:val="left"/>
      <w:lvlText w:val="(%1)"/>
      <w:numFmt w:val="lowerLetter"/>
      <w:start w:val="28"/>
    </w:lvl>
  </w:abstractNum>
  <w:abstractNum w:abstractNumId="37">
    <w:nsid w:val="32FFF902"/>
    <w:multiLevelType w:val="hybridMultilevel"/>
    <w:lvl w:ilvl="0">
      <w:lvlJc w:val="left"/>
      <w:lvlText w:val="(%1)"/>
      <w:numFmt w:val="lowerLetter"/>
      <w:start w:val="1"/>
    </w:lvl>
  </w:abstractNum>
  <w:abstractNum w:abstractNumId="38">
    <w:nsid w:val="684A481A"/>
    <w:multiLevelType w:val="hybridMultilevel"/>
    <w:lvl w:ilvl="0">
      <w:lvlJc w:val="left"/>
      <w:lvlText w:val="(%1)"/>
      <w:numFmt w:val="lowerLetter"/>
      <w:start w:val="3"/>
    </w:lvl>
  </w:abstractNum>
  <w:abstractNum w:abstractNumId="39">
    <w:nsid w:val="579478FE"/>
    <w:multiLevelType w:val="hybridMultilevel"/>
    <w:lvl w:ilvl="0">
      <w:lvlJc w:val="left"/>
      <w:lvlText w:val="(%1)"/>
      <w:numFmt w:val="lowerLetter"/>
      <w:start w:val="1"/>
    </w:lvl>
    <w:lvl w:ilvl="1">
      <w:lvlJc w:val="left"/>
      <w:lvlText w:val="(%2)"/>
      <w:numFmt w:val="lowerRoman"/>
      <w:start w:val="1"/>
    </w:lvl>
  </w:abstractNum>
  <w:abstractNum w:abstractNumId="40">
    <w:nsid w:val="749ABB43"/>
    <w:multiLevelType w:val="hybridMultilevel"/>
    <w:lvl w:ilvl="0">
      <w:lvlJc w:val="left"/>
      <w:lvlText w:val="%1"/>
      <w:numFmt w:val="lowerLetter"/>
      <w:start w:val="1"/>
    </w:lvl>
    <w:lvl w:ilvl="1">
      <w:lvlJc w:val="left"/>
      <w:lvlText w:val="(%2)"/>
      <w:numFmt w:val="lowerRoman"/>
      <w:start w:val="9"/>
    </w:lvl>
  </w:abstractNum>
  <w:abstractNum w:abstractNumId="41">
    <w:nsid w:val="3DC240FB"/>
    <w:multiLevelType w:val="hybridMultilevel"/>
    <w:lvl w:ilvl="0">
      <w:lvlJc w:val="left"/>
      <w:lvlText w:val="(%1)"/>
      <w:numFmt w:val="lowerLetter"/>
      <w:start w:val="3"/>
    </w:lvl>
    <w:lvl w:ilvl="1">
      <w:lvlJc w:val="left"/>
      <w:lvlText w:val="%2"/>
      <w:numFmt w:val="lowerRoman"/>
      <w:start w:val="1"/>
    </w:lvl>
  </w:abstractNum>
  <w:abstractNum w:abstractNumId="42">
    <w:nsid w:val="1BA026FA"/>
    <w:multiLevelType w:val="hybridMultilevel"/>
    <w:lvl w:ilvl="0">
      <w:lvlJc w:val="left"/>
      <w:lvlText w:val="(%1)"/>
      <w:numFmt w:val="lowerLetter"/>
      <w:start w:val="1"/>
    </w:lvl>
  </w:abstractNum>
  <w:abstractNum w:abstractNumId="43">
    <w:nsid w:val="79A1DEAA"/>
    <w:multiLevelType w:val="hybridMultilevel"/>
    <w:lvl w:ilvl="0">
      <w:lvlJc w:val="left"/>
      <w:lvlText w:val="(%1)"/>
      <w:numFmt w:val="lowerLetter"/>
      <w:start w:val="1"/>
    </w:lvl>
    <w:lvl w:ilvl="1">
      <w:lvlJc w:val="left"/>
      <w:lvlText w:val="(%2)"/>
      <w:numFmt w:val="lowerLetter"/>
      <w:start w:val="9"/>
    </w:lvl>
  </w:abstractNum>
  <w:abstractNum w:abstractNumId="44">
    <w:nsid w:val="75C6C33A"/>
    <w:multiLevelType w:val="hybridMultilevel"/>
    <w:lvl w:ilvl="0">
      <w:lvlJc w:val="left"/>
      <w:lvlText w:val="%1"/>
      <w:numFmt w:val="lowerLetter"/>
      <w:start w:val="1"/>
    </w:lvl>
    <w:lvl w:ilvl="1">
      <w:lvlJc w:val="left"/>
      <w:lvlText w:val="(%2)"/>
      <w:numFmt w:val="lowerRoman"/>
      <w:start w:val="2"/>
    </w:lvl>
  </w:abstractNum>
  <w:abstractNum w:abstractNumId="45">
    <w:nsid w:val="12E685FB"/>
    <w:multiLevelType w:val="hybridMultilevel"/>
    <w:lvl w:ilvl="0">
      <w:lvlJc w:val="left"/>
      <w:lvlText w:val="(%1)"/>
      <w:numFmt w:val="lowerLetter"/>
      <w:start w:val="3"/>
    </w:lvl>
    <w:lvl w:ilvl="1">
      <w:lvlJc w:val="left"/>
      <w:lvlText w:val="%2"/>
      <w:numFmt w:val="lowerRoman"/>
      <w:start w:val="1"/>
    </w:lvl>
  </w:abstractNum>
  <w:abstractNum w:abstractNumId="46">
    <w:nsid w:val="70C6A529"/>
    <w:multiLevelType w:val="hybridMultilevel"/>
    <w:lvl w:ilvl="0">
      <w:lvlJc w:val="left"/>
      <w:lvlText w:val="(%1)"/>
      <w:numFmt w:val="lowerLetter"/>
      <w:start w:val="1"/>
    </w:lvl>
  </w:abstractNum>
  <w:abstractNum w:abstractNumId="47">
    <w:nsid w:val="520EEDD1"/>
    <w:multiLevelType w:val="hybridMultilevel"/>
    <w:lvl w:ilvl="0">
      <w:lvlJc w:val="left"/>
      <w:lvlText w:val="(%1)"/>
      <w:numFmt w:val="lowerLetter"/>
      <w:start w:val="2"/>
    </w:lvl>
  </w:abstractNum>
  <w:abstractNum w:abstractNumId="48">
    <w:nsid w:val="374A3FE6"/>
    <w:multiLevelType w:val="hybridMultilevel"/>
    <w:lvl w:ilvl="0">
      <w:lvlJc w:val="left"/>
      <w:lvlText w:val="(%1)"/>
      <w:numFmt w:val="lowerLetter"/>
      <w:start w:val="1"/>
    </w:lvl>
  </w:abstractNum>
  <w:abstractNum w:abstractNumId="49">
    <w:nsid w:val="4F4EF005"/>
    <w:multiLevelType w:val="hybridMultilevel"/>
    <w:lvl w:ilvl="0">
      <w:lvlJc w:val="left"/>
      <w:lvlText w:val="(%1)"/>
      <w:numFmt w:val="lowerLetter"/>
      <w:start w:val="2"/>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1)"/>
      <w:numFmt w:val="lowerLetter"/>
      <w:start w:val="1"/>
    </w:lvl>
    <w:lvl w:ilvl="1">
      <w:lvlJc w:val="left"/>
      <w:lvlText w:val="(%2)"/>
      <w:numFmt w:val="lowerRoman"/>
      <w:start w:val="1"/>
    </w:lvl>
  </w:abstractNum>
  <w:abstractNum w:abstractNumId="52">
    <w:nsid w:val="275AC794"/>
    <w:multiLevelType w:val="hybridMultilevel"/>
    <w:lvl w:ilvl="0">
      <w:lvlJc w:val="left"/>
      <w:lvlText w:val="(%1)"/>
      <w:numFmt w:val="lowerLetter"/>
      <w:start w:val="4"/>
    </w:lvl>
    <w:lvl w:ilvl="1">
      <w:lvlJc w:val="left"/>
      <w:lvlText w:val="(%2)"/>
      <w:numFmt w:val="lowerRoman"/>
      <w:start w:val="1"/>
    </w:lvl>
  </w:abstractNum>
  <w:abstractNum w:abstractNumId="53">
    <w:nsid w:val="39386575"/>
    <w:multiLevelType w:val="hybridMultilevel"/>
    <w:lvl w:ilvl="0">
      <w:lvlJc w:val="left"/>
      <w:lvlText w:val="(%1)"/>
      <w:numFmt w:val="lowerLetter"/>
      <w:start w:val="1"/>
    </w:lvl>
  </w:abstractNum>
  <w:abstractNum w:abstractNumId="54">
    <w:nsid w:val="1CF10FD8"/>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55">
    <w:nsid w:val="180115B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8"/>
    </w:lvl>
  </w:abstractNum>
  <w:abstractNum w:abstractNumId="56">
    <w:nsid w:val="235BA861"/>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57">
    <w:nsid w:val="47398C89"/>
    <w:multiLevelType w:val="hybridMultilevel"/>
    <w:lvl w:ilvl="0">
      <w:lvlJc w:val="left"/>
      <w:lvlText w:val="%1"/>
      <w:numFmt w:val="lowerLetter"/>
      <w:start w:val="1"/>
    </w:lvl>
    <w:lvl w:ilvl="1">
      <w:lvlJc w:val="left"/>
      <w:lvlText w:val="(%2)"/>
      <w:numFmt w:val="lowerLetter"/>
      <w:start w:val="35"/>
    </w:lvl>
  </w:abstractNum>
  <w:abstractNum w:abstractNumId="58">
    <w:nsid w:val="354FE9F9"/>
    <w:multiLevelType w:val="hybridMultilevel"/>
    <w:lvl w:ilvl="0">
      <w:lvlJc w:val="left"/>
      <w:lvlText w:val="(%1)"/>
      <w:numFmt w:val="lowerLetter"/>
      <w:start w:val="8"/>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jpeg"/><Relationship Id="rId61" Type="http://schemas.openxmlformats.org/officeDocument/2006/relationships/image" Target="media/image48.jpe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jpe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jpe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jpe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jpe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jpe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jpeg"/><Relationship Id="rId86" Type="http://schemas.openxmlformats.org/officeDocument/2006/relationships/image" Target="media/image73.jpe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jpeg"/><Relationship Id="rId97" Type="http://schemas.openxmlformats.org/officeDocument/2006/relationships/image" Target="media/image84.jpeg"/><Relationship Id="rId98" Type="http://schemas.openxmlformats.org/officeDocument/2006/relationships/image" Target="media/image85.jpe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52" Type="http://schemas.openxmlformats.org/officeDocument/2006/relationships/hyperlink" Target="http://www.sec.gov/Archives/edgar/data/1289308/000119312526435071/d153599dex99a1a.htm" TargetMode="External"/><Relationship Id="rId53" Type="http://schemas.openxmlformats.org/officeDocument/2006/relationships/hyperlink" Target="http://www.sec.gov/Archives/edgar/data/1289308/000119312526435071/d153599dex99a1b.htm" TargetMode="External"/><Relationship Id="rId54" Type="http://schemas.openxmlformats.org/officeDocument/2006/relationships/hyperlink" Target="http://www.sec.gov/Archives/edgar/data/1289308/000119312526434415/d143472dex991.htm" TargetMode="External"/><Relationship Id="rId55" Type="http://schemas.openxmlformats.org/officeDocument/2006/relationships/hyperlink" Target="http://www.sec.gov/Archives/edgar/data/1289308/000119312526434415/d143472dex21.htm" TargetMode="External"/><Relationship Id="rId56" Type="http://schemas.openxmlformats.org/officeDocument/2006/relationships/hyperlink" Target="http://www.sec.gov/Archives/edgar/data/1289308/000119312526434415/d143472dex101.htm" TargetMode="External"/><Relationship Id="rId57" Type="http://schemas.openxmlformats.org/officeDocument/2006/relationships/hyperlink" Target="http://www.sec.gov/Archives/edgar/data/875657/000143774921013843/ulbi20210526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2026-10-28T16:10:39Z</dcterms:created>
  <dcterms:modified xsi:type="dcterms:W3CDTF">2026-10-28T16:10:39Z</dcterms:modified>
</cp:coreProperties>
</file>