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478790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537845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 w:lineRule="exact"/>
        <w:rPr>
          <w:sz w:val="24"/>
          <w:szCs w:val="24"/>
          <w:color w:val="auto"/>
        </w:rPr>
      </w:pPr>
    </w:p>
    <w:p>
      <w:pPr>
        <w:ind w:left="620" w:hanging="61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6" w:lineRule="exact"/>
        <w:rPr>
          <w:rFonts w:ascii="MS PGothic" w:cs="MS PGothic" w:eastAsia="MS PGothic" w:hAnsi="MS PGothic"/>
          <w:sz w:val="18"/>
          <w:szCs w:val="18"/>
          <w:color w:val="auto"/>
        </w:rPr>
      </w:pPr>
    </w:p>
    <w:p>
      <w:pPr>
        <w:ind w:left="38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2022</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0" w:lineRule="exact"/>
        <w:rPr>
          <w:sz w:val="24"/>
          <w:szCs w:val="24"/>
          <w:color w:val="auto"/>
        </w:rPr>
      </w:pPr>
    </w:p>
    <w:p>
      <w:pPr>
        <w:ind w:left="3360" w:right="2080" w:hanging="3353"/>
        <w:spacing w:after="0" w:line="492" w:lineRule="auto"/>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0-20852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ULTRALIFE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tbl>
      <w:tblPr>
        <w:tblLayout w:type="fixed"/>
        <w:tblInd w:w="860" w:type="dxa"/>
        <w:tblCellMar>
          <w:top w:w="0" w:type="dxa"/>
          <w:left w:w="0" w:type="dxa"/>
          <w:bottom w:w="0" w:type="dxa"/>
          <w:right w:w="0" w:type="dxa"/>
        </w:tblCellMar>
      </w:tblPr>
      <w:tr>
        <w:trPr>
          <w:trHeight w:val="217"/>
        </w:trPr>
        <w:tc>
          <w:tcPr>
            <w:tcW w:w="5040" w:type="dxa"/>
            <w:vAlign w:val="bottom"/>
          </w:tcPr>
          <w:p>
            <w:pPr>
              <w:jc w:val="center"/>
              <w:ind w:right="691"/>
              <w:spacing w:after="0"/>
              <w:rPr>
                <w:sz w:val="20"/>
                <w:szCs w:val="20"/>
                <w:color w:val="auto"/>
              </w:rPr>
            </w:pPr>
            <w:r>
              <w:rPr>
                <w:rFonts w:ascii="Arial" w:cs="Arial" w:eastAsia="Arial" w:hAnsi="Arial"/>
                <w:sz w:val="18"/>
                <w:szCs w:val="18"/>
                <w:b w:val="1"/>
                <w:bCs w:val="1"/>
                <w:color w:val="auto"/>
                <w:w w:val="88"/>
              </w:rPr>
              <w:t>Delaware</w:t>
            </w:r>
          </w:p>
        </w:tc>
        <w:tc>
          <w:tcPr>
            <w:tcW w:w="4620" w:type="dxa"/>
            <w:vAlign w:val="bottom"/>
          </w:tcPr>
          <w:p>
            <w:pPr>
              <w:jc w:val="center"/>
              <w:ind w:left="711"/>
              <w:spacing w:after="0"/>
              <w:rPr>
                <w:sz w:val="20"/>
                <w:szCs w:val="20"/>
                <w:color w:val="auto"/>
              </w:rPr>
            </w:pPr>
            <w:r>
              <w:rPr>
                <w:rFonts w:ascii="Arial" w:cs="Arial" w:eastAsia="Arial" w:hAnsi="Arial"/>
                <w:sz w:val="18"/>
                <w:szCs w:val="18"/>
                <w:b w:val="1"/>
                <w:bCs w:val="1"/>
                <w:color w:val="auto"/>
                <w:w w:val="89"/>
              </w:rPr>
              <w:t>16-1387013</w:t>
            </w:r>
          </w:p>
        </w:tc>
      </w:tr>
      <w:tr>
        <w:trPr>
          <w:trHeight w:val="226"/>
        </w:trPr>
        <w:tc>
          <w:tcPr>
            <w:tcW w:w="5040" w:type="dxa"/>
            <w:vAlign w:val="bottom"/>
          </w:tcPr>
          <w:p>
            <w:pPr>
              <w:jc w:val="center"/>
              <w:ind w:right="691"/>
              <w:spacing w:after="0"/>
              <w:rPr>
                <w:sz w:val="20"/>
                <w:szCs w:val="20"/>
                <w:color w:val="auto"/>
              </w:rPr>
            </w:pPr>
            <w:r>
              <w:rPr>
                <w:rFonts w:ascii="Arial" w:cs="Arial" w:eastAsia="Arial" w:hAnsi="Arial"/>
                <w:sz w:val="18"/>
                <w:szCs w:val="18"/>
                <w:color w:val="auto"/>
                <w:w w:val="91"/>
              </w:rPr>
              <w:t>(State or other jurisdiction of incorporation of organization)</w:t>
            </w:r>
          </w:p>
        </w:tc>
        <w:tc>
          <w:tcPr>
            <w:tcW w:w="4620" w:type="dxa"/>
            <w:vAlign w:val="bottom"/>
          </w:tcPr>
          <w:p>
            <w:pPr>
              <w:jc w:val="center"/>
              <w:ind w:left="711"/>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5040" w:type="dxa"/>
            <w:vAlign w:val="bottom"/>
          </w:tcPr>
          <w:p>
            <w:pPr>
              <w:jc w:val="center"/>
              <w:ind w:right="691"/>
              <w:spacing w:after="0"/>
              <w:rPr>
                <w:sz w:val="20"/>
                <w:szCs w:val="20"/>
                <w:color w:val="auto"/>
              </w:rPr>
            </w:pPr>
            <w:r>
              <w:rPr>
                <w:rFonts w:ascii="Arial" w:cs="Arial" w:eastAsia="Arial" w:hAnsi="Arial"/>
                <w:sz w:val="18"/>
                <w:szCs w:val="18"/>
                <w:b w:val="1"/>
                <w:bCs w:val="1"/>
                <w:color w:val="auto"/>
                <w:w w:val="90"/>
              </w:rPr>
              <w:t>2000 Technology Parkway Newark, New York 14513</w:t>
            </w:r>
          </w:p>
        </w:tc>
        <w:tc>
          <w:tcPr>
            <w:tcW w:w="4620" w:type="dxa"/>
            <w:vAlign w:val="bottom"/>
          </w:tcPr>
          <w:p>
            <w:pPr>
              <w:jc w:val="center"/>
              <w:ind w:left="651"/>
              <w:spacing w:after="0"/>
              <w:rPr>
                <w:sz w:val="20"/>
                <w:szCs w:val="20"/>
                <w:color w:val="auto"/>
              </w:rPr>
            </w:pPr>
            <w:r>
              <w:rPr>
                <w:rFonts w:ascii="Arial" w:cs="Arial" w:eastAsia="Arial" w:hAnsi="Arial"/>
                <w:sz w:val="18"/>
                <w:szCs w:val="18"/>
                <w:b w:val="1"/>
                <w:bCs w:val="1"/>
                <w:color w:val="auto"/>
                <w:w w:val="90"/>
              </w:rPr>
              <w:t>(315) 332-7100</w:t>
            </w:r>
          </w:p>
        </w:tc>
      </w:tr>
      <w:tr>
        <w:trPr>
          <w:trHeight w:val="226"/>
        </w:trPr>
        <w:tc>
          <w:tcPr>
            <w:tcW w:w="5040" w:type="dxa"/>
            <w:vAlign w:val="bottom"/>
          </w:tcPr>
          <w:p>
            <w:pPr>
              <w:jc w:val="center"/>
              <w:ind w:right="691"/>
              <w:spacing w:after="0"/>
              <w:rPr>
                <w:sz w:val="20"/>
                <w:szCs w:val="20"/>
                <w:color w:val="auto"/>
              </w:rPr>
            </w:pPr>
            <w:r>
              <w:rPr>
                <w:rFonts w:ascii="Arial" w:cs="Arial" w:eastAsia="Arial" w:hAnsi="Arial"/>
                <w:sz w:val="18"/>
                <w:szCs w:val="18"/>
                <w:color w:val="auto"/>
                <w:w w:val="91"/>
              </w:rPr>
              <w:t>(Address of principal executive offices) (Zip Code)</w:t>
            </w:r>
          </w:p>
        </w:tc>
        <w:tc>
          <w:tcPr>
            <w:tcW w:w="4620" w:type="dxa"/>
            <w:vAlign w:val="bottom"/>
          </w:tcPr>
          <w:p>
            <w:pPr>
              <w:jc w:val="center"/>
              <w:ind w:left="711"/>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08" w:right="339" w:bottom="1440" w:gutter="0" w:footer="0" w:header="0"/>
        </w:sectPr>
      </w:pPr>
    </w:p>
    <w:p>
      <w:pPr>
        <w:spacing w:after="0" w:line="216"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46"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ULBI</w:t>
      </w:r>
    </w:p>
    <w:p>
      <w:pPr>
        <w:spacing w:after="0" w:line="23"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NASDAQ</w:t>
      </w:r>
    </w:p>
    <w:p>
      <w:pPr>
        <w:spacing w:after="0" w:line="23" w:lineRule="exact"/>
        <w:rPr>
          <w:sz w:val="24"/>
          <w:szCs w:val="24"/>
          <w:color w:val="auto"/>
        </w:rPr>
      </w:pPr>
    </w:p>
    <w:p>
      <w:pPr>
        <w:jc w:val="center"/>
        <w:ind w:right="240"/>
        <w:spacing w:after="0"/>
        <w:rPr>
          <w:sz w:val="20"/>
          <w:szCs w:val="20"/>
          <w:color w:val="auto"/>
        </w:rPr>
      </w:pPr>
      <w:r>
        <w:rPr>
          <w:rFonts w:ascii="Arial" w:cs="Arial" w:eastAsia="Arial" w:hAnsi="Arial"/>
          <w:sz w:val="14"/>
          <w:szCs w:val="14"/>
          <w:color w:val="auto"/>
        </w:rPr>
        <w:t>(Name of each exchange on which registered)</w:t>
      </w:r>
    </w:p>
    <w:p>
      <w:pPr>
        <w:spacing w:after="0" w:line="245" w:lineRule="exact"/>
        <w:rPr>
          <w:sz w:val="24"/>
          <w:szCs w:val="24"/>
          <w:color w:val="auto"/>
        </w:rPr>
      </w:pPr>
    </w:p>
    <w:p>
      <w:pPr>
        <w:sectPr>
          <w:pgSz w:w="11900" w:h="16838" w:orient="portrait"/>
          <w:cols w:equalWidth="0" w:num="3">
            <w:col w:w="4260" w:space="720"/>
            <w:col w:w="2040" w:space="720"/>
            <w:col w:w="3500"/>
          </w:cols>
          <w:pgMar w:left="320" w:top="1108" w:right="339" w:bottom="1440" w:gutter="0" w:footer="0" w:header="0"/>
          <w:type w:val="continuous"/>
        </w:sectPr>
      </w:pPr>
    </w:p>
    <w:p>
      <w:pPr>
        <w:spacing w:after="0" w:line="7"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8" w:right="339" w:bottom="1440" w:gutter="0" w:footer="0" w:header="0"/>
          <w:type w:val="continuous"/>
        </w:sectPr>
      </w:pPr>
    </w:p>
    <w:p>
      <w:pPr>
        <w:spacing w:after="0" w:line="15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0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08" w:right="339" w:bottom="1440" w:gutter="0" w:footer="0" w:header="0"/>
          <w:type w:val="continuous"/>
        </w:sectPr>
      </w:pP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08" w:right="339" w:bottom="1440" w:gutter="0" w:footer="0" w:header="0"/>
          <w:type w:val="continuous"/>
        </w:sectPr>
      </w:pPr>
    </w:p>
    <w:p>
      <w:pPr>
        <w:spacing w:after="0" w:line="43" w:lineRule="exact"/>
        <w:rPr>
          <w:sz w:val="24"/>
          <w:szCs w:val="24"/>
          <w:color w:val="auto"/>
        </w:rPr>
      </w:pPr>
    </w:p>
    <w:p>
      <w:pPr>
        <w:ind w:left="5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108" w:right="339" w:bottom="1440" w:gutter="0" w:footer="0" w:header="0"/>
          <w:type w:val="continuous"/>
        </w:sectPr>
      </w:pPr>
    </w:p>
    <w:p>
      <w:pPr>
        <w:spacing w:after="0" w:line="27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April 25, 2022, the registrant had 16,127,082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642620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9980" w:type="dxa"/>
            <w:vAlign w:val="bottom"/>
          </w:tcPr>
          <w:p>
            <w:pPr>
              <w:ind w:left="2960"/>
              <w:spacing w:after="0"/>
              <w:rPr>
                <w:sz w:val="20"/>
                <w:szCs w:val="20"/>
                <w:color w:val="auto"/>
              </w:rPr>
            </w:pPr>
            <w:r>
              <w:rPr>
                <w:rFonts w:ascii="Arial" w:cs="Arial" w:eastAsia="Arial" w:hAnsi="Arial"/>
                <w:sz w:val="18"/>
                <w:szCs w:val="18"/>
                <w:b w:val="1"/>
                <w:bCs w:val="1"/>
                <w:color w:val="auto"/>
              </w:rPr>
              <w:t>ULTRALIFE CORPORATION AND SUBSIDIARIES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600" w:type="dxa"/>
            <w:vAlign w:val="bottom"/>
          </w:tcPr>
          <w:p>
            <w:pPr>
              <w:spacing w:after="0"/>
              <w:rPr>
                <w:sz w:val="24"/>
                <w:szCs w:val="24"/>
                <w:color w:val="auto"/>
              </w:rPr>
            </w:pPr>
          </w:p>
        </w:tc>
        <w:tc>
          <w:tcPr>
            <w:tcW w:w="9980" w:type="dxa"/>
            <w:vAlign w:val="bottom"/>
          </w:tcPr>
          <w:p>
            <w:pPr>
              <w:ind w:left="4740"/>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8"/>
        </w:trPr>
        <w:tc>
          <w:tcPr>
            <w:tcW w:w="60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660" w:type="dxa"/>
            <w:vAlign w:val="bottom"/>
            <w:gridSpan w:val="3"/>
          </w:tcPr>
          <w:p>
            <w:pPr>
              <w:ind w:left="260"/>
              <w:spacing w:after="0"/>
              <w:rPr>
                <w:sz w:val="20"/>
                <w:szCs w:val="20"/>
                <w:color w:val="auto"/>
              </w:rPr>
            </w:pPr>
            <w:r>
              <w:rPr>
                <w:rFonts w:ascii="Arial" w:cs="Arial" w:eastAsia="Arial" w:hAnsi="Arial"/>
                <w:sz w:val="18"/>
                <w:szCs w:val="18"/>
                <w:b w:val="1"/>
                <w:bCs w:val="1"/>
                <w:color w:val="auto"/>
                <w:w w:val="88"/>
              </w:rPr>
              <w:t>Page</w:t>
            </w:r>
          </w:p>
        </w:tc>
      </w:tr>
      <w:tr>
        <w:trPr>
          <w:trHeight w:val="20"/>
        </w:trPr>
        <w:tc>
          <w:tcPr>
            <w:tcW w:w="60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Financial Statements (unaudited):</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Balance Sheets as of March 31, 2022 and December 31, 2021</w:t>
            </w:r>
          </w:p>
        </w:tc>
        <w:tc>
          <w:tcPr>
            <w:tcW w:w="6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79"/>
              </w:rPr>
              <w:t>1</w:t>
            </w: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600" w:type="dxa"/>
            <w:vAlign w:val="bottom"/>
            <w:shd w:val="clear" w:color="auto" w:fill="CCEEFF"/>
          </w:tcPr>
          <w:p>
            <w:pPr>
              <w:spacing w:after="0"/>
              <w:rPr>
                <w:sz w:val="17"/>
                <w:szCs w:val="17"/>
                <w:color w:val="auto"/>
              </w:rPr>
            </w:pPr>
          </w:p>
        </w:tc>
        <w:tc>
          <w:tcPr>
            <w:tcW w:w="9980" w:type="dxa"/>
            <w:vAlign w:val="bottom"/>
            <w:shd w:val="clear" w:color="auto" w:fill="CCEEFF"/>
          </w:tcPr>
          <w:p>
            <w:pPr>
              <w:ind w:left="80"/>
              <w:spacing w:after="0" w:line="199" w:lineRule="exact"/>
              <w:rPr>
                <w:sz w:val="20"/>
                <w:szCs w:val="20"/>
                <w:color w:val="auto"/>
              </w:rPr>
            </w:pPr>
            <w:r>
              <w:rPr>
                <w:rFonts w:ascii="Arial" w:cs="Arial" w:eastAsia="Arial" w:hAnsi="Arial"/>
                <w:sz w:val="18"/>
                <w:szCs w:val="18"/>
                <w:color w:val="auto"/>
                <w:w w:val="91"/>
              </w:rPr>
              <w:t>Consolidated Statements of (Loss) Income and Comprehensive (Loss) Income for the Three-Month Periods Ended March 31, 2022 and</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8"/>
        </w:trPr>
        <w:tc>
          <w:tcPr>
            <w:tcW w:w="600" w:type="dxa"/>
            <w:vAlign w:val="bottom"/>
            <w:shd w:val="clear" w:color="auto" w:fill="CCEEFF"/>
          </w:tcPr>
          <w:p>
            <w:pPr>
              <w:spacing w:after="0"/>
              <w:rPr>
                <w:sz w:val="19"/>
                <w:szCs w:val="19"/>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31, 2021</w:t>
            </w:r>
          </w:p>
        </w:tc>
        <w:tc>
          <w:tcPr>
            <w:tcW w:w="6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79"/>
              </w:rPr>
              <w:t>2</w:t>
            </w:r>
          </w:p>
        </w:tc>
        <w:tc>
          <w:tcPr>
            <w:tcW w:w="40" w:type="dxa"/>
            <w:vAlign w:val="bottom"/>
            <w:shd w:val="clear" w:color="auto" w:fill="CCEEFF"/>
          </w:tcPr>
          <w:p>
            <w:pPr>
              <w:spacing w:after="0"/>
              <w:rPr>
                <w:sz w:val="19"/>
                <w:szCs w:val="19"/>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Statements of Cash Flows for the Three-Month Periods Ended March 31, 2022 and March 31, 2021</w:t>
            </w:r>
          </w:p>
        </w:tc>
        <w:tc>
          <w:tcPr>
            <w:tcW w:w="6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79"/>
              </w:rPr>
              <w:t>3</w:t>
            </w: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Consolidated Statements of Changes in Shareholders’ Equity for the Three-Month Periods Ended March 31, 2022 and March 31, 2021</w:t>
            </w:r>
          </w:p>
        </w:tc>
        <w:tc>
          <w:tcPr>
            <w:tcW w:w="6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79"/>
              </w:rPr>
              <w:t>4</w:t>
            </w: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to Consolidated Financial Statements</w:t>
            </w:r>
          </w:p>
        </w:tc>
        <w:tc>
          <w:tcPr>
            <w:tcW w:w="62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79"/>
              </w:rPr>
              <w:t>5</w:t>
            </w: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2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9"/>
              </w:rPr>
              <w:t>17</w:t>
            </w: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62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9"/>
              </w:rPr>
              <w:t>24</w:t>
            </w: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6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PART</w:t>
            </w:r>
          </w:p>
        </w:tc>
        <w:tc>
          <w:tcPr>
            <w:tcW w:w="998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b w:val="1"/>
                <w:bCs w:val="1"/>
                <w:color w:val="auto"/>
              </w:rPr>
              <w:t>OTHER INFORMATION</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2"/>
        </w:trPr>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w:t>
            </w:r>
          </w:p>
        </w:tc>
        <w:tc>
          <w:tcPr>
            <w:tcW w:w="9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w:t>
            </w:r>
          </w:p>
        </w:tc>
        <w:tc>
          <w:tcPr>
            <w:tcW w:w="62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9"/>
              </w:rPr>
              <w:t>25</w:t>
            </w:r>
          </w:p>
        </w:tc>
        <w:tc>
          <w:tcPr>
            <w:tcW w:w="40" w:type="dxa"/>
            <w:vAlign w:val="bottom"/>
            <w:shd w:val="clear" w:color="auto" w:fill="CCEEFF"/>
          </w:tcPr>
          <w:p>
            <w:pPr>
              <w:spacing w:after="0"/>
              <w:rPr>
                <w:sz w:val="18"/>
                <w:szCs w:val="18"/>
                <w:color w:val="auto"/>
              </w:rPr>
            </w:pPr>
          </w:p>
        </w:tc>
      </w:tr>
      <w:tr>
        <w:trPr>
          <w:trHeight w:val="213"/>
        </w:trPr>
        <w:tc>
          <w:tcPr>
            <w:tcW w:w="6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0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Signatures</w:t>
            </w:r>
          </w:p>
        </w:tc>
        <w:tc>
          <w:tcPr>
            <w:tcW w:w="62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9"/>
              </w:rPr>
              <w:t>26</w:t>
            </w:r>
          </w:p>
        </w:tc>
        <w:tc>
          <w:tcPr>
            <w:tcW w:w="40" w:type="dxa"/>
            <w:vAlign w:val="bottom"/>
            <w:shd w:val="clear" w:color="auto" w:fill="CCEEFF"/>
          </w:tcPr>
          <w:p>
            <w:pPr>
              <w:spacing w:after="0"/>
              <w:rPr>
                <w:sz w:val="18"/>
                <w:szCs w:val="18"/>
                <w:color w:val="auto"/>
              </w:rPr>
            </w:pPr>
          </w:p>
        </w:tc>
      </w:tr>
      <w:tr>
        <w:trPr>
          <w:trHeight w:val="567"/>
        </w:trPr>
        <w:tc>
          <w:tcPr>
            <w:tcW w:w="60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9"/>
              </w:rPr>
              <w:t>ULTRALIFE CORPORATION AND SUBSIDIARIES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98"/>
              </w:rPr>
              <w:t>CONSOLIDATED BALANCE SHEETS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7"/>
              </w:rPr>
              <w:t>(In Thousands except share amounts)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800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8,413</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$325 and $346, respectively</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22,909</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20,232</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36,380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33,189</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3,803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4,690</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69,142</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66,524</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22,773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23,205</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37,926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38,068</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17,043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17,390</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11,472</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159,538</w:t>
            </w:r>
          </w:p>
        </w:tc>
      </w:tr>
      <w:tr>
        <w:trPr>
          <w:trHeight w:val="194"/>
        </w:trPr>
        <w:tc>
          <w:tcPr>
            <w:tcW w:w="80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ind w:left="3640"/>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9,823</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5,165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5,259</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20,015</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18,924</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19,981</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18,857</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43,748</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41,795</w:t>
            </w:r>
          </w:p>
        </w:tc>
      </w:tr>
      <w:tr>
        <w:trPr>
          <w:trHeight w:val="20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9"/>
        </w:trPr>
        <w:tc>
          <w:tcPr>
            <w:tcW w:w="800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w w:val="93"/>
              </w:rPr>
              <w:t>Common stock – par value $.10 per share; authorized 40,000,000 shares; issued – 20,560,796 shares at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March 31, 2022 and 20,522,427 shares at December 31, 2021; outstanding – 16,127,082 shares at March</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 2022 and 16,089,832 shares at December 31, 2021</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2,056</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186,816</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186,518</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(47,832)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(1,889)</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(1,653)</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Treasury stock - at cost; 4,433,714 shares at March 31, 2022 and 4,432,595 shares at December 31, 2021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(21,476)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(21,469)</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Total Ultralife Corporation equity</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117,507</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117,616</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117,641</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117,743</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161,389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159,538</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9680" w:type="dxa"/>
            <w:vAlign w:val="bottom"/>
            <w:gridSpan w:val="4"/>
          </w:tcPr>
          <w:p>
            <w:pPr>
              <w:jc w:val="center"/>
              <w:ind w:left="1491"/>
              <w:spacing w:after="0"/>
              <w:rPr>
                <w:sz w:val="20"/>
                <w:szCs w:val="20"/>
                <w:color w:val="auto"/>
              </w:rPr>
            </w:pPr>
            <w:r>
              <w:rPr>
                <w:rFonts w:ascii="Arial" w:cs="Arial" w:eastAsia="Arial" w:hAnsi="Arial"/>
                <w:sz w:val="18"/>
                <w:szCs w:val="18"/>
                <w:color w:val="auto"/>
                <w:w w:val="88"/>
              </w:rPr>
              <w:t>The accompanying notes are an integral part of these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jc w:val="center"/>
              <w:ind w:left="3151"/>
              <w:spacing w:after="0"/>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1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 AND COMPREHENSIVE (LOSS)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Three-month period ended</w:t>
            </w:r>
          </w:p>
        </w:tc>
      </w:tr>
      <w:tr>
        <w:trPr>
          <w:trHeight w:val="190"/>
        </w:trPr>
        <w:tc>
          <w:tcPr>
            <w:tcW w:w="8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40"/>
              <w:spacing w:after="0" w:line="190" w:lineRule="exact"/>
              <w:rPr>
                <w:sz w:val="20"/>
                <w:szCs w:val="20"/>
                <w:color w:val="auto"/>
              </w:rPr>
            </w:pPr>
            <w:r>
              <w:rPr>
                <w:rFonts w:ascii="Arial" w:cs="Arial" w:eastAsia="Arial" w:hAnsi="Arial"/>
                <w:sz w:val="18"/>
                <w:szCs w:val="18"/>
                <w:b w:val="1"/>
                <w:bCs w:val="1"/>
                <w:color w:val="auto"/>
                <w:w w:val="93"/>
              </w:rPr>
              <w:t>March 31,</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1"/>
              <w:spacing w:after="0" w:line="190"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r>
      <w:tr>
        <w:trPr>
          <w:trHeight w:val="231"/>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30,373</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25,973</w:t>
            </w: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23,415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18,995</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6,978</w:t>
            </w:r>
          </w:p>
        </w:tc>
      </w:tr>
      <w:tr>
        <w:trPr>
          <w:trHeight w:val="20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1,857</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7,253</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6,026</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Operating (loss) income</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r>
      <w:tr>
        <w:trPr>
          <w:trHeight w:val="213"/>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15" w:right="339" w:bottom="1440" w:gutter="0" w:footer="0" w:header="0"/>
        </w:sect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and financing expense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Miscellaneous income</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other expense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26"/>
        </w:trPr>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8"/>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-422910</wp:posOffset>
            </wp:positionV>
            <wp:extent cx="7134225" cy="13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-143510</wp:posOffset>
            </wp:positionV>
            <wp:extent cx="7134225" cy="144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815" w:right="3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5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07"/>
        </w:trPr>
        <w:tc>
          <w:tcPr>
            <w:tcW w:w="80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5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r>
      <w:tr>
        <w:trPr>
          <w:trHeight w:val="213"/>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5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7"/>
        </w:trPr>
        <w:tc>
          <w:tcPr>
            <w:tcW w:w="80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Net (loss) income attributable to Ultralife Corporation</w:t>
            </w:r>
          </w:p>
        </w:tc>
        <w:tc>
          <w:tcPr>
            <w:tcW w:w="5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r>
      <w:tr>
        <w:trPr>
          <w:trHeight w:val="213"/>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comprehensive (loss) gain:</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07"/>
        </w:trPr>
        <w:tc>
          <w:tcPr>
            <w:tcW w:w="80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income attributable to Ultralife Corporation</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194"/>
        </w:trPr>
        <w:tc>
          <w:tcPr>
            <w:tcW w:w="800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(loss) income per share attributable to Ultralife common shareholders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194"/>
        </w:trPr>
        <w:tc>
          <w:tcPr>
            <w:tcW w:w="800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(loss) income per share attributable to Ultralife common shareholders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194"/>
        </w:trPr>
        <w:tc>
          <w:tcPr>
            <w:tcW w:w="800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Weighted average shares outstanding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16,104</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15,973</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0"/>
        </w:trPr>
        <w:tc>
          <w:tcPr>
            <w:tcW w:w="8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16,104</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16,152</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Three-month period ended</w:t>
            </w:r>
          </w:p>
        </w:tc>
      </w:tr>
      <w:tr>
        <w:trPr>
          <w:trHeight w:val="190"/>
        </w:trPr>
        <w:tc>
          <w:tcPr>
            <w:tcW w:w="8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40"/>
              <w:spacing w:after="0" w:line="190" w:lineRule="exact"/>
              <w:rPr>
                <w:sz w:val="20"/>
                <w:szCs w:val="20"/>
                <w:color w:val="auto"/>
              </w:rPr>
            </w:pPr>
            <w:r>
              <w:rPr>
                <w:rFonts w:ascii="Arial" w:cs="Arial" w:eastAsia="Arial" w:hAnsi="Arial"/>
                <w:sz w:val="18"/>
                <w:szCs w:val="18"/>
                <w:b w:val="1"/>
                <w:bCs w:val="1"/>
                <w:color w:val="auto"/>
                <w:w w:val="93"/>
              </w:rPr>
              <w:t>March 31,</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1"/>
              <w:spacing w:after="0" w:line="190"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r>
      <w:tr>
        <w:trPr>
          <w:trHeight w:val="231"/>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Amortization of financing fees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litigation settlement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(3,274)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(2,175)</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3,903</w:t>
            </w:r>
          </w:p>
        </w:tc>
      </w:tr>
      <w:tr>
        <w:trPr>
          <w:trHeight w:val="20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r>
      <w:tr>
        <w:trPr>
          <w:trHeight w:val="20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Borrowings on revolving credit facility</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term loan facility</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withholdings on stock-based awards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(DECREASE) INCREASE IN CASH</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(2,363)</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3,009</w:t>
            </w:r>
          </w:p>
        </w:tc>
      </w:tr>
      <w:tr>
        <w:trPr>
          <w:trHeight w:val="213"/>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8,413</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10,653</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6,050</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13,662</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00" w:type="dxa"/>
            <w:vAlign w:val="bottom"/>
          </w:tcPr>
          <w:p>
            <w:pPr>
              <w:spacing w:after="0"/>
              <w:rPr>
                <w:sz w:val="19"/>
                <w:szCs w:val="19"/>
                <w:color w:val="auto"/>
              </w:rPr>
            </w:pPr>
          </w:p>
        </w:tc>
        <w:tc>
          <w:tcPr>
            <w:tcW w:w="2100" w:type="dxa"/>
            <w:vAlign w:val="bottom"/>
            <w:gridSpan w:val="6"/>
            <w:vMerge w:val="restart"/>
          </w:tcPr>
          <w:p>
            <w:pPr>
              <w:ind w:left="4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in Excess</w:t>
            </w:r>
          </w:p>
        </w:tc>
        <w:tc>
          <w:tcPr>
            <w:tcW w:w="22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93"/>
              </w:rPr>
              <w:t>of Par</w:t>
            </w:r>
          </w:p>
        </w:tc>
        <w:tc>
          <w:tcPr>
            <w:tcW w:w="1300" w:type="dxa"/>
            <w:vAlign w:val="bottom"/>
            <w:gridSpan w:val="3"/>
          </w:tcPr>
          <w:p>
            <w:pPr>
              <w:jc w:val="center"/>
              <w:ind w:right="120"/>
              <w:spacing w:after="0" w:line="189" w:lineRule="exact"/>
              <w:rPr>
                <w:sz w:val="20"/>
                <w:szCs w:val="20"/>
                <w:color w:val="auto"/>
              </w:rPr>
            </w:pPr>
            <w:r>
              <w:rPr>
                <w:rFonts w:ascii="Arial" w:cs="Arial" w:eastAsia="Arial" w:hAnsi="Arial"/>
                <w:sz w:val="18"/>
                <w:szCs w:val="18"/>
                <w:b w:val="1"/>
                <w:bCs w:val="1"/>
                <w:color w:val="auto"/>
                <w:w w:val="87"/>
              </w:rPr>
              <w:t>Comprehensive</w:t>
            </w:r>
          </w:p>
        </w:tc>
        <w:tc>
          <w:tcPr>
            <w:tcW w:w="1300" w:type="dxa"/>
            <w:vAlign w:val="bottom"/>
            <w:gridSpan w:val="4"/>
          </w:tcPr>
          <w:p>
            <w:pPr>
              <w:ind w:left="80"/>
              <w:spacing w:after="0" w:line="189"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w w:val="86"/>
              </w:rPr>
              <w:t>Treasury</w:t>
            </w:r>
          </w:p>
        </w:tc>
        <w:tc>
          <w:tcPr>
            <w:tcW w:w="9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w w:val="99"/>
              </w:rPr>
              <w:t>Controlling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2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20,373,519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185,464</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(47,598)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116,923</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3"/>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9"/>
        </w:trPr>
        <w:tc>
          <w:tcPr>
            <w:tcW w:w="2200" w:type="dxa"/>
            <w:vAlign w:val="bottom"/>
          </w:tcPr>
          <w:p>
            <w:pPr>
              <w:spacing w:after="0" w:line="199" w:lineRule="exact"/>
              <w:rPr>
                <w:sz w:val="20"/>
                <w:szCs w:val="20"/>
                <w:color w:val="auto"/>
              </w:rPr>
            </w:pPr>
            <w:r>
              <w:rPr>
                <w:rFonts w:ascii="Arial" w:cs="Arial" w:eastAsia="Arial" w:hAnsi="Arial"/>
                <w:sz w:val="18"/>
                <w:szCs w:val="18"/>
                <w:color w:val="auto"/>
                <w:w w:val="93"/>
              </w:rPr>
              <w:t>Stock-based compensation –</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20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0"/>
        </w:trPr>
        <w:tc>
          <w:tcPr>
            <w:tcW w:w="22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3"/>
              </w:rPr>
              <w:t>Stock-based compensation –</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3"/>
        </w:trPr>
        <w:tc>
          <w:tcPr>
            <w:tcW w:w="2200" w:type="dxa"/>
            <w:vAlign w:val="bottom"/>
          </w:tcPr>
          <w:p>
            <w:pPr>
              <w:ind w:left="160"/>
              <w:spacing w:after="0"/>
              <w:rPr>
                <w:sz w:val="20"/>
                <w:szCs w:val="20"/>
                <w:color w:val="auto"/>
              </w:rPr>
            </w:pPr>
            <w:r>
              <w:rPr>
                <w:rFonts w:ascii="Arial" w:cs="Arial" w:eastAsia="Arial" w:hAnsi="Arial"/>
                <w:sz w:val="18"/>
                <w:szCs w:val="18"/>
                <w:color w:val="auto"/>
                <w:w w:val="97"/>
              </w:rPr>
              <w:t>Vesting of restricted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9"/>
        </w:trPr>
        <w:tc>
          <w:tcPr>
            <w:tcW w:w="2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7"/>
              </w:rPr>
              <w:t>Foreign currency translation</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4"/>
        </w:trPr>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adjustments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March 31, 2021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20,416,511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185,674</w:t>
            </w:r>
          </w:p>
        </w:tc>
        <w:tc>
          <w:tcPr>
            <w:tcW w:w="220" w:type="dxa"/>
            <w:vAlign w:val="bottom"/>
          </w:tcPr>
          <w:p>
            <w:pPr>
              <w:spacing w:after="0"/>
              <w:rPr>
                <w:sz w:val="17"/>
                <w:szCs w:val="17"/>
                <w:color w:val="auto"/>
              </w:rPr>
            </w:pPr>
          </w:p>
        </w:tc>
        <w:tc>
          <w:tcPr>
            <w:tcW w:w="220" w:type="dxa"/>
            <w:vAlign w:val="bottom"/>
          </w:tcPr>
          <w:p>
            <w:pPr>
              <w:jc w:val="right"/>
              <w:ind w:right="5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(1,679)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(46,927)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(21,380)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117,861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815" w:right="339" w:bottom="1440" w:gutter="0" w:footer="0" w:header="0"/>
        </w:sectPr>
      </w:pPr>
    </w:p>
    <w:p>
      <w:pPr>
        <w:ind w:right="220"/>
        <w:spacing w:after="0" w:line="257" w:lineRule="auto"/>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Stock option exercises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 options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restricted stock</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adjustments adjustments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March 31, 2022</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20,522,427</w:t>
            </w:r>
          </w:p>
        </w:tc>
        <w:tc>
          <w:tcPr>
            <w:tcW w:w="80" w:type="dxa"/>
            <w:vAlign w:val="bottom"/>
          </w:tcPr>
          <w:p>
            <w:pPr>
              <w:spacing w:after="0"/>
              <w:rPr>
                <w:sz w:val="18"/>
                <w:szCs w:val="18"/>
                <w:color w:val="auto"/>
              </w:rPr>
            </w:pP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186,518</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(1,653)</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(47,832)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(21,469)</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117,743</w:t>
            </w:r>
          </w:p>
        </w:tc>
      </w:tr>
      <w:tr>
        <w:trPr>
          <w:trHeight w:val="213"/>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26"/>
        </w:trPr>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38,369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r>
      <w:tr>
        <w:trPr>
          <w:trHeight w:val="427"/>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r>
      <w:tr>
        <w:trPr>
          <w:trHeight w:val="427"/>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414"/>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(236)</w:t>
            </w:r>
          </w:p>
        </w:tc>
      </w:tr>
      <w:tr>
        <w:trPr>
          <w:trHeight w:val="208"/>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20,560,796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186,816</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(21,476</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117,641</w:t>
            </w:r>
          </w:p>
        </w:tc>
        <w:tc>
          <w:tcPr>
            <w:tcW w:w="60" w:type="dxa"/>
            <w:vAlign w:val="bottom"/>
          </w:tcPr>
          <w:p>
            <w:pPr>
              <w:spacing w:after="0"/>
              <w:rPr>
                <w:sz w:val="18"/>
                <w:szCs w:val="18"/>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-1515745</wp:posOffset>
            </wp:positionV>
            <wp:extent cx="7134225" cy="271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-1109345</wp:posOffset>
            </wp:positionV>
            <wp:extent cx="713422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-702310</wp:posOffset>
            </wp:positionV>
            <wp:extent cx="7134225" cy="271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-160655</wp:posOffset>
            </wp:positionV>
            <wp:extent cx="7134225" cy="161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79" w:lineRule="exact"/>
        <w:rPr>
          <w:sz w:val="20"/>
          <w:szCs w:val="20"/>
          <w:color w:val="auto"/>
        </w:rPr>
      </w:pPr>
    </w:p>
    <w:p>
      <w:pPr>
        <w:jc w:val="center"/>
        <w:ind w:right="22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81280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2040" w:space="160"/>
            <w:col w:w="9040"/>
          </w:cols>
          <w:pgMar w:left="320" w:top="815"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7"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2021.</w:t>
      </w:r>
    </w:p>
    <w:p>
      <w:pPr>
        <w:spacing w:after="0" w:line="19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December 31, 2021 consolidated balance sheet information referenced herein was derived from audited financial statements but does not include all disclosures required by GAAP.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data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December 13, 2021, the Company acquired all the outstanding shares of Excell for an aggregate net purchase price of $23,519 in cash.</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December 13, 2021, 1336889 B.C. Unlimited Liability Company, a British Columbia unlimited liability company and wholly-owned subsidiary of Ultralife Canada Holding Corp., a Delaware corporation (“UCHC”) and wholly-owned subsidiary of Ultralife Excell Holding Corp., a Delaware corporation (“UEHC”) and wholly-owned subsidiary of Ultralife Corporation, completed the acquisition of all issued and outstanding shares of Excell Battery Canada Inc., a British Columbia corporation (“Excell Canada”) (the “Excell Canada Acquisition”), and, concurrently, 1336902 B.C. Unlimited Liability Company, a British Columbia unlimited liability company and wholly-owned subsidiary of UCHC, completed the acquisition of all issued and outstanding shares of 656700 B.C. LTD, a British Columbia corporation and sole owner of all issued and outstanding shares of Excell Battery Corporation USA, a Texas corporation (“Excell USA”, and together with Excell Canada, “Excell Battery Group” or “Excell”) (the “Excell USA Acquisition”, and together with the Excell Canada Acquisition, the “Excell Acquisition”).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in Canada with U.S. operations, Excell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ruggedized computers, and mining, marine and other mission critical applications which demand uncompromised safety, service, reliability and quality.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 w:name="page8"/>
    <w:bookmarkEnd w:id="7"/>
    <w:p>
      <w:pPr>
        <w:jc w:val="both"/>
        <w:spacing w:after="0" w:line="284" w:lineRule="auto"/>
        <w:rPr>
          <w:sz w:val="20"/>
          <w:szCs w:val="20"/>
          <w:color w:val="auto"/>
        </w:rPr>
      </w:pPr>
      <w:r>
        <w:rPr>
          <w:rFonts w:ascii="Arial" w:cs="Arial" w:eastAsia="Arial" w:hAnsi="Arial"/>
          <w:sz w:val="16"/>
          <w:szCs w:val="16"/>
          <w:color w:val="auto"/>
        </w:rPr>
        <w:t>The Excell Canada Acquisition was completed pursuant to a Share Purchase Agreement dated December 13, 2021 (the “Excell Canada Acquisition Agreement”) by and among 1336889 B.C. Unlimited Liability Company, Mark Kroeker, Randolph Peters, Brian Larsen, M. &amp; W. Holdings Ltd., Karen Kroeker, Heather Peterson, Michael Kroeker, Nicholas Kroeker, Brentley Peters, Craig Peters, Kurtis Peters, Heather Larsen, Ian Kane, Carol Peters, and 0835205 B.C. LTD (the “Excell Canada Sellers”), Mark Kroeker in his capacity as the Excell Canada Sellers’ Representative, and Excell Canada. The Excell USA Acquisition was completed pursuant to a Share Purchase Agreement dated December 13, 2021 (the “Excell USA Acquisition Agreement”, and together with the Excell Canada Acquisition Agreement, the “Excell Acquisition Agreements”) by and among 1336902 B.C. Unlimited Liability Company, M. &amp; W. Holdings Ltd., Ian Kane, Sanford Capital Ltd., Arcee Enterprises Inc., and 0835205 B.C. Ltd. (the “Excell USA Sellers”, and together with the Excell Canada Sellers, the “Sellers”), Mark Kroeker in his capacity as the Excell USA Sellers’ Representative, and 656700 B.C. LTD. The Excell Acquisition Agreements contain customary terms and conditions including representations, warranties and indemnification provisions. A portion of the consideration paid to the Sellers is being held in escrow for indemnification purposes for a period of twelve months from the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Excell Acquisition was funded by the Company through a combination of cash on hand and borrowings under the Amended Credit Facilities (Note 3).</w:t>
      </w:r>
    </w:p>
    <w:p>
      <w:pPr>
        <w:spacing w:after="0" w:line="2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Excell Acquisition was accounted for in accordance with the accounting treatment of a business combination pursuant to FASB ASC Topic 805, Business Combinations (“ASC 805”). Accordingly, the purchase price was allocated to the tangible and intangible assets acquired and the liabilities assumed based on their estimated fair values on the acquisition date. The excess of the purchase price over the estimated fair value of the separately identifiable assets acquired and liabilities assumed was allocated to goodwill. Management is responsible for determining the acquisition date fair value of the assets acquired and liabilities assumed, which requires the use of various assumptions and judgments that are inherently subjective. The purchase price allocation presented below reflects all known information about the fair value of the assets acquired and liabilities assumed as of the acquisition date. The purchase price allocation is subject to change should additional information existing as of the acquisition date about the fair value of the assets acquired and liabilities assumed becomes known. The final purchase price allocation may reflect material changes in the valuation of assets acquired and liabilities assumed, including but not limited to intangible assets, fixed assets, deferred taxes, and residual goodwill.</w:t>
      </w:r>
    </w:p>
    <w:p>
      <w:pPr>
        <w:spacing w:after="0" w:line="183"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3,570</w:t>
            </w:r>
          </w:p>
        </w:tc>
        <w:tc>
          <w:tcPr>
            <w:tcW w:w="80" w:type="dxa"/>
            <w:vAlign w:val="bottom"/>
          </w:tcPr>
          <w:p>
            <w:pPr>
              <w:spacing w:after="0"/>
              <w:rPr>
                <w:sz w:val="18"/>
                <w:szCs w:val="18"/>
                <w:color w:val="auto"/>
              </w:rPr>
            </w:pPr>
          </w:p>
        </w:tc>
      </w:tr>
      <w:tr>
        <w:trPr>
          <w:trHeight w:val="21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80" w:type="dxa"/>
            <w:vAlign w:val="bottom"/>
            <w:shd w:val="clear" w:color="auto" w:fill="CCEEFF"/>
          </w:tcPr>
          <w:p>
            <w:pPr>
              <w:spacing w:after="0"/>
              <w:rPr>
                <w:sz w:val="18"/>
                <w:szCs w:val="18"/>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8"/>
                <w:szCs w:val="18"/>
                <w:color w:val="auto"/>
              </w:rPr>
            </w:pPr>
          </w:p>
        </w:tc>
      </w:tr>
      <w:tr>
        <w:trPr>
          <w:trHeight w:val="21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10,989</w:t>
            </w:r>
          </w:p>
        </w:tc>
        <w:tc>
          <w:tcPr>
            <w:tcW w:w="80" w:type="dxa"/>
            <w:vAlign w:val="bottom"/>
          </w:tcPr>
          <w:p>
            <w:pPr>
              <w:spacing w:after="0"/>
              <w:rPr>
                <w:sz w:val="18"/>
                <w:szCs w:val="18"/>
                <w:color w:val="auto"/>
              </w:rPr>
            </w:pPr>
          </w:p>
        </w:tc>
      </w:tr>
      <w:tr>
        <w:trPr>
          <w:trHeight w:val="21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80" w:type="dxa"/>
            <w:vAlign w:val="bottom"/>
            <w:shd w:val="clear" w:color="auto" w:fill="CCEEFF"/>
          </w:tcPr>
          <w:p>
            <w:pPr>
              <w:spacing w:after="0"/>
              <w:rPr>
                <w:sz w:val="18"/>
                <w:szCs w:val="18"/>
                <w:color w:val="auto"/>
              </w:rPr>
            </w:pP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r>
      <w:tr>
        <w:trPr>
          <w:trHeight w:val="21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w:t>
            </w: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Accrued compensation and related benefits</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r>
      <w:tr>
        <w:trPr>
          <w:trHeight w:val="21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r>
      <w:tr>
        <w:trPr>
          <w:trHeight w:val="213"/>
        </w:trPr>
        <w:tc>
          <w:tcPr>
            <w:tcW w:w="7740" w:type="dxa"/>
            <w:vAlign w:val="bottom"/>
          </w:tcPr>
          <w:p>
            <w:pPr>
              <w:spacing w:after="0"/>
              <w:rPr>
                <w:sz w:val="20"/>
                <w:szCs w:val="20"/>
                <w:color w:val="auto"/>
              </w:rPr>
            </w:pPr>
            <w:r>
              <w:rPr>
                <w:rFonts w:ascii="Arial" w:cs="Arial" w:eastAsia="Arial" w:hAnsi="Arial"/>
                <w:sz w:val="18"/>
                <w:szCs w:val="18"/>
                <w:color w:val="auto"/>
              </w:rPr>
              <w:t>Deferred tax liability, net</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(2,223)</w:t>
            </w:r>
          </w:p>
        </w:tc>
      </w:tr>
      <w:tr>
        <w:trPr>
          <w:trHeight w:val="21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r>
      <w:tr>
        <w:trPr>
          <w:trHeight w:val="207"/>
        </w:trPr>
        <w:tc>
          <w:tcPr>
            <w:tcW w:w="7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24,256</w:t>
            </w:r>
          </w:p>
        </w:tc>
        <w:tc>
          <w:tcPr>
            <w:tcW w:w="80" w:type="dxa"/>
            <w:vAlign w:val="bottom"/>
            <w:tcBorders>
              <w:top w:val="single" w:sz="8" w:color="CCEEFF"/>
            </w:tcBorders>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purchase price allocation was adjusted during the three-month period ended March 31, 2022 to reflect a change in the estimated fair value of certain other intangible assets acquired. The measurement period adjustment resulted in a $40 increase in other intangible assets acquired, a $10 increase in deferred tax liabilities and a $30 decrease to goodwill. The adjusted purchase price allocation is reflected in the consolidated balance sheet as of March 31, 2022.</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Excell’s assembled and trained workforce, the incremental value that Excell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 w:name="page9"/>
    <w:bookmarkEnd w:id="8"/>
    <w:p>
      <w:pPr>
        <w:jc w:val="both"/>
        <w:spacing w:after="0" w:line="333" w:lineRule="auto"/>
        <w:rPr>
          <w:sz w:val="20"/>
          <w:szCs w:val="20"/>
          <w:color w:val="auto"/>
        </w:rPr>
      </w:pPr>
      <w:r>
        <w:rPr>
          <w:rFonts w:ascii="Arial" w:cs="Arial" w:eastAsia="Arial" w:hAnsi="Arial"/>
          <w:sz w:val="16"/>
          <w:szCs w:val="16"/>
          <w:color w:val="auto"/>
        </w:rPr>
        <w:t>Other intangible assets were valued using the income approach which requires a forecast of all expected future cash flows and the use of certain assumptions and estimates. The following table summarizes the estimated fair value and annual amortization for each of the identifiable intangible assets acquired.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2"/>
              </w:rPr>
              <w:t>Estimated</w:t>
            </w: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rPr>
              <w:t>Annual Amortization</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420"/>
              <w:spacing w:after="0" w:line="190" w:lineRule="exact"/>
              <w:rPr>
                <w:sz w:val="20"/>
                <w:szCs w:val="20"/>
                <w:color w:val="auto"/>
              </w:rPr>
            </w:pPr>
            <w:r>
              <w:rPr>
                <w:rFonts w:ascii="Arial" w:cs="Arial" w:eastAsia="Arial" w:hAnsi="Arial"/>
                <w:sz w:val="18"/>
                <w:szCs w:val="18"/>
                <w:b w:val="1"/>
                <w:bCs w:val="1"/>
                <w:color w:val="auto"/>
                <w:w w:val="86"/>
              </w:rPr>
              <w:t>Year</w:t>
            </w:r>
          </w:p>
        </w:tc>
        <w:tc>
          <w:tcPr>
            <w:tcW w:w="180" w:type="dxa"/>
            <w:vAlign w:val="bottom"/>
          </w:tcPr>
          <w:p>
            <w:pPr>
              <w:spacing w:after="0"/>
              <w:rPr>
                <w:sz w:val="16"/>
                <w:szCs w:val="16"/>
                <w:color w:val="auto"/>
              </w:rPr>
            </w:pPr>
          </w:p>
        </w:tc>
        <w:tc>
          <w:tcPr>
            <w:tcW w:w="940" w:type="dxa"/>
            <w:vAlign w:val="bottom"/>
            <w:gridSpan w:val="2"/>
          </w:tcPr>
          <w:p>
            <w:pPr>
              <w:ind w:left="100"/>
              <w:spacing w:after="0" w:line="190" w:lineRule="exact"/>
              <w:rPr>
                <w:sz w:val="20"/>
                <w:szCs w:val="20"/>
                <w:color w:val="auto"/>
              </w:rPr>
            </w:pPr>
            <w:r>
              <w:rPr>
                <w:rFonts w:ascii="Arial" w:cs="Arial" w:eastAsia="Arial" w:hAnsi="Arial"/>
                <w:sz w:val="18"/>
                <w:szCs w:val="18"/>
                <w:b w:val="1"/>
                <w:bCs w:val="1"/>
                <w:color w:val="auto"/>
              </w:rPr>
              <w:t>Year</w:t>
            </w:r>
          </w:p>
        </w:tc>
        <w:tc>
          <w:tcPr>
            <w:tcW w:w="180" w:type="dxa"/>
            <w:vAlign w:val="bottom"/>
          </w:tcPr>
          <w:p>
            <w:pPr>
              <w:spacing w:after="0"/>
              <w:rPr>
                <w:sz w:val="16"/>
                <w:szCs w:val="16"/>
                <w:color w:val="auto"/>
              </w:rPr>
            </w:pPr>
          </w:p>
        </w:tc>
        <w:tc>
          <w:tcPr>
            <w:tcW w:w="820" w:type="dxa"/>
            <w:vAlign w:val="bottom"/>
            <w:gridSpan w:val="2"/>
          </w:tcPr>
          <w:p>
            <w:pPr>
              <w:jc w:val="center"/>
              <w:ind w:right="300"/>
              <w:spacing w:after="0" w:line="190" w:lineRule="exact"/>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480"/>
              <w:spacing w:after="0" w:line="190" w:lineRule="exact"/>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16"/>
                <w:szCs w:val="16"/>
                <w:color w:val="auto"/>
              </w:rPr>
            </w:pPr>
          </w:p>
        </w:tc>
        <w:tc>
          <w:tcPr>
            <w:tcW w:w="720" w:type="dxa"/>
            <w:vAlign w:val="bottom"/>
          </w:tcPr>
          <w:p>
            <w:pPr>
              <w:jc w:val="right"/>
              <w:ind w:right="171"/>
              <w:spacing w:after="0" w:line="190" w:lineRule="exact"/>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(Years)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4,100</w:t>
            </w:r>
          </w:p>
        </w:tc>
        <w:tc>
          <w:tcPr>
            <w:tcW w:w="13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15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8"/>
                <w:szCs w:val="18"/>
                <w:color w:val="auto"/>
              </w:rPr>
              <w:t>Trade name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3,150</w:t>
            </w:r>
          </w:p>
        </w:tc>
        <w:tc>
          <w:tcPr>
            <w:tcW w:w="1340" w:type="dxa"/>
            <w:vAlign w:val="bottom"/>
          </w:tcPr>
          <w:p>
            <w:pPr>
              <w:ind w:left="38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1,140</w:t>
            </w:r>
          </w:p>
        </w:tc>
        <w:tc>
          <w:tcPr>
            <w:tcW w:w="13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8"/>
                <w:szCs w:val="18"/>
                <w:color w:val="auto"/>
              </w:rPr>
              <w:t>Backlog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134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3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36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8,870</w:t>
            </w:r>
          </w:p>
        </w:tc>
        <w:tc>
          <w:tcPr>
            <w:tcW w:w="134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acquired right-of-use assets and assumed lease liabilities of $960 for Excell’s operating facilities. Right-of-use assets are classified as other noncurrent assets, and current and long-term lease liabilities are classified as accrued expenses and other current liabilities and other noncurrent liabilities, respectively, on the Company’s consolidated balance sheet.</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operating results and cash flows of Excell are reflected in the Company’s consolidated financial statements from the date of acquisition. Excell is included in the Battery &amp; Energy Products segment.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months ended March 31, 2022, Excell contributed revenue of $6,436 and net income of $394, inclusive of amortization expense of $182 on acquired identifiable intangible assets and a $55 increase in cost of products sold attributable to the fair market value step-up of acquired inventory sold during the period.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DEBT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13, 2021, Ultralife, Southwest Electronic Energy Corporation, a Texas corporation (“SWE”), CLB, INC., a Texas corporation and wholly owned subsidiary of SWE (“CLB”), UEHC, UCHC and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and together with the Second Amendment Agreement, the “Amended Credit Agreement”).</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Upon closing of the Excell Acquisition on December 13, 2021, the Company drew down the full amount of the Term Loan Facility and $10,980 under the Revolving Credit Facility. As of March 31, 2022, the Company had $9,667 outstanding principal on the Term Loan Facility, $2,000 of which is included in current portion of long-term debt on the consolidated balance sheet, and $12,430 outstanding on the Revolving Credit Facility. As of March 31, 2022, total unamortized debt issuance costs of $116, including placement, renewal and legal fees associated with the Amended Credit Agreement, are classified as a reduction of long-term debt on the balance sheet. Debt issuance costs are amortized to interest expense over the term of the Amended Credit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remaining availability under the Revolving Credit Facility is subject to certain borrowing base limits based on trade receivables and inventories.</w:t>
      </w: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 w:name="page10"/>
    <w:bookmarkEnd w:id="9"/>
    <w:p>
      <w:pPr>
        <w:jc w:val="both"/>
        <w:spacing w:after="0" w:line="258"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Amended Credit Facilities are secured by substantially all the assets of the Company and its subsidiaries.</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Interest will accrue on outstanding indebtedness under the Amended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 The Second Amendment Agreement includes standard market provisions permitting the Bank to transition from LIBOR to a SOFR based rate, in its discretion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0.15% to 0.25% based on the average daily unused availability under the Revolving Credit Facility.</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Basic earnings (loss) per share (“EPS”) is computed by dividing net income (loss) attributable to Ultralife by the weighted average shares outstanding during the period. Diluted EPS includes the dilutive effect of securities, if any, and is calculated using the treasury stock method. For the three-month period ended March 31, 2022, there were no outstanding awards included in the calculation of diluted weighted average shares outstanding and no potential common shares included in the calculation of diluted EPS, as no securities were dilutive. There were 1,204,490 outstanding stock options and 11,664 unvested restricted stock awards not included in the calculation of diluted EPS for the three-month period ended March 31, 2022, as the effect would be antidilutive. For the comparable three-month period ended March 31, 2021, 459,650 stock options and 20,832 restricted stock awards were included in the calculation of diluted weighted average shares outstanding resulting in 178,781 additional shares in the calculation of diluted EPS. There were 668,917 outstanding stock options for the three-month period ended March 31, 2021 that were not included in the calculation of diluted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700" w:firstLine="7"/>
        <w:spacing w:after="0" w:line="524" w:lineRule="auto"/>
        <w:tabs>
          <w:tab w:leader="none" w:pos="32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SUPPLEMENTAL BALANCE SHEET INFORMATION Fair Value Measurements and Disclosures</w:t>
      </w:r>
    </w:p>
    <w:p>
      <w:pPr>
        <w:jc w:val="both"/>
        <w:spacing w:after="0" w:line="258" w:lineRule="auto"/>
        <w:rPr>
          <w:sz w:val="20"/>
          <w:szCs w:val="20"/>
          <w:color w:val="auto"/>
        </w:rPr>
      </w:pPr>
      <w:r>
        <w:rPr>
          <w:rFonts w:ascii="Arial" w:cs="Arial" w:eastAsia="Arial" w:hAnsi="Arial"/>
          <w:sz w:val="18"/>
          <w:szCs w:val="18"/>
          <w:color w:val="auto"/>
        </w:rPr>
        <w:t>The fair value of financial instruments approximated their carrying values at March 31, 2022 and December 31, 2021. The fair value of cash, accounts receivable, accounts payable, accrued liabilities, and the current portion of long-term debt approximates carrying value due to the short-term nature of these instruments.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w:t>
            </w: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480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4"/>
                <w:szCs w:val="24"/>
                <w:color w:val="auto"/>
              </w:rPr>
            </w:pPr>
          </w:p>
        </w:tc>
      </w:tr>
      <w:tr>
        <w:trPr>
          <w:trHeight w:val="231"/>
        </w:trPr>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8"/>
        </w:trPr>
        <w:tc>
          <w:tcPr>
            <w:tcW w:w="3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8,329</w:t>
            </w:r>
          </w:p>
        </w:tc>
        <w:tc>
          <w:tcPr>
            <w:tcW w:w="26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Restricted cash</w:t>
            </w:r>
          </w:p>
        </w:tc>
        <w:tc>
          <w:tcPr>
            <w:tcW w:w="3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7"/>
        </w:trPr>
        <w:tc>
          <w:tcPr>
            <w:tcW w:w="320" w:type="dxa"/>
            <w:vAlign w:val="bottom"/>
          </w:tcPr>
          <w:p>
            <w:pPr>
              <w:spacing w:after="0"/>
              <w:rPr>
                <w:sz w:val="21"/>
                <w:szCs w:val="21"/>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8,413</w:t>
            </w:r>
          </w:p>
        </w:tc>
        <w:tc>
          <w:tcPr>
            <w:tcW w:w="260" w:type="dxa"/>
            <w:vAlign w:val="bottom"/>
          </w:tcPr>
          <w:p>
            <w:pPr>
              <w:spacing w:after="0"/>
              <w:rPr>
                <w:sz w:val="21"/>
                <w:szCs w:val="21"/>
                <w:color w:val="auto"/>
              </w:rPr>
            </w:pPr>
          </w:p>
        </w:tc>
      </w:tr>
      <w:tr>
        <w:trPr>
          <w:trHeight w:val="406"/>
        </w:trPr>
        <w:tc>
          <w:tcPr>
            <w:tcW w:w="320" w:type="dxa"/>
            <w:vAlign w:val="bottom"/>
          </w:tcPr>
          <w:p>
            <w:pPr>
              <w:spacing w:after="0"/>
              <w:rPr>
                <w:sz w:val="24"/>
                <w:szCs w:val="24"/>
                <w:color w:val="auto"/>
              </w:rPr>
            </w:pPr>
          </w:p>
        </w:tc>
        <w:tc>
          <w:tcPr>
            <w:tcW w:w="448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jc w:val="right"/>
              <w:ind w:right="2151"/>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2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05" w:right="339" w:bottom="1440" w:gutter="0" w:footer="0" w:header="0"/>
        </w:sectPr>
      </w:pPr>
    </w:p>
    <w:bookmarkStart w:id="10" w:name="page11"/>
    <w:bookmarkEnd w:id="10"/>
    <w:p>
      <w:pPr>
        <w:jc w:val="both"/>
        <w:spacing w:after="0" w:line="258" w:lineRule="auto"/>
        <w:rPr>
          <w:sz w:val="20"/>
          <w:szCs w:val="20"/>
          <w:color w:val="auto"/>
        </w:rPr>
      </w:pPr>
      <w:r>
        <w:rPr>
          <w:rFonts w:ascii="Arial" w:cs="Arial" w:eastAsia="Arial" w:hAnsi="Arial"/>
          <w:sz w:val="18"/>
          <w:szCs w:val="18"/>
          <w:color w:val="auto"/>
        </w:rPr>
        <w:t>As of March 31, 2022 and December 31, 2021, restricted cash included $82 and $84,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net realizable value, net of obsolescence reserves, with cost determined under the first-in, first-out (FIFO)</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method. The composition of inventories, net was: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36,380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33,189</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700" w:type="dxa"/>
            <w:vAlign w:val="bottom"/>
            <w:gridSpan w:val="2"/>
          </w:tcPr>
          <w:p>
            <w:pPr>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March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15,442</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63,780</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91,423</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(69,024)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(68,218)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20" w:type="dxa"/>
            <w:vAlign w:val="bottom"/>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Depreciation expense for property, plant and equipment was $816 and $730 for the three-month periods ended March 31, 2022 and March 31, 2021,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6"/>
        </w:trPr>
        <w:tc>
          <w:tcPr>
            <w:tcW w:w="6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7"/>
        </w:trPr>
        <w:tc>
          <w:tcPr>
            <w:tcW w:w="9240" w:type="dxa"/>
            <w:vAlign w:val="bottom"/>
            <w:gridSpan w:val="9"/>
          </w:tcPr>
          <w:p>
            <w:pPr>
              <w:spacing w:after="0"/>
              <w:rPr>
                <w:sz w:val="20"/>
                <w:szCs w:val="20"/>
                <w:color w:val="auto"/>
              </w:rPr>
            </w:pPr>
            <w:r>
              <w:rPr>
                <w:rFonts w:ascii="Arial" w:cs="Arial" w:eastAsia="Arial" w:hAnsi="Arial"/>
                <w:sz w:val="18"/>
                <w:szCs w:val="18"/>
                <w:color w:val="auto"/>
              </w:rPr>
              <w:t>The following table summarizes the goodwill activity by segment for the three-month period ended March 31, 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1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8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Communications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1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Systems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38,068</w:t>
            </w:r>
          </w:p>
        </w:tc>
      </w:tr>
      <w:tr>
        <w:trPr>
          <w:trHeight w:val="213"/>
        </w:trPr>
        <w:tc>
          <w:tcPr>
            <w:tcW w:w="16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Measurement period adjustment (1)</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3"/>
        </w:trPr>
        <w:tc>
          <w:tcPr>
            <w:tcW w:w="16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r>
      <w:tr>
        <w:trPr>
          <w:trHeight w:val="207"/>
        </w:trPr>
        <w:tc>
          <w:tcPr>
            <w:tcW w:w="160" w:type="dxa"/>
            <w:vAlign w:val="bottom"/>
          </w:tcPr>
          <w:p>
            <w:pPr>
              <w:spacing w:after="0"/>
              <w:rPr>
                <w:sz w:val="17"/>
                <w:szCs w:val="17"/>
                <w:color w:val="auto"/>
              </w:rPr>
            </w:pPr>
          </w:p>
        </w:tc>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March 31, 2022</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26,433</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37,926</w:t>
            </w:r>
          </w:p>
        </w:tc>
        <w:tc>
          <w:tcPr>
            <w:tcW w:w="80" w:type="dxa"/>
            <w:vAlign w:val="bottom"/>
            <w:tcBorders>
              <w:top w:val="single" w:sz="8" w:color="CCEEFF"/>
            </w:tcBorders>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Change for measurement period adjustment related to Excell Acquisition (Note 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Intangible Assets, Net</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7"/>
        </w:trPr>
        <w:tc>
          <w:tcPr>
            <w:tcW w:w="614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8"/>
        </w:trPr>
        <w:tc>
          <w:tcPr>
            <w:tcW w:w="1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1"/>
              </w:rPr>
              <w:t>at March 31, 2022</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88"/>
              </w:rPr>
              <w:t>Accumulated</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1"/>
        </w:trPr>
        <w:tc>
          <w:tcPr>
            <w:tcW w:w="1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Amortization</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13,170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5,614</w:t>
            </w:r>
          </w:p>
        </w:tc>
        <w:tc>
          <w:tcPr>
            <w:tcW w:w="38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7,556</w:t>
            </w:r>
          </w:p>
        </w:tc>
      </w:tr>
      <w:tr>
        <w:trPr>
          <w:trHeight w:val="213"/>
        </w:trPr>
        <w:tc>
          <w:tcPr>
            <w:tcW w:w="1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Patents and technology</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5,137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13"/>
        </w:trPr>
        <w:tc>
          <w:tcPr>
            <w:tcW w:w="1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4,201</w:t>
            </w:r>
          </w:p>
        </w:tc>
      </w:tr>
      <w:tr>
        <w:trPr>
          <w:trHeight w:val="213"/>
        </w:trPr>
        <w:tc>
          <w:tcPr>
            <w:tcW w:w="1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Trademarks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3,413</w:t>
            </w:r>
          </w:p>
        </w:tc>
      </w:tr>
      <w:tr>
        <w:trPr>
          <w:trHeight w:val="213"/>
        </w:trPr>
        <w:tc>
          <w:tcPr>
            <w:tcW w:w="16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6140" w:type="dxa"/>
            <w:vAlign w:val="bottom"/>
            <w:gridSpan w:val="2"/>
          </w:tcPr>
          <w:p>
            <w:pPr>
              <w:ind w:left="160"/>
              <w:spacing w:after="0"/>
              <w:rPr>
                <w:sz w:val="20"/>
                <w:szCs w:val="20"/>
                <w:color w:val="auto"/>
              </w:rPr>
            </w:pPr>
            <w:r>
              <w:rPr>
                <w:rFonts w:ascii="Arial" w:cs="Arial" w:eastAsia="Arial" w:hAnsi="Arial"/>
                <w:sz w:val="18"/>
                <w:szCs w:val="18"/>
                <w:color w:val="auto"/>
              </w:rPr>
              <w:t>Total other intangible assets</w:t>
            </w:r>
          </w:p>
        </w:tc>
        <w:tc>
          <w:tcPr>
            <w:tcW w:w="8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28,379</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17,043</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6"/>
        </w:trPr>
        <w:tc>
          <w:tcPr>
            <w:tcW w:w="1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at December 31, 2021</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88"/>
              </w:rPr>
              <w:t>Accumulated</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1"/>
        </w:trPr>
        <w:tc>
          <w:tcPr>
            <w:tcW w:w="1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Amortization</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13,214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5,484</w:t>
            </w:r>
          </w:p>
        </w:tc>
        <w:tc>
          <w:tcPr>
            <w:tcW w:w="38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7,730</w:t>
            </w:r>
          </w:p>
        </w:tc>
      </w:tr>
      <w:tr>
        <w:trPr>
          <w:trHeight w:val="213"/>
        </w:trPr>
        <w:tc>
          <w:tcPr>
            <w:tcW w:w="1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Patents and technology</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5,126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541</w:t>
            </w:r>
          </w:p>
        </w:tc>
      </w:tr>
      <w:tr>
        <w:trPr>
          <w:trHeight w:val="213"/>
        </w:trPr>
        <w:tc>
          <w:tcPr>
            <w:tcW w:w="1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4,234</w:t>
            </w:r>
          </w:p>
        </w:tc>
      </w:tr>
      <w:tr>
        <w:trPr>
          <w:trHeight w:val="213"/>
        </w:trPr>
        <w:tc>
          <w:tcPr>
            <w:tcW w:w="1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Trademarks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3,413</w:t>
            </w:r>
          </w:p>
        </w:tc>
      </w:tr>
      <w:tr>
        <w:trPr>
          <w:trHeight w:val="213"/>
        </w:trPr>
        <w:tc>
          <w:tcPr>
            <w:tcW w:w="16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6140" w:type="dxa"/>
            <w:vAlign w:val="bottom"/>
            <w:gridSpan w:val="2"/>
          </w:tcPr>
          <w:p>
            <w:pPr>
              <w:ind w:left="160"/>
              <w:spacing w:after="0"/>
              <w:rPr>
                <w:sz w:val="20"/>
                <w:szCs w:val="20"/>
                <w:color w:val="auto"/>
              </w:rPr>
            </w:pPr>
            <w:r>
              <w:rPr>
                <w:rFonts w:ascii="Arial" w:cs="Arial" w:eastAsia="Arial" w:hAnsi="Arial"/>
                <w:sz w:val="18"/>
                <w:szCs w:val="18"/>
                <w:color w:val="auto"/>
              </w:rPr>
              <w:t>Total other intangible assets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28,454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11,064</w:t>
            </w:r>
          </w:p>
        </w:tc>
        <w:tc>
          <w:tcPr>
            <w:tcW w:w="38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17,390</w:t>
            </w:r>
          </w:p>
        </w:tc>
      </w:tr>
      <w:tr>
        <w:trPr>
          <w:trHeight w:val="20"/>
        </w:trPr>
        <w:tc>
          <w:tcPr>
            <w:tcW w:w="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change in the cost of total intangible assets from December 31, 2021 to March 31, 2022 is a result of measurement period adjustment for the Excell Acquisition (Note 2) and the effect of foreign currency translations.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Amortization expense for intangible assets was $328 and $154 for the three-month periods ended March 31, 2022 and March 31, 2021, respectively. Amortization included in selling, general and administrative expenses was $302 and $121 for the three-month periods ended March 31, 2022 and March 31, 2021, respectively. Amortization included in research and development expenses was $26 and $33 for the three-month periods ended March 31, 2022 and March 31, 2021,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6"/>
        </w:trPr>
        <w:tc>
          <w:tcPr>
            <w:tcW w:w="5960" w:type="dxa"/>
            <w:vAlign w:val="bottom"/>
          </w:tcPr>
          <w:p>
            <w:pPr>
              <w:spacing w:after="0"/>
              <w:rPr>
                <w:sz w:val="20"/>
                <w:szCs w:val="20"/>
                <w:color w:val="auto"/>
              </w:rPr>
            </w:pPr>
            <w:r>
              <w:rPr>
                <w:rFonts w:ascii="Arial" w:cs="Arial" w:eastAsia="Arial" w:hAnsi="Arial"/>
                <w:sz w:val="18"/>
                <w:szCs w:val="18"/>
                <w:b w:val="1"/>
                <w:bCs w:val="1"/>
                <w:i w:val="1"/>
                <w:iCs w:val="1"/>
                <w:color w:val="auto"/>
              </w:rPr>
              <w:t>6.  STOCK-BASED COMPENSATION</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7"/>
        </w:trPr>
        <w:tc>
          <w:tcPr>
            <w:tcW w:w="5960" w:type="dxa"/>
            <w:vAlign w:val="bottom"/>
          </w:tcPr>
          <w:p>
            <w:pPr>
              <w:spacing w:after="0"/>
              <w:rPr>
                <w:sz w:val="20"/>
                <w:szCs w:val="20"/>
                <w:color w:val="auto"/>
              </w:rPr>
            </w:pPr>
            <w:r>
              <w:rPr>
                <w:rFonts w:ascii="Arial" w:cs="Arial" w:eastAsia="Arial" w:hAnsi="Arial"/>
                <w:sz w:val="18"/>
                <w:szCs w:val="18"/>
                <w:color w:val="auto"/>
                <w:w w:val="94"/>
              </w:rPr>
              <w:t>We recorded non-cash stock compensation expense in each period as follows: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5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Three-month period ended</w:t>
            </w:r>
          </w:p>
        </w:tc>
      </w:tr>
      <w:tr>
        <w:trPr>
          <w:trHeight w:val="190"/>
        </w:trPr>
        <w:tc>
          <w:tcPr>
            <w:tcW w:w="5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line="190" w:lineRule="exact"/>
              <w:rPr>
                <w:sz w:val="20"/>
                <w:szCs w:val="20"/>
                <w:color w:val="auto"/>
              </w:rPr>
            </w:pPr>
            <w:r>
              <w:rPr>
                <w:rFonts w:ascii="Arial" w:cs="Arial" w:eastAsia="Arial" w:hAnsi="Arial"/>
                <w:sz w:val="18"/>
                <w:szCs w:val="18"/>
                <w:b w:val="1"/>
                <w:bCs w:val="1"/>
                <w:color w:val="auto"/>
              </w:rPr>
              <w:t>March 31,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1"/>
              <w:spacing w:after="0" w:line="190" w:lineRule="exact"/>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6"/>
                <w:szCs w:val="16"/>
                <w:color w:val="auto"/>
              </w:rPr>
            </w:pPr>
          </w:p>
        </w:tc>
      </w:tr>
      <w:tr>
        <w:trPr>
          <w:trHeight w:val="231"/>
        </w:trPr>
        <w:tc>
          <w:tcPr>
            <w:tcW w:w="5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r>
      <w:tr>
        <w:trPr>
          <w:trHeight w:val="213"/>
        </w:trPr>
        <w:tc>
          <w:tcPr>
            <w:tcW w:w="596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0"/>
        </w:trPr>
        <w:tc>
          <w:tcPr>
            <w:tcW w:w="5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March 31, 2022, there was $670 of total unrecognized compensation cost related to outstanding stock options, which is expected to be recognized over a weighted average period of 1.1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three-month period ended March 31, 2022:</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Average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left="251"/>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80" w:type="dxa"/>
            <w:vAlign w:val="bottom"/>
          </w:tcPr>
          <w:p>
            <w:pPr>
              <w:jc w:val="center"/>
              <w:ind w:right="51"/>
              <w:spacing w:after="0"/>
              <w:rPr>
                <w:sz w:val="20"/>
                <w:szCs w:val="20"/>
                <w:color w:val="auto"/>
              </w:rPr>
            </w:pPr>
            <w:r>
              <w:rPr>
                <w:rFonts w:ascii="Arial" w:cs="Arial" w:eastAsia="Arial" w:hAnsi="Arial"/>
                <w:sz w:val="18"/>
                <w:szCs w:val="18"/>
                <w:b w:val="1"/>
                <w:bCs w:val="1"/>
                <w:color w:val="auto"/>
                <w:w w:val="87"/>
              </w:rPr>
              <w:t>Aggregate</w:t>
            </w:r>
          </w:p>
        </w:tc>
      </w:tr>
      <w:tr>
        <w:trPr>
          <w:trHeight w:val="213"/>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960" w:type="dxa"/>
            <w:vAlign w:val="bottom"/>
          </w:tcPr>
          <w:p>
            <w:pPr>
              <w:jc w:val="center"/>
              <w:ind w:left="231"/>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80" w:type="dxa"/>
            <w:vAlign w:val="bottom"/>
          </w:tcPr>
          <w:p>
            <w:pPr>
              <w:jc w:val="center"/>
              <w:ind w:right="51"/>
              <w:spacing w:after="0"/>
              <w:rPr>
                <w:sz w:val="20"/>
                <w:szCs w:val="20"/>
                <w:color w:val="auto"/>
              </w:rPr>
            </w:pPr>
            <w:r>
              <w:rPr>
                <w:rFonts w:ascii="Arial" w:cs="Arial" w:eastAsia="Arial" w:hAnsi="Arial"/>
                <w:sz w:val="18"/>
                <w:szCs w:val="18"/>
                <w:b w:val="1"/>
                <w:bCs w:val="1"/>
                <w:color w:val="auto"/>
                <w:w w:val="94"/>
              </w:rPr>
              <w:t>Intrinsic</w:t>
            </w:r>
          </w:p>
        </w:tc>
      </w:tr>
      <w:tr>
        <w:trPr>
          <w:trHeight w:val="231"/>
        </w:trPr>
        <w:tc>
          <w:tcPr>
            <w:tcW w:w="4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Term (years)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Value</w:t>
            </w:r>
          </w:p>
        </w:tc>
      </w:tr>
      <w:tr>
        <w:trPr>
          <w:trHeight w:val="208"/>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1,306,824</w:t>
            </w:r>
          </w:p>
        </w:tc>
        <w:tc>
          <w:tcPr>
            <w:tcW w:w="1040" w:type="dxa"/>
            <w:vAlign w:val="bottom"/>
            <w:gridSpan w:val="2"/>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6.87</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(58,750)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3.81</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Forfeited or expired</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(43,584)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6.75</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1,204,490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7.02</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194"/>
        </w:trPr>
        <w:tc>
          <w:tcPr>
            <w:tcW w:w="4820" w:type="dxa"/>
            <w:vAlign w:val="bottom"/>
          </w:tcPr>
          <w:p>
            <w:pPr>
              <w:spacing w:after="0" w:line="194" w:lineRule="exact"/>
              <w:rPr>
                <w:sz w:val="20"/>
                <w:szCs w:val="20"/>
                <w:color w:val="auto"/>
              </w:rPr>
            </w:pPr>
            <w:r>
              <w:rPr>
                <w:rFonts w:ascii="Arial" w:cs="Arial" w:eastAsia="Arial" w:hAnsi="Arial"/>
                <w:sz w:val="18"/>
                <w:szCs w:val="18"/>
                <w:color w:val="auto"/>
              </w:rPr>
              <w:t>Vested and expected to vest at March 31, 2022</w:t>
            </w:r>
          </w:p>
        </w:tc>
        <w:tc>
          <w:tcPr>
            <w:tcW w:w="1400" w:type="dxa"/>
            <w:vAlign w:val="bottom"/>
            <w:gridSpan w:val="3"/>
          </w:tcPr>
          <w:p>
            <w:pPr>
              <w:jc w:val="right"/>
              <w:ind w:right="120"/>
              <w:spacing w:after="0" w:line="194" w:lineRule="exact"/>
              <w:rPr>
                <w:sz w:val="20"/>
                <w:szCs w:val="20"/>
                <w:color w:val="auto"/>
              </w:rPr>
            </w:pPr>
            <w:r>
              <w:rPr>
                <w:rFonts w:ascii="Arial" w:cs="Arial" w:eastAsia="Arial" w:hAnsi="Arial"/>
                <w:sz w:val="18"/>
                <w:szCs w:val="18"/>
                <w:color w:val="auto"/>
              </w:rPr>
              <w:t>1,086,934</w:t>
            </w:r>
          </w:p>
        </w:tc>
        <w:tc>
          <w:tcPr>
            <w:tcW w:w="1040" w:type="dxa"/>
            <w:vAlign w:val="bottom"/>
            <w:gridSpan w:val="2"/>
          </w:tcPr>
          <w:p>
            <w:pPr>
              <w:jc w:val="right"/>
              <w:ind w:right="771"/>
              <w:spacing w:after="0" w:line="194"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w w:val="85"/>
              </w:rPr>
              <w:t>7.03</w:t>
            </w:r>
          </w:p>
        </w:tc>
        <w:tc>
          <w:tcPr>
            <w:tcW w:w="150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4.16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94" w:lineRule="exact"/>
              <w:rPr>
                <w:sz w:val="20"/>
                <w:szCs w:val="20"/>
                <w:color w:val="auto"/>
              </w:rPr>
            </w:pPr>
            <w:r>
              <w:rPr>
                <w:rFonts w:ascii="Arial" w:cs="Arial" w:eastAsia="Arial" w:hAnsi="Arial"/>
                <w:sz w:val="18"/>
                <w:szCs w:val="18"/>
                <w:color w:val="auto"/>
              </w:rPr>
              <w:t>152</w:t>
            </w: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4"/>
        </w:trPr>
        <w:tc>
          <w:tcPr>
            <w:tcW w:w="48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Exercisable at March 31, 2022</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644,453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771"/>
              <w:spacing w:after="0" w:line="194"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w w:val="85"/>
              </w:rPr>
              <w:t>7.13</w:t>
            </w:r>
          </w:p>
        </w:tc>
        <w:tc>
          <w:tcPr>
            <w:tcW w:w="15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2.96</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145</w:t>
            </w:r>
          </w:p>
        </w:tc>
      </w:tr>
    </w:tbl>
    <w:p>
      <w:pPr>
        <w:spacing w:after="0" w:line="199"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March 31, 2022 and March 31, 2021 was $113 and $31, respectively.</w:t>
      </w:r>
    </w:p>
    <w:p>
      <w:pPr>
        <w:spacing w:after="0" w:line="175"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color w:val="auto"/>
        </w:rPr>
        <w:t>In October 2020, 5,000 shares of restricted stock were awarded to an employee at a weighted-average grant date fair value of $6.08 per share. In April 2019, 20,000 shares of restricted stock were awarded to certain of our employees at a weighted-average grant date fair value of $11.12 per share. All outstanding restricted shares vest in equal annual installments over three (3) years. Unrecognized compensation cost related to these restricted shares was $9 at March 31, 2022, which is expected to be recognized over a weighted average period of 1.4 years.</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819" w:right="239" w:bottom="1440" w:gutter="0" w:footer="0" w:header="0"/>
        </w:sectPr>
      </w:pPr>
    </w:p>
    <w:bookmarkStart w:id="13" w:name="page14"/>
    <w:bookmarkEnd w:id="13"/>
    <w:p>
      <w:pPr>
        <w:ind w:left="320" w:hanging="313"/>
        <w:spacing w:after="0"/>
        <w:tabs>
          <w:tab w:leader="none" w:pos="3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Our effective tax rate for the three-month periods ended March 31, 2022 and March 31, 2021 was (60.9%) and 24.2%, respectively. The period-over-period change was primarily attributable to the geographic mix of our operating results and the larger impact of permanent and discrete adjustments on a smaller amount of pretax loss.</w:t>
      </w:r>
    </w:p>
    <w:p>
      <w:pPr>
        <w:spacing w:after="0" w:line="186"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As of December 31, 2021, we have domestic net operating loss (“NOL”) carryforwards of $44,716, which expire 2022 thru 2037, and domestic tax credits of $2,239, which expire 2028 thru 2039, available to reduce future taxable income. As of March 31, 2022, management has concluded it is more likely than not that these domestic NOL and credit carryforwards will be fully utilized.</w:t>
      </w:r>
    </w:p>
    <w:p>
      <w:pPr>
        <w:spacing w:after="0" w:line="18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As of March 31, 2022, for certain past operations in the U.K., we continue to report a valuation allowance for NOL carryforwards of approximately $11,000,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8" w:lineRule="exact"/>
        <w:rPr>
          <w:sz w:val="20"/>
          <w:szCs w:val="20"/>
          <w:color w:val="auto"/>
        </w:rPr>
      </w:pPr>
    </w:p>
    <w:p>
      <w:pPr>
        <w:jc w:val="both"/>
        <w:ind w:right="80"/>
        <w:spacing w:after="0" w:line="270" w:lineRule="auto"/>
        <w:rPr>
          <w:sz w:val="20"/>
          <w:szCs w:val="20"/>
          <w:color w:val="auto"/>
        </w:rPr>
      </w:pPr>
      <w:r>
        <w:rPr>
          <w:rFonts w:ascii="Arial" w:cs="Arial" w:eastAsia="Arial" w:hAnsi="Arial"/>
          <w:sz w:val="18"/>
          <w:szCs w:val="18"/>
          <w:color w:val="auto"/>
        </w:rPr>
        <w:t>As of March 31, 2022, we have not recognized a valuation allowance against our other foreign deferred tax assets, as realization is considered to be more likely than not.</w:t>
      </w:r>
    </w:p>
    <w:p>
      <w:pPr>
        <w:spacing w:after="0" w:line="175" w:lineRule="exact"/>
        <w:rPr>
          <w:sz w:val="20"/>
          <w:szCs w:val="20"/>
          <w:color w:val="auto"/>
        </w:rPr>
      </w:pPr>
    </w:p>
    <w:p>
      <w:pPr>
        <w:jc w:val="both"/>
        <w:ind w:right="60"/>
        <w:spacing w:after="0" w:line="270" w:lineRule="auto"/>
        <w:rPr>
          <w:sz w:val="20"/>
          <w:szCs w:val="20"/>
          <w:color w:val="auto"/>
        </w:rPr>
      </w:pPr>
      <w:r>
        <w:rPr>
          <w:rFonts w:ascii="Arial" w:cs="Arial" w:eastAsia="Arial" w:hAnsi="Arial"/>
          <w:sz w:val="18"/>
          <w:szCs w:val="18"/>
          <w:color w:val="auto"/>
        </w:rPr>
        <w:t>As of March 31, 2022, the Company maintains its assertion that all foreign earnings will be indefinitely reinvested in those operations, other than earnings generated in the U.K.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March 31, 2022 and December 31, 2021.</w:t>
      </w:r>
    </w:p>
    <w:p>
      <w:pPr>
        <w:spacing w:after="0" w:line="220"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color w:val="auto"/>
        </w:rPr>
        <w:t>As a result of our operations, we file income tax returns in various jurisdictions including U.S. federal, U.S. state and foreign jurisdictions. We are routinely subject to examination by taxing authorities in these various jurisdictions. In August 2020, the Internal Revenue Service (“IRS”) completed its examination of the Company’s federal tax returns for 2016-2018 with no material adjustments identified. Our U.S. tax matters for 2019-2021 remain subject to IRS examination. Our U.S. tax matters for 2002, 2005-2007 and 2011-2015 also remain subject to IRS examination due to the remaining availability of NOL carryforwards generated in those years. Our U.S. tax matters for 2002, 2005-2007 and 2011-2021 remain subject to examination by various state and local tax jurisdictions. Our tax matters for the years 2011 through 2021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hanging="313"/>
        <w:spacing w:after="0"/>
        <w:tabs>
          <w:tab w:leader="none" w:pos="3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0" w:lineRule="exact"/>
        <w:rPr>
          <w:sz w:val="20"/>
          <w:szCs w:val="20"/>
          <w:color w:val="auto"/>
        </w:rPr>
      </w:pPr>
    </w:p>
    <w:p>
      <w:pPr>
        <w:jc w:val="both"/>
        <w:ind w:right="60"/>
        <w:spacing w:after="0" w:line="281" w:lineRule="auto"/>
        <w:rPr>
          <w:sz w:val="20"/>
          <w:szCs w:val="20"/>
          <w:color w:val="auto"/>
        </w:rPr>
      </w:pPr>
      <w:r>
        <w:rPr>
          <w:rFonts w:ascii="Arial" w:cs="Arial" w:eastAsia="Arial" w:hAnsi="Arial"/>
          <w:sz w:val="17"/>
          <w:szCs w:val="17"/>
          <w:color w:val="auto"/>
        </w:rPr>
        <w:t>The Company has operating leases predominantly for operating facilities. As of March 31, 2022, the remaining lease terms on our operating leases range from approximately one (1) year to ten (10) years. Lease terms include renewal options reasonably certain of exercise. There is no transfer of title or option to purchase the leased assets upon expiration. There are no residual value guarantees or material restrictive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080" w:type="dxa"/>
            <w:vAlign w:val="bottom"/>
            <w:gridSpan w:val="7"/>
          </w:tcPr>
          <w:p>
            <w:pPr>
              <w:ind w:left="60"/>
              <w:spacing w:after="0"/>
              <w:rPr>
                <w:sz w:val="20"/>
                <w:szCs w:val="20"/>
                <w:color w:val="auto"/>
              </w:rPr>
            </w:pPr>
            <w:r>
              <w:rPr>
                <w:rFonts w:ascii="Arial" w:cs="Arial" w:eastAsia="Arial" w:hAnsi="Arial"/>
                <w:sz w:val="18"/>
                <w:szCs w:val="18"/>
                <w:b w:val="1"/>
                <w:bCs w:val="1"/>
                <w:color w:val="auto"/>
                <w:w w:val="94"/>
              </w:rPr>
              <w:t>Three-month period ended March 31,</w:t>
            </w:r>
          </w:p>
        </w:tc>
      </w:tr>
      <w:tr>
        <w:trPr>
          <w:trHeight w:val="208"/>
        </w:trPr>
        <w:tc>
          <w:tcPr>
            <w:tcW w:w="640" w:type="dxa"/>
            <w:vAlign w:val="bottom"/>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64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540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Variable lease cost</w:t>
            </w:r>
          </w:p>
        </w:tc>
        <w:tc>
          <w:tcPr>
            <w:tcW w:w="4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7"/>
        </w:trPr>
        <w:tc>
          <w:tcPr>
            <w:tcW w:w="640" w:type="dxa"/>
            <w:vAlign w:val="bottom"/>
          </w:tcPr>
          <w:p>
            <w:pPr>
              <w:spacing w:after="0"/>
              <w:rPr>
                <w:sz w:val="21"/>
                <w:szCs w:val="21"/>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540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21"/>
                <w:szCs w:val="21"/>
                <w:color w:val="auto"/>
              </w:rPr>
            </w:pPr>
          </w:p>
        </w:tc>
      </w:tr>
      <w:tr>
        <w:trPr>
          <w:trHeight w:val="406"/>
        </w:trPr>
        <w:tc>
          <w:tcPr>
            <w:tcW w:w="640" w:type="dxa"/>
            <w:vAlign w:val="bottom"/>
          </w:tcPr>
          <w:p>
            <w:pPr>
              <w:spacing w:after="0"/>
              <w:rPr>
                <w:sz w:val="24"/>
                <w:szCs w:val="24"/>
                <w:color w:val="auto"/>
              </w:rPr>
            </w:pPr>
          </w:p>
        </w:tc>
        <w:tc>
          <w:tcPr>
            <w:tcW w:w="318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jc w:val="right"/>
              <w:ind w:right="2411"/>
              <w:spacing w:after="0"/>
              <w:rPr>
                <w:sz w:val="20"/>
                <w:szCs w:val="20"/>
                <w:color w:val="auto"/>
              </w:rPr>
            </w:pPr>
            <w:r>
              <w:rPr>
                <w:rFonts w:ascii="Arial" w:cs="Arial" w:eastAsia="Arial" w:hAnsi="Arial"/>
                <w:sz w:val="18"/>
                <w:szCs w:val="18"/>
                <w:color w:val="auto"/>
              </w:rPr>
              <w:t>12</w:t>
            </w:r>
          </w:p>
        </w:tc>
        <w:tc>
          <w:tcPr>
            <w:tcW w:w="10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115"/>
        </w:trPr>
        <w:tc>
          <w:tcPr>
            <w:tcW w:w="64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ectPr>
          <w:pgSz w:w="11900" w:h="16838" w:orient="portrait"/>
          <w:cols w:equalWidth="0" w:num="1">
            <w:col w:w="11300"/>
          </w:cols>
          <w:pgMar w:left="320" w:top="819"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8"/>
          </w:tcPr>
          <w:p>
            <w:pPr>
              <w:spacing w:after="0"/>
              <w:rPr>
                <w:sz w:val="20"/>
                <w:szCs w:val="20"/>
                <w:color w:val="auto"/>
              </w:rPr>
            </w:pPr>
            <w:r>
              <w:rPr>
                <w:rFonts w:ascii="Arial" w:cs="Arial" w:eastAsia="Arial" w:hAnsi="Arial"/>
                <w:sz w:val="18"/>
                <w:szCs w:val="18"/>
                <w:b w:val="1"/>
                <w:bCs w:val="1"/>
                <w:color w:val="auto"/>
                <w:w w:val="93"/>
              </w:rPr>
              <w:t>Three-month period ended</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6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w w:val="94"/>
              </w:rPr>
              <w:t>2022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640" w:type="dxa"/>
            <w:vAlign w:val="bottom"/>
          </w:tcPr>
          <w:p>
            <w:pPr>
              <w:spacing w:after="0"/>
              <w:rPr>
                <w:sz w:val="17"/>
                <w:szCs w:val="17"/>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6380" w:type="dxa"/>
            <w:vAlign w:val="bottom"/>
            <w:gridSpan w:val="2"/>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r>
      <w:tr>
        <w:trPr>
          <w:trHeight w:val="207"/>
        </w:trPr>
        <w:tc>
          <w:tcPr>
            <w:tcW w:w="640" w:type="dxa"/>
            <w:vAlign w:val="bottom"/>
          </w:tcPr>
          <w:p>
            <w:pPr>
              <w:spacing w:after="0"/>
              <w:rPr>
                <w:sz w:val="17"/>
                <w:szCs w:val="17"/>
                <w:color w:val="auto"/>
              </w:rPr>
            </w:pPr>
          </w:p>
        </w:tc>
        <w:tc>
          <w:tcPr>
            <w:tcW w:w="63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419"/>
        </w:trPr>
        <w:tc>
          <w:tcPr>
            <w:tcW w:w="7020" w:type="dxa"/>
            <w:vAlign w:val="bottom"/>
            <w:gridSpan w:val="3"/>
          </w:tcPr>
          <w:p>
            <w:pPr>
              <w:spacing w:after="0"/>
              <w:rPr>
                <w:sz w:val="20"/>
                <w:szCs w:val="20"/>
                <w:color w:val="auto"/>
              </w:rPr>
            </w:pPr>
            <w:r>
              <w:rPr>
                <w:rFonts w:ascii="Arial" w:cs="Arial" w:eastAsia="Arial" w:hAnsi="Arial"/>
                <w:sz w:val="18"/>
                <w:szCs w:val="18"/>
                <w:color w:val="auto"/>
              </w:rPr>
              <w:t>Supplemental consolidated balance sheet information related to leases was as follows: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6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2160" w:type="dxa"/>
            <w:vAlign w:val="bottom"/>
            <w:gridSpan w:val="8"/>
          </w:tcPr>
          <w:p>
            <w:pPr>
              <w:ind w:left="12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1"/>
        </w:trPr>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classification</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4"/>
              </w:rPr>
              <w:t>2021</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000" w:type="dxa"/>
            <w:vAlign w:val="bottom"/>
            <w:gridSpan w:val="2"/>
          </w:tcPr>
          <w:p>
            <w:pPr>
              <w:ind w:left="320"/>
              <w:spacing w:after="0"/>
              <w:rPr>
                <w:sz w:val="20"/>
                <w:szCs w:val="20"/>
                <w:color w:val="auto"/>
              </w:rPr>
            </w:pPr>
            <w:r>
              <w:rPr>
                <w:rFonts w:ascii="Arial" w:cs="Arial" w:eastAsia="Arial" w:hAnsi="Arial"/>
                <w:sz w:val="18"/>
                <w:szCs w:val="18"/>
                <w:color w:val="auto"/>
              </w:rPr>
              <w:t>Operating lease right-of-use asset</w:t>
            </w:r>
          </w:p>
        </w:tc>
        <w:tc>
          <w:tcPr>
            <w:tcW w:w="30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2,401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000" w:type="dxa"/>
            <w:vAlign w:val="bottom"/>
            <w:gridSpan w:val="2"/>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0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4000" w:type="dxa"/>
            <w:vAlign w:val="bottom"/>
            <w:gridSpan w:val="2"/>
            <w:shd w:val="clear" w:color="auto" w:fill="CCEEFF"/>
          </w:tcPr>
          <w:p>
            <w:pPr>
              <w:ind w:left="320"/>
              <w:spacing w:after="0" w:line="199" w:lineRule="exact"/>
              <w:rPr>
                <w:sz w:val="20"/>
                <w:szCs w:val="20"/>
                <w:color w:val="auto"/>
              </w:rPr>
            </w:pPr>
            <w:r>
              <w:rPr>
                <w:rFonts w:ascii="Arial" w:cs="Arial" w:eastAsia="Arial" w:hAnsi="Arial"/>
                <w:sz w:val="18"/>
                <w:szCs w:val="18"/>
                <w:color w:val="auto"/>
              </w:rPr>
              <w:t>Current operating lease liability</w:t>
            </w:r>
          </w:p>
        </w:tc>
        <w:tc>
          <w:tcPr>
            <w:tcW w:w="30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Accrued expenses and other current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64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869</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867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3"/>
        </w:trPr>
        <w:tc>
          <w:tcPr>
            <w:tcW w:w="4000" w:type="dxa"/>
            <w:vAlign w:val="bottom"/>
            <w:gridSpan w:val="2"/>
          </w:tcPr>
          <w:p>
            <w:pPr>
              <w:ind w:left="320"/>
              <w:spacing w:after="0"/>
              <w:rPr>
                <w:sz w:val="20"/>
                <w:szCs w:val="20"/>
                <w:color w:val="auto"/>
              </w:rPr>
            </w:pPr>
            <w:r>
              <w:rPr>
                <w:rFonts w:ascii="Arial" w:cs="Arial" w:eastAsia="Arial" w:hAnsi="Arial"/>
                <w:sz w:val="18"/>
                <w:szCs w:val="18"/>
                <w:color w:val="auto"/>
              </w:rPr>
              <w:t>Operating lease liability, net of current portion</w:t>
            </w:r>
          </w:p>
        </w:tc>
        <w:tc>
          <w:tcPr>
            <w:tcW w:w="30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30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2,427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4000" w:type="dxa"/>
            <w:vAlign w:val="bottom"/>
            <w:gridSpan w:val="2"/>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000" w:type="dxa"/>
            <w:vAlign w:val="bottom"/>
            <w:gridSpan w:val="2"/>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26"/>
        </w:trPr>
        <w:tc>
          <w:tcPr>
            <w:tcW w:w="7020" w:type="dxa"/>
            <w:vAlign w:val="bottom"/>
            <w:gridSpan w:val="3"/>
          </w:tcPr>
          <w:p>
            <w:pPr>
              <w:spacing w:after="0"/>
              <w:rPr>
                <w:sz w:val="20"/>
                <w:szCs w:val="20"/>
                <w:color w:val="auto"/>
              </w:rPr>
            </w:pPr>
            <w:r>
              <w:rPr>
                <w:rFonts w:ascii="Arial" w:cs="Arial" w:eastAsia="Arial" w:hAnsi="Arial"/>
                <w:sz w:val="18"/>
                <w:szCs w:val="18"/>
                <w:color w:val="auto"/>
              </w:rPr>
              <w:t>Future minimum lease payments as of March 31, 2022 are as follows: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8"/>
        </w:trPr>
        <w:tc>
          <w:tcPr>
            <w:tcW w:w="64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3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6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2023</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2025</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2027</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0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64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lease payments</w:t>
            </w:r>
          </w:p>
        </w:tc>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2,737</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640" w:type="dxa"/>
            <w:vAlign w:val="bottom"/>
          </w:tcPr>
          <w:p>
            <w:pPr>
              <w:spacing w:after="0"/>
              <w:rPr>
                <w:sz w:val="17"/>
                <w:szCs w:val="17"/>
                <w:color w:val="auto"/>
              </w:rPr>
            </w:pPr>
          </w:p>
        </w:tc>
        <w:tc>
          <w:tcPr>
            <w:tcW w:w="3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6"/>
              </w:rPr>
              <w:t>Present value of remaining lease payments</w:t>
            </w:r>
          </w:p>
        </w:tc>
        <w:tc>
          <w:tcPr>
            <w:tcW w:w="30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2,427</w:t>
            </w:r>
          </w:p>
        </w:tc>
        <w:tc>
          <w:tcPr>
            <w:tcW w:w="80" w:type="dxa"/>
            <w:vAlign w:val="bottom"/>
            <w:tcBorders>
              <w:top w:val="single" w:sz="8" w:color="CCEEFF"/>
            </w:tcBorders>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6"/>
        </w:trPr>
        <w:tc>
          <w:tcPr>
            <w:tcW w:w="6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20" w:type="dxa"/>
            <w:vAlign w:val="bottom"/>
          </w:tcPr>
          <w:p>
            <w:pPr>
              <w:ind w:left="15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4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ectPr>
          <w:pgSz w:w="11900" w:h="16838" w:orient="portrait"/>
          <w:cols w:equalWidth="0" w:num="1">
            <w:col w:w="11300"/>
          </w:cols>
          <w:pgMar w:left="320" w:top="605" w:right="279" w:bottom="1440" w:gutter="0" w:footer="0" w:header="0"/>
        </w:sectPr>
      </w:pPr>
    </w:p>
    <w:bookmarkStart w:id="15" w:name="page16"/>
    <w:bookmarkEnd w:id="15"/>
    <w:p>
      <w:pPr>
        <w:ind w:right="7700" w:firstLine="7"/>
        <w:spacing w:after="0" w:line="524" w:lineRule="auto"/>
        <w:tabs>
          <w:tab w:leader="none" w:pos="32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Purchase Commitments</w:t>
      </w:r>
    </w:p>
    <w:p>
      <w:pPr>
        <w:spacing w:after="0"/>
        <w:rPr>
          <w:sz w:val="20"/>
          <w:szCs w:val="20"/>
          <w:color w:val="auto"/>
        </w:rPr>
      </w:pPr>
      <w:r>
        <w:rPr>
          <w:rFonts w:ascii="Arial" w:cs="Arial" w:eastAsia="Arial" w:hAnsi="Arial"/>
          <w:sz w:val="18"/>
          <w:szCs w:val="18"/>
          <w:color w:val="auto"/>
        </w:rPr>
        <w:t>As of March 31, 2022, we have made commitments to purchase approximately $953 of production machinery and equipment.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0"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three months of 2022 and 2021 were as follows: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p>
        </w:tc>
        <w:tc>
          <w:tcPr>
            <w:tcW w:w="30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Three-month period ended March 31,</w:t>
            </w:r>
          </w:p>
        </w:tc>
      </w:tr>
      <w:tr>
        <w:trPr>
          <w:trHeight w:val="208"/>
        </w:trPr>
        <w:tc>
          <w:tcPr>
            <w:tcW w:w="76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07"/>
        </w:trPr>
        <w:tc>
          <w:tcPr>
            <w:tcW w:w="7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r>
      <w:tr>
        <w:trPr>
          <w:trHeight w:val="213"/>
        </w:trPr>
        <w:tc>
          <w:tcPr>
            <w:tcW w:w="760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r>
      <w:tr>
        <w:trPr>
          <w:trHeight w:val="213"/>
        </w:trPr>
        <w:tc>
          <w:tcPr>
            <w:tcW w:w="7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76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7600" w:type="dxa"/>
            <w:vAlign w:val="bottom"/>
          </w:tcPr>
          <w:p>
            <w:pPr>
              <w:spacing w:after="0"/>
              <w:rPr>
                <w:sz w:val="20"/>
                <w:szCs w:val="20"/>
                <w:color w:val="auto"/>
              </w:rPr>
            </w:pPr>
            <w:r>
              <w:rPr>
                <w:rFonts w:ascii="Arial" w:cs="Arial" w:eastAsia="Arial" w:hAnsi="Arial"/>
                <w:sz w:val="18"/>
                <w:szCs w:val="18"/>
                <w:color w:val="auto"/>
              </w:rPr>
              <w:t>Accrued warranty obligations – ending</w:t>
            </w:r>
          </w:p>
        </w:tc>
        <w:tc>
          <w:tcPr>
            <w:tcW w:w="980" w:type="dxa"/>
            <w:vAlign w:val="bottom"/>
          </w:tcPr>
          <w:p>
            <w:pPr>
              <w:jc w:val="right"/>
              <w:ind w:right="819"/>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7"/>
                <w:szCs w:val="17"/>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r>
      <w:tr>
        <w:trPr>
          <w:trHeight w:val="20"/>
        </w:trPr>
        <w:tc>
          <w:tcPr>
            <w:tcW w:w="7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Legal Matters</w:t>
      </w:r>
    </w:p>
    <w:p>
      <w:pPr>
        <w:spacing w:after="0" w:line="220"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REVENUE RECOGNITION</w:t>
      </w:r>
    </w:p>
    <w:p>
      <w:pPr>
        <w:spacing w:after="0" w:line="220"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Revenues recognized from prior period performance obligations for the three-month periods ended March 31, 2022 and 2021 were not material.</w:t>
      </w:r>
    </w:p>
    <w:p>
      <w:pPr>
        <w:spacing w:after="0" w:line="231"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Deferred revenue, unbilled revenue and deferred contract costs recorded on our consolidated balance sheets as of March 31, 2022 and December 31, 2021 were not material. As of March 31, 2022 and December 31, 2021,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00"/>
          </w:cols>
          <w:pgMar w:left="320" w:top="819"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11. BUSINESS SEGMENT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auto"/>
              </w:rPr>
              <w:t>Three-month period ended March 31, 2022:</w:t>
            </w:r>
          </w:p>
        </w:tc>
        <w:tc>
          <w:tcPr>
            <w:tcW w:w="200" w:type="dxa"/>
            <w:vAlign w:val="bottom"/>
          </w:tcPr>
          <w:p>
            <w:pPr>
              <w:spacing w:after="0"/>
              <w:rPr>
                <w:sz w:val="20"/>
                <w:szCs w:val="20"/>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4"/>
              </w:rPr>
              <w:t>Battery &amp;</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Energy</w:t>
            </w:r>
          </w:p>
        </w:tc>
        <w:tc>
          <w:tcPr>
            <w:tcW w:w="100" w:type="dxa"/>
            <w:vAlign w:val="bottom"/>
          </w:tcPr>
          <w:p>
            <w:pPr>
              <w:spacing w:after="0"/>
              <w:rPr>
                <w:sz w:val="18"/>
                <w:szCs w:val="18"/>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Communications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0"/>
              </w:rPr>
              <w:t>Systems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29,150</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30,373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Segment contribution</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80" w:type="dxa"/>
            <w:vAlign w:val="bottom"/>
          </w:tcPr>
          <w:p>
            <w:pPr>
              <w:spacing w:after="0"/>
              <w:rPr>
                <w:sz w:val="20"/>
                <w:szCs w:val="20"/>
                <w:color w:val="auto"/>
              </w:rPr>
            </w:pPr>
            <w:r>
              <w:rPr>
                <w:rFonts w:ascii="Arial" w:cs="Arial" w:eastAsia="Arial" w:hAnsi="Arial"/>
                <w:sz w:val="18"/>
                <w:szCs w:val="18"/>
                <w:color w:val="auto"/>
              </w:rPr>
              <w:t>Net loss attributable to Ultralife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380" w:type="dxa"/>
            <w:vAlign w:val="bottom"/>
          </w:tcPr>
          <w:p>
            <w:pPr>
              <w:spacing w:after="0"/>
              <w:rPr>
                <w:sz w:val="20"/>
                <w:szCs w:val="20"/>
                <w:color w:val="auto"/>
              </w:rPr>
            </w:pPr>
            <w:r>
              <w:rPr>
                <w:rFonts w:ascii="Arial" w:cs="Arial" w:eastAsia="Arial" w:hAnsi="Arial"/>
                <w:sz w:val="18"/>
                <w:szCs w:val="18"/>
                <w:b w:val="1"/>
                <w:bCs w:val="1"/>
                <w:color w:val="auto"/>
              </w:rPr>
              <w:t>Three-month period ended March 31, 2021:</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Battery &amp;</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Energy</w:t>
            </w:r>
          </w:p>
        </w:tc>
        <w:tc>
          <w:tcPr>
            <w:tcW w:w="100" w:type="dxa"/>
            <w:vAlign w:val="bottom"/>
          </w:tcPr>
          <w:p>
            <w:pPr>
              <w:spacing w:after="0"/>
              <w:rPr>
                <w:sz w:val="18"/>
                <w:szCs w:val="18"/>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Communications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0"/>
              </w:rPr>
              <w:t>Systems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22,111</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25,973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Segment contribution</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(6,026)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Tax provision</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8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color w:val="auto"/>
              </w:rPr>
              <w:t>Commercial and Government/Defense Revenue Information:</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46"/>
        </w:trPr>
        <w:tc>
          <w:tcPr>
            <w:tcW w:w="43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Three-month period ended March 31, 2022:</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Government/</w:t>
            </w:r>
          </w:p>
        </w:tc>
      </w:tr>
      <w:tr>
        <w:trPr>
          <w:trHeight w:val="227"/>
        </w:trPr>
        <w:tc>
          <w:tcPr>
            <w:tcW w:w="8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19"/>
                <w:szCs w:val="19"/>
                <w:color w:val="auto"/>
              </w:rPr>
            </w:pPr>
          </w:p>
        </w:tc>
      </w:tr>
      <w:tr>
        <w:trPr>
          <w:trHeight w:val="208"/>
        </w:trPr>
        <w:tc>
          <w:tcPr>
            <w:tcW w:w="80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23,260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5,890</w:t>
            </w:r>
          </w:p>
        </w:tc>
      </w:tr>
      <w:tr>
        <w:trPr>
          <w:trHeight w:val="213"/>
        </w:trPr>
        <w:tc>
          <w:tcPr>
            <w:tcW w:w="80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1,223</w:t>
            </w:r>
          </w:p>
        </w:tc>
      </w:tr>
      <w:tr>
        <w:trPr>
          <w:trHeight w:val="20"/>
        </w:trPr>
        <w:tc>
          <w:tcPr>
            <w:tcW w:w="8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800" w:type="dxa"/>
            <w:vAlign w:val="bottom"/>
          </w:tcPr>
          <w:p>
            <w:pPr>
              <w:spacing w:after="0"/>
              <w:rPr>
                <w:sz w:val="19"/>
                <w:szCs w:val="19"/>
                <w:color w:val="auto"/>
              </w:rPr>
            </w:pPr>
          </w:p>
        </w:tc>
        <w:tc>
          <w:tcPr>
            <w:tcW w:w="5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30,373</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23,260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7,113</w:t>
            </w:r>
          </w:p>
        </w:tc>
      </w:tr>
      <w:tr>
        <w:trPr>
          <w:trHeight w:val="20"/>
        </w:trPr>
        <w:tc>
          <w:tcPr>
            <w:tcW w:w="800" w:type="dxa"/>
            <w:vAlign w:val="bottom"/>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06"/>
        </w:trPr>
        <w:tc>
          <w:tcPr>
            <w:tcW w:w="8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w:t>
            </w:r>
          </w:p>
        </w:tc>
      </w:tr>
    </w:tbl>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Three-month period ended March 31, 2021:</w:t>
      </w:r>
    </w:p>
    <w:p>
      <w:pPr>
        <w:sectPr>
          <w:pgSz w:w="11900" w:h="16838" w:orient="portrait"/>
          <w:cols w:equalWidth="0" w:num="1">
            <w:col w:w="10340"/>
          </w:cols>
          <w:pgMar w:left="320" w:top="605"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and Non-U.S. Revenue Information</w:t>
      </w:r>
      <w:r>
        <w:rPr>
          <w:rFonts w:ascii="Arial" w:cs="Arial" w:eastAsia="Arial" w:hAnsi="Arial"/>
          <w:sz w:val="13"/>
          <w:szCs w:val="13"/>
          <w:u w:val="single" w:color="auto"/>
          <w:color w:val="auto"/>
        </w:rPr>
        <w:t>1</w:t>
      </w:r>
      <w:r>
        <w:rPr>
          <w:rFonts w:ascii="Arial" w:cs="Arial" w:eastAsia="Arial" w:hAnsi="Arial"/>
          <w:sz w:val="17"/>
          <w:szCs w:val="17"/>
          <w:u w:val="single" w:color="auto"/>
          <w:color w:val="auto"/>
        </w:rPr>
        <w:t>:</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Three-month period ended March 31, 2022: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Three-month period ended March 31, 2021: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Battery &amp; Energy Products</w:t>
      </w:r>
    </w:p>
    <w:p>
      <w:pPr>
        <w:spacing w:after="0" w:line="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Government/</w:t>
            </w:r>
          </w:p>
        </w:tc>
      </w:tr>
      <w:tr>
        <w:trPr>
          <w:trHeight w:val="226"/>
        </w:trPr>
        <w:tc>
          <w:tcPr>
            <w:tcW w:w="20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Revenue</w:t>
            </w:r>
          </w:p>
        </w:tc>
        <w:tc>
          <w:tcPr>
            <w:tcW w:w="14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Defense</w:t>
            </w:r>
          </w:p>
        </w:tc>
      </w:tr>
      <w:tr>
        <w:trPr>
          <w:trHeight w:val="194"/>
        </w:trPr>
        <w:tc>
          <w:tcPr>
            <w:tcW w:w="200" w:type="dxa"/>
            <w:vAlign w:val="bottom"/>
            <w:tcBorders>
              <w:top w:val="single" w:sz="8" w:color="auto"/>
            </w:tcBorders>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22,111</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14,345</w:t>
            </w:r>
          </w:p>
        </w:tc>
        <w:tc>
          <w:tcPr>
            <w:tcW w:w="2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7,766</w:t>
            </w:r>
          </w:p>
        </w:tc>
        <w:tc>
          <w:tcPr>
            <w:tcW w:w="160" w:type="dxa"/>
            <w:vAlign w:val="bottom"/>
          </w:tcPr>
          <w:p>
            <w:pPr>
              <w:spacing w:after="0"/>
              <w:rPr>
                <w:sz w:val="16"/>
                <w:szCs w:val="16"/>
                <w:color w:val="auto"/>
              </w:rPr>
            </w:pPr>
          </w:p>
        </w:tc>
      </w:tr>
      <w:tr>
        <w:trPr>
          <w:trHeight w:val="226"/>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3,862</w:t>
            </w:r>
          </w:p>
        </w:tc>
      </w:tr>
      <w:tr>
        <w:trPr>
          <w:trHeight w:val="208"/>
        </w:trPr>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14,345</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11,628</w:t>
            </w:r>
          </w:p>
        </w:tc>
        <w:tc>
          <w:tcPr>
            <w:tcW w:w="16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-583565</wp:posOffset>
            </wp:positionV>
            <wp:extent cx="6057900"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-304165</wp:posOffset>
            </wp:positionV>
            <wp:extent cx="6057900" cy="16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7900" cy="16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United</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Non-United</w:t>
            </w:r>
          </w:p>
        </w:tc>
      </w:tr>
      <w:tr>
        <w:trPr>
          <w:trHeight w:val="226"/>
        </w:trPr>
        <w:tc>
          <w:tcPr>
            <w:tcW w:w="20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Revenue</w:t>
            </w:r>
          </w:p>
        </w:tc>
        <w:tc>
          <w:tcPr>
            <w:tcW w:w="220" w:type="dxa"/>
            <w:vAlign w:val="bottom"/>
          </w:tcPr>
          <w:p>
            <w:pPr>
              <w:spacing w:after="0"/>
              <w:rPr>
                <w:sz w:val="19"/>
                <w:szCs w:val="19"/>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2"/>
              </w:rPr>
              <w:t>States</w:t>
            </w:r>
          </w:p>
        </w:tc>
        <w:tc>
          <w:tcPr>
            <w:tcW w:w="14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2"/>
              </w:rPr>
              <w:t>States</w:t>
            </w:r>
          </w:p>
        </w:tc>
      </w:tr>
      <w:tr>
        <w:trPr>
          <w:trHeight w:val="194"/>
        </w:trPr>
        <w:tc>
          <w:tcPr>
            <w:tcW w:w="200" w:type="dxa"/>
            <w:vAlign w:val="bottom"/>
            <w:tcBorders>
              <w:top w:val="single" w:sz="8" w:color="auto"/>
            </w:tcBorders>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29,150</w:t>
            </w:r>
          </w:p>
        </w:tc>
        <w:tc>
          <w:tcPr>
            <w:tcW w:w="1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14,540</w:t>
            </w:r>
          </w:p>
        </w:tc>
        <w:tc>
          <w:tcPr>
            <w:tcW w:w="2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14,610</w:t>
            </w:r>
          </w:p>
        </w:tc>
        <w:tc>
          <w:tcPr>
            <w:tcW w:w="160" w:type="dxa"/>
            <w:vAlign w:val="bottom"/>
          </w:tcPr>
          <w:p>
            <w:pPr>
              <w:spacing w:after="0"/>
              <w:rPr>
                <w:sz w:val="16"/>
                <w:szCs w:val="16"/>
                <w:color w:val="auto"/>
              </w:rPr>
            </w:pPr>
          </w:p>
        </w:tc>
      </w:tr>
      <w:tr>
        <w:trPr>
          <w:trHeight w:val="226"/>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r>
      <w:tr>
        <w:trPr>
          <w:trHeight w:val="208"/>
        </w:trPr>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15,692</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14,681</w:t>
            </w:r>
          </w:p>
        </w:tc>
        <w:tc>
          <w:tcPr>
            <w:tcW w:w="16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827"/>
        </w:trPr>
        <w:tc>
          <w:tcPr>
            <w:tcW w:w="20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24"/>
                <w:szCs w:val="2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United</w:t>
            </w:r>
          </w:p>
        </w:tc>
        <w:tc>
          <w:tcPr>
            <w:tcW w:w="14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Non-United</w:t>
            </w:r>
          </w:p>
        </w:tc>
      </w:tr>
      <w:tr>
        <w:trPr>
          <w:trHeight w:val="226"/>
        </w:trPr>
        <w:tc>
          <w:tcPr>
            <w:tcW w:w="20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Revenue</w:t>
            </w:r>
          </w:p>
        </w:tc>
        <w:tc>
          <w:tcPr>
            <w:tcW w:w="220" w:type="dxa"/>
            <w:vAlign w:val="bottom"/>
          </w:tcPr>
          <w:p>
            <w:pPr>
              <w:spacing w:after="0"/>
              <w:rPr>
                <w:sz w:val="19"/>
                <w:szCs w:val="19"/>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2"/>
              </w:rPr>
              <w:t>States</w:t>
            </w:r>
          </w:p>
        </w:tc>
        <w:tc>
          <w:tcPr>
            <w:tcW w:w="14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2"/>
              </w:rPr>
              <w:t>States</w:t>
            </w:r>
          </w:p>
        </w:tc>
      </w:tr>
      <w:tr>
        <w:trPr>
          <w:trHeight w:val="194"/>
        </w:trPr>
        <w:tc>
          <w:tcPr>
            <w:tcW w:w="200" w:type="dxa"/>
            <w:vAlign w:val="bottom"/>
            <w:tcBorders>
              <w:top w:val="single" w:sz="8" w:color="auto"/>
            </w:tcBorders>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22,111</w:t>
            </w:r>
          </w:p>
        </w:tc>
        <w:tc>
          <w:tcPr>
            <w:tcW w:w="1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12,590</w:t>
            </w:r>
          </w:p>
        </w:tc>
        <w:tc>
          <w:tcPr>
            <w:tcW w:w="2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9,521</w:t>
            </w:r>
          </w:p>
        </w:tc>
        <w:tc>
          <w:tcPr>
            <w:tcW w:w="160" w:type="dxa"/>
            <w:vAlign w:val="bottom"/>
          </w:tcPr>
          <w:p>
            <w:pPr>
              <w:spacing w:after="0"/>
              <w:rPr>
                <w:sz w:val="16"/>
                <w:szCs w:val="16"/>
                <w:color w:val="auto"/>
              </w:rPr>
            </w:pPr>
          </w:p>
        </w:tc>
      </w:tr>
      <w:tr>
        <w:trPr>
          <w:trHeight w:val="226"/>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2,394</w:t>
            </w:r>
          </w:p>
        </w:tc>
      </w:tr>
      <w:tr>
        <w:trPr>
          <w:trHeight w:val="208"/>
        </w:trPr>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14,058</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11,915</w:t>
            </w:r>
          </w:p>
        </w:tc>
        <w:tc>
          <w:tcPr>
            <w:tcW w:w="16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-1845945</wp:posOffset>
            </wp:positionV>
            <wp:extent cx="6057900"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-1566545</wp:posOffset>
            </wp:positionV>
            <wp:extent cx="6057900" cy="161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7900" cy="16129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-583565</wp:posOffset>
            </wp:positionV>
            <wp:extent cx="6057900"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-304165</wp:posOffset>
            </wp:positionV>
            <wp:extent cx="6057900" cy="16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7900" cy="16129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340" w:space="720"/>
            <w:col w:w="4280"/>
          </w:cols>
          <w:pgMar w:left="320" w:top="605" w:right="1239" w:bottom="1440" w:gutter="0" w:footer="0" w:header="0"/>
          <w:type w:val="continuous"/>
        </w:sectPr>
      </w:pPr>
    </w:p>
    <w:p>
      <w:pPr>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5"/>
          <w:szCs w:val="15"/>
          <w:color w:val="auto"/>
        </w:rPr>
        <w:t>Sales classified to U.S. include shipments to U.S.-based prime contractors which in some cases may serve non-U.S. projects.</w:t>
      </w: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340"/>
          </w:cols>
          <w:pgMar w:left="320" w:top="605" w:right="1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continued impact of COVID-19 and the related supply chain disruptions on our business, operating results and financial condition; our reliance on certain key customers; reduced U.S. and foreign military spending including the uncertainty associated with government budget approvals; our efforts to develop new commercial applications for our products; fluctuations in the price of oil and the resulting impact on the demand for downhole drilling; the unique risks associated with our China operations; potential disruptions in our supply of raw materials and components; our ability to retain top management and key personnel; possible breaches in information systems security and other disruptions in our information technology systems; our resources being overwhelmed by our growth; possible future declines in demand for the products that use our batteries or communications systems; potential costs attributable to the warranties we supply with our products and services; safety risks, including the risk of fire; variability in our quarterly and annual results and the price of our common stock; our entrance into new end-markets which could lead to additional financial exposure; our inability to comply with changes to the regulations for the shipment of our products; our customers’ demand falling short of volume expectations in our supply agreements; our exposure to foreign currency fluctuations; negative publicity concerning Lithium-ion batteries; possible impairments of our goodwill and other intangible assets; our ability to utilize our net operating loss carryforwards;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2021.</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Form 10-Q or our Annual Report on Form 10-K for the year ended December 31, 2021 to reflect new information or risks, future events or other developments.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financial information in this MD&amp;A is presented in thousands of dollars, except for share and per share amounts, unless otherwise specified.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General</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Batteries, Lithium Power®, McDowell Research®, AMTI™, ABLE™, ACCUTRONICS™, ACCUPRO™, ENTELLION™, SWE Southwest Electronic Energy Group™, SWE DRILL-DATA™, SWE SEASAFE™, Excell Battery Group and Criterion Gauge brands. We have sales, operations and product development facilities in North America, Europe and Asia.</w:t>
      </w:r>
    </w:p>
    <w:p>
      <w:pPr>
        <w:spacing w:after="0" w:line="190"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We report our results in two operating segments: Battery &amp; Energy Products and Communications Systems.</w:t>
      </w:r>
      <w:r>
        <w:rPr>
          <w:sz w:val="20"/>
          <w:szCs w:val="20"/>
          <w:color w:val="auto"/>
        </w:rPr>
        <w:tab/>
      </w:r>
      <w:r>
        <w:rPr>
          <w:rFonts w:ascii="Arial" w:cs="Arial" w:eastAsia="Arial" w:hAnsi="Arial"/>
          <w:sz w:val="16"/>
          <w:szCs w:val="16"/>
          <w:color w:val="auto"/>
        </w:rPr>
        <w:t>The Battery &amp; Energy Products segment</w:t>
      </w:r>
    </w:p>
    <w:p>
      <w:pPr>
        <w:spacing w:after="0" w:line="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to the consolidated financial statements of this Form 10-Q.</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and meeting the demand of our customers. While we have maintained normal business operations at all our facilities with the exception of the well-publicized shutdowns in China which impacted our Shenzhen facility in the first quarter of 2022, the supply chain disruptions including increased lead times on key components experienced within our business and by our customers, impacted our work schedules and timing of shipments. The continuing impact of these conditions on our business is uncertain and will depend on many evolving factors which we continue to monitor but cannot predict, including the duration and scope of the pandemic and its variants, resulting actions taken by governments, businesses and individuals, and the flow-through impact on operations and supply chains. Potential effects of COVID-19 that may continue to adversely impact our future business include limited availability and/or increased cost of raw materials and components used in our products, reduced demand and/or pricing for our products, inability of our customers to pay for our products or remain solvent, and reduced availability of our workforce. Prolonged adverse effects of COVID-19 on our business could result in the impairment of long-lived assets including goodwill and other intangible assets. Further, we cannot predict all possible adverse effects the COVID-19 pandemic may cause. Consequently, there may be adverse effects in addition to those described above. We will continue to closely monitor the developments surrounding COVID-19 and take actions when possible to mitigate the business risks involved and the potential effects of COVID-19 on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Overview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revenues of $30,373 for the three-month period ended March 31, 2022, increased by $4,400 or 16.9%, over $25,973 for the three-month period ended March 31, 2021, reflecting our December 13, 2021 acquisition of Excell Battery Group (“Excell”) and increased sales in our medical, oil &amp; gas and industrial battery markets, partially offset by lower revenues for government/defense which continued to be impacted by supply chain challenges. Excluding Excell, commercial revenues of $16,824 for the quarter-ended March 31, 2022 increased $2,479 or 17.3% over the year-earlier period, and government/defense revenues of $7,113 decreased $4,515 or 38.8% from the 2021 period.</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Gross profit was $6,958, or 22.9% of revenue, for the three-month period ended March 31, 2022, compared to $6,978, or 26.9% of revenue, for the same quarter a year ago. The 400-basis point decline primarily reflects the lower sales volume for Communications Systems resulting in lower factory throughput and incremental costs in 2022 associated with supply chain disruptions, including rapid increases in the cost of some key components in advance of price realization from customers, and the transition of a multitude of new products to higher volume production.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Operating expenses increased to $7,253 for the three-month period ended March 31, 2022, compared to $6,026 for the three-month period ended March 31, 2021. The increase of $1,227 or 20.4% was primarily attributable to our acquisition of Excell which contributed operating expenses of $1,058. Excluding Excell, operating expenses increased by $169 or 2.8% reflecting our continued investment in new product development, including approximately $360 for engineering resources and test materials dedicated to the May 2021 indefinite-delivery/indefinite-quantity contract form the U.S. Army for purchases of Conformal Wear Batteries not to exceed $168,000 during the three-year base award period with the potential for up to an additional $350,000 should the six one-year options be exercised. Operating expenses as a percentage of sales increased 70 basis points from 23.2% for the first quarter of 2021 to 23.9% for the current quarter.</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loss for the three-month period ended March 31, 2022 was ($295), or (1.0%) of revenues, compared to operating income of $952, or 3.7% of revenues, for the year-earlier period. The decrease in operating income primarily resulted from lower sales for our Communications Systems segment, a reduction in gross margin due to supply chain disruptions, including rapid increases in the cost of some key components in advance of price realization from customers, and the transition of new products to high volume manufacturing, higher new product development costs to support our organic growth initiatives, and $125 of acquisition accounting adjustments and one-time expenses related to the acquisition of Excell.</w:t>
      </w:r>
    </w:p>
    <w:p>
      <w:pPr>
        <w:spacing w:after="0" w:line="177"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Net loss attributable to Ultralife was ($168), or ($0.01) per share – basic and diluted, for the three-month period ended March 31, 2022, compared to net income attributable to Ultralife of $671, or $0.04 per share – basic and diluted, for the three-month period ended March 31, 2021.</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Adjusted EBITDA, defined as net (loss) income attributable to Ultralife before net interest expense, provision for income taxes, depreciation and amortization, and stock-based compensation expense, plus/minus expenses/income that we do not consider reflective of our ongoing operations, amounted to $1,103, or 3.6% of revenues, for the first quarter of 2022, compared to $2,012, or 7.8% of revenues, for the first quarter of 2021. See the section “Adjusted EBITDA” beginning on Page 21 for a reconciliation of Adjusted EBITDA to net income attributable to Ultralife.</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Looking forward, as we balance the impact of current supply chain disruptions, we continue to advance new product development initiatives, receive early acceptance of our new product rollouts, and transition new products to production, thereby retaining the view that our long-term profitable growth drivers, strategy, and expectations remain sound and achievable.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March 31, 2022 and March 31, 2021</w:t>
      </w:r>
    </w:p>
    <w:p>
      <w:pPr>
        <w:spacing w:after="0" w:line="21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for the three-month period ended March 31, 2022 were $30,373, an increase of $4,400, or 16.9%, over $25,973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three-month period ended March 31, 2021. Overall, commercial sales increased 62.1% while government/defense sales decreased 38.8% from the 2021 period. Revenues for the 2022 period include Excell which was acquired by the Company on December 13,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7"/>
          <w:szCs w:val="17"/>
          <w:color w:val="auto"/>
        </w:rPr>
        <w:t>Battery &amp; Energy Products revenues increased $7,039, or 31.8%, from $22,111 for the three-month period ended March 31, 2021 to $29,150 for the three-month period ended March 31, 2022. The increase was attributable to the $6,436 revenue contribution from the acquisition of Excell, and a 17.3% increase in commercial sales excluding Excell, partially offset by a 24.2% reduction in government/defense sales. The increase in commercial sales, excluding Excell, was driven by a 30.5% increase in industrial market sales including our new Thionyl Chloride and thin cell battery cells, a 20.0% increase in oil &amp; gas market sales reflecting the recent rebound in the energy sector, and a 8.4% increase in medical battery sales due to the high demand for our batteries used in ventilators, respirators, infusion pumps and other medical devices. The decline in government/defense sales was primarily due to supply chain disruptions experienced by our customers which pushed out sales to future periods.</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Communications Systems revenues decreased $2,639, or 68.3%, from $3,862 for the three-month period ended March 31, 2021 to $1,223 for the three-month period ended March 31, 2022. This decrease is primarily attributable to supply chain disruptions including extended lead times for components and the push out of certain orders by our customers which delayed approximately $1,600 of sales to future periods and the placement and fulfillment of an order from an international defense contractor in the first quarter of 2021 which is not expected to reoccur until later in 2022.</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$23,415 for the quarter ended March 31, 2022, an increase of $4,420, or 23.3%,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$18,995 reported for the same three-month period a year ago. Consolidated cost of products sold as a percentage of total revenue increased from 73.1% for the three-month period ended March 31, 2021 to 77.1% for the three-month period ended March 31, 2022. Correspondingly, consolidated gross margin decreased from 26.9% for the three-month period ended March 31, 2021, to 22.9% for the three-month period ended March 31, 2022, primarily reflecting lower factory volume for our Communications Systems segment, incremental costs in 2022 associated with supply chain disruptions, including rapid increases in the cost of some key components in advance of price realization from customers, and the transition of a multitude of new products to higher volume production.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Battery &amp; Energy Products segment, gross profit for the first quarter of 2022 was $6,721, an increase of $1,285 or 23.6% over gross profit of $5,436 for the first quarter of 2021. Battery &amp; Energy Products’ gross margin of 23.1% decreased by 150 basis points from the 24.6% gross margin for the year-earlier period, reflecting sales mix, incremental costs associated with the transition of new products to higher volume production and higher materials and logistics costs on incoming materials in advance of price realization from customers.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our Communications Systems segment, gross profit for the first quarter of 2022 was $237 or 19.4% of revenues, compared to gross profit of $1,542 or 39.9% of revenues, for the first quarter of 2021. The decline was primarily due to lower factory volume resulting in the under-absorption of factory costs and unfavorable sales mix.</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three-month period ended March 31, 2022 were $7,253, an increase of $1,227 or 20.4% from the $6,026</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three-month period ended March 31, 2021. The increase is primarily attributable to the acquisition of Excell, which contributed operating expenses of $1,058 in the first quarter, including $182 of intangible asset amortization. Excluding Excell, operating expenses increased $169 or 2.8% due to our continued investment in new product development, including approximately $360 for engineering resources and test materials dedicated to the May 2021 indefinite-delivery/indefinite-quantity contract from the U.S. Army for purchases of Conformal Wear Batteries not to exceed $168,000 during the three-year base award period with the potential for up to an additional $350,000 should the six one-year options be exercised. Both periods reflected continued tight control over discretionary spending.</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Overall, operating expenses as a percentage of revenues were 23.9% for the quarter ended March 31, 2022 compared to 23.2% for the quarter ended March 31, 2021. Amortization expense associated with intangible assets related to our acquisitions was $328 for the first quarter of 2022 ($302 in selling, general and administrative expenses and $26 in research and development costs), compared with $154 for the first quarter of 2021 ($121 in selling, general, and administrative expenses and $33 in research and development costs). Research and development costs were $1,857 for the three-month period ended March 31, 2022, an increase of $210 or 12.8%, from $1,647 for the three-months ended March 31, 2021. The increase is largely attributable to the hiring of engineering resources and the purchase of test materials to support new product development in our Battery &amp; Energy Products business, including those resources and materials dedicated to our Conformal Wearable Battery contract. Selling, general, and administrative expenses increased $1,017 or 23.2%, to $5,396 for the first quarter of 2022 from $4,379 for the first quarter of 2021. The increase is largely attributable to the December 2021 acquisition of Excell which contributed $985 of selling, general and administrative expenses, including intangible asset amortization of $182, for the first quarter of 2022. The remainder includes $70 of one-time non-recurring costs resulting from the acquisition of Excell.</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Other Expense. </w:t>
      </w:r>
      <w:r>
        <w:rPr>
          <w:rFonts w:ascii="Arial" w:cs="Arial" w:eastAsia="Arial" w:hAnsi="Arial"/>
          <w:sz w:val="16"/>
          <w:szCs w:val="16"/>
          <w:color w:val="auto"/>
        </w:rPr>
        <w:t>Other expense totaled $117 for the three-month period ended March 31, 2022 compared to $56 for the three-month period ended March 31,</w:t>
      </w:r>
      <w:r>
        <w:rPr>
          <w:rFonts w:ascii="Arial" w:cs="Arial" w:eastAsia="Arial" w:hAnsi="Arial"/>
          <w:sz w:val="16"/>
          <w:szCs w:val="16"/>
          <w:b w:val="1"/>
          <w:bCs w:val="1"/>
          <w:color w:val="auto"/>
        </w:rPr>
        <w:t xml:space="preserve"> </w:t>
      </w:r>
      <w:r>
        <w:rPr>
          <w:rFonts w:ascii="Arial" w:cs="Arial" w:eastAsia="Arial" w:hAnsi="Arial"/>
          <w:sz w:val="16"/>
          <w:szCs w:val="16"/>
          <w:color w:val="auto"/>
        </w:rPr>
        <w:t>2021. Interest and financing expense, net of interest income, increased $78, or 139.3%, from $56 for the first quarter of 2021 to $134 for the comparable period in 2022. The increase is due to the financing of the Excell acquisition. Miscellaneous income, which primarily represents gains and losses on foreign currency transactions, amounted to $17 for the first quarter of 2022 compared with $0 for the first quarter of 2021, which primarily reflects the translation of U.S.-denominated transactions and balances of Accutronics (U.K.) for the respective periods. The U.S. dollar strengthened against the Pound Sterling by 1.5% during the 2022 first quarter, whereas the U.S. dollar weakened against the Pound Sterling by 0.9% during the 2021 first quarter.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For the three-month period ended March 31, 2022, Ultralife recognized an income tax benefit of $251, comprised of a current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$151 and deferred benefit of $402, compared to a provision of $217 ($49 current, $168 deferred) for the three-month period ended March 31, 2021. Our effective tax rate was 60.9% for the first quarter of 2022 as compared to 24.2% for the first quarter of 2021, primarily attributable to the geographic mix of our operating results, including income taxes incurred on our Excell Canada results, and the larger impact of permanent and discrete adjustments on a smaller amount of pretax loss. See Note 7 to the consolidated financial statements in Item 1 of Part I of this Form 10-Q for additional information regarding our income taxes.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Net (Loss) Income Attributable to Ultralife. </w:t>
      </w:r>
      <w:r>
        <w:rPr>
          <w:rFonts w:ascii="Arial" w:cs="Arial" w:eastAsia="Arial" w:hAnsi="Arial"/>
          <w:sz w:val="17"/>
          <w:szCs w:val="17"/>
          <w:color w:val="auto"/>
        </w:rPr>
        <w:t>Net loss attributable to Ultralife was ($168), or ($0.01) per share – basic and diluted, for the three-month</w:t>
      </w:r>
      <w:r>
        <w:rPr>
          <w:rFonts w:ascii="Arial" w:cs="Arial" w:eastAsia="Arial" w:hAnsi="Arial"/>
          <w:sz w:val="17"/>
          <w:szCs w:val="17"/>
          <w:b w:val="1"/>
          <w:bCs w:val="1"/>
          <w:color w:val="auto"/>
        </w:rPr>
        <w:t xml:space="preserve"> </w:t>
      </w:r>
      <w:r>
        <w:rPr>
          <w:rFonts w:ascii="Arial" w:cs="Arial" w:eastAsia="Arial" w:hAnsi="Arial"/>
          <w:sz w:val="17"/>
          <w:szCs w:val="17"/>
          <w:color w:val="auto"/>
        </w:rPr>
        <w:t>period ended March 31, 2022, compared to net income of $671, or $0.04 per share – basic and diluted, for the three-month period ended March 31, 2021. Weighted average shares outstanding used to compute diluted earnings per share decreased from 16,152,160 for the first quarter of 2021 to 16,103,599 for the first quarter of 2022. The decrease is attributable to there being no dilutive effect of outstanding stock awards for the first quarter of 2022 due to the net loss recognized for the period, as compared to the inclusion of 178,781 potential shares in the computation of diluted EPS for the first quarter of 2021, partially offset by the effect of stock option exercises since the first quarter of 2021.</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(loss) attributable to Ultralife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GAAP. Some of these limitations include, but are not limited to, the following:</w:t>
      </w:r>
    </w:p>
    <w:p>
      <w:pPr>
        <w:spacing w:after="0" w:line="175" w:lineRule="exact"/>
        <w:rPr>
          <w:sz w:val="20"/>
          <w:szCs w:val="20"/>
          <w:color w:val="auto"/>
        </w:rPr>
      </w:pPr>
    </w:p>
    <w:p>
      <w:pPr>
        <w:jc w:val="both"/>
        <w:ind w:left="1080" w:hanging="313"/>
        <w:spacing w:after="0" w:line="25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3" w:name="page24"/>
    <w:bookmarkEnd w:id="23"/>
    <w:p>
      <w:pPr>
        <w:ind w:left="1080" w:hanging="313"/>
        <w:spacing w:after="0" w:line="300"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51" w:lineRule="exact"/>
        <w:rPr>
          <w:rFonts w:ascii="Arial" w:cs="Arial" w:eastAsia="Arial" w:hAnsi="Arial"/>
          <w:sz w:val="17"/>
          <w:szCs w:val="17"/>
          <w:color w:val="auto"/>
        </w:rPr>
      </w:pPr>
    </w:p>
    <w:p>
      <w:pPr>
        <w:jc w:val="both"/>
        <w:ind w:left="1080" w:hanging="313"/>
        <w:spacing w:after="0" w:line="25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6" w:lineRule="exact"/>
        <w:rPr>
          <w:rFonts w:ascii="Arial" w:cs="Arial" w:eastAsia="Arial" w:hAnsi="Arial"/>
          <w:sz w:val="18"/>
          <w:szCs w:val="18"/>
          <w:color w:val="auto"/>
        </w:rPr>
      </w:pPr>
    </w:p>
    <w:p>
      <w:pPr>
        <w:ind w:left="1080" w:hanging="313"/>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(loss) attributable to Ultralife.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40" w:type="dxa"/>
            <w:vAlign w:val="bottom"/>
          </w:tcPr>
          <w:p>
            <w:pPr>
              <w:spacing w:after="0"/>
              <w:rPr>
                <w:sz w:val="20"/>
                <w:szCs w:val="20"/>
                <w:color w:val="auto"/>
              </w:rPr>
            </w:pPr>
            <w:r>
              <w:rPr>
                <w:rFonts w:ascii="Arial" w:cs="Arial" w:eastAsia="Arial" w:hAnsi="Arial"/>
                <w:sz w:val="18"/>
                <w:szCs w:val="18"/>
                <w:color w:val="auto"/>
              </w:rPr>
              <w:t>Adjusted EBITDA is calculated as follows for the periods presented:</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0"/>
        </w:trPr>
        <w:tc>
          <w:tcPr>
            <w:tcW w:w="5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Three-month period</w:t>
            </w:r>
          </w:p>
        </w:tc>
      </w:tr>
      <w:tr>
        <w:trPr>
          <w:trHeight w:val="230"/>
        </w:trPr>
        <w:tc>
          <w:tcPr>
            <w:tcW w:w="5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0"/>
        </w:trPr>
        <w:tc>
          <w:tcPr>
            <w:tcW w:w="5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00"/>
              <w:spacing w:after="0" w:line="190" w:lineRule="exact"/>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6"/>
                <w:szCs w:val="16"/>
                <w:color w:val="auto"/>
              </w:rPr>
            </w:pPr>
          </w:p>
        </w:tc>
        <w:tc>
          <w:tcPr>
            <w:tcW w:w="1000" w:type="dxa"/>
            <w:vAlign w:val="bottom"/>
          </w:tcPr>
          <w:p>
            <w:pPr>
              <w:jc w:val="right"/>
              <w:ind w:right="91"/>
              <w:spacing w:after="0" w:line="190" w:lineRule="exact"/>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6"/>
                <w:szCs w:val="16"/>
                <w:color w:val="auto"/>
              </w:rPr>
            </w:pPr>
          </w:p>
        </w:tc>
      </w:tr>
      <w:tr>
        <w:trPr>
          <w:trHeight w:val="231"/>
        </w:trPr>
        <w:tc>
          <w:tcPr>
            <w:tcW w:w="5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8"/>
        </w:trPr>
        <w:tc>
          <w:tcPr>
            <w:tcW w:w="5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Ultralife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w:t>
            </w:r>
          </w:p>
        </w:tc>
      </w:tr>
      <w:tr>
        <w:trPr>
          <w:trHeight w:val="213"/>
        </w:trPr>
        <w:tc>
          <w:tcPr>
            <w:tcW w:w="5640" w:type="dxa"/>
            <w:vAlign w:val="bottom"/>
          </w:tcPr>
          <w:p>
            <w:pPr>
              <w:spacing w:after="0"/>
              <w:rPr>
                <w:sz w:val="20"/>
                <w:szCs w:val="20"/>
                <w:color w:val="auto"/>
              </w:rPr>
            </w:pPr>
            <w:r>
              <w:rPr>
                <w:rFonts w:ascii="Arial" w:cs="Arial" w:eastAsia="Arial" w:hAnsi="Arial"/>
                <w:sz w:val="18"/>
                <w:szCs w:val="18"/>
                <w:color w:val="auto"/>
              </w:rPr>
              <w:t>Add: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r>
      <w:tr>
        <w:trPr>
          <w:trHeight w:val="213"/>
        </w:trPr>
        <w:tc>
          <w:tcPr>
            <w:tcW w:w="5640" w:type="dxa"/>
            <w:vAlign w:val="bottom"/>
          </w:tcPr>
          <w:p>
            <w:pPr>
              <w:ind w:left="160"/>
              <w:spacing w:after="0"/>
              <w:rPr>
                <w:sz w:val="20"/>
                <w:szCs w:val="20"/>
                <w:color w:val="auto"/>
              </w:rPr>
            </w:pPr>
            <w:r>
              <w:rPr>
                <w:rFonts w:ascii="Arial" w:cs="Arial" w:eastAsia="Arial" w:hAnsi="Arial"/>
                <w:sz w:val="18"/>
                <w:szCs w:val="18"/>
                <w:color w:val="auto"/>
              </w:rPr>
              <w:t>Income tax (benefit) provision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r>
      <w:tr>
        <w:trPr>
          <w:trHeight w:val="213"/>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w:t>
            </w:r>
          </w:p>
        </w:tc>
      </w:tr>
      <w:tr>
        <w:trPr>
          <w:trHeight w:val="213"/>
        </w:trPr>
        <w:tc>
          <w:tcPr>
            <w:tcW w:w="56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r>
      <w:tr>
        <w:trPr>
          <w:trHeight w:val="213"/>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r>
      <w:tr>
        <w:trPr>
          <w:trHeight w:val="213"/>
        </w:trPr>
        <w:tc>
          <w:tcPr>
            <w:tcW w:w="5640" w:type="dxa"/>
            <w:vAlign w:val="bottom"/>
          </w:tcPr>
          <w:p>
            <w:pPr>
              <w:spacing w:after="0"/>
              <w:rPr>
                <w:sz w:val="20"/>
                <w:szCs w:val="20"/>
                <w:color w:val="auto"/>
              </w:rPr>
            </w:pPr>
            <w:r>
              <w:rPr>
                <w:rFonts w:ascii="Arial" w:cs="Arial" w:eastAsia="Arial" w:hAnsi="Arial"/>
                <w:sz w:val="18"/>
                <w:szCs w:val="18"/>
                <w:color w:val="auto"/>
              </w:rPr>
              <w:t>Non-cash purchase accounting adjustments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2,012</w:t>
            </w: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March 31, 2022, cash totaled $6,050 (including restricted cash of $82), a decrease of $2,363 as compared to $8,413 of cash held at December 31, 2021, primarily attributable to cash used in operations primarily caused by increases in inventory and accounts receivable.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three-month period ended March 31, 2022, we used $3,222 from our operations as compared to the generation of cash of $3,903 from operations for the three-month period ended March 31, 2021. The net cash used in the 2022 period was largely attributable to cash of $3,274 used to procure inventory to enhance our ability to service our backlog requested by customers to ship in 2022 amidst challenging supply conditions. The increase in inventory along with the timing of collections and disbursements resulted in net cash of $3,999 used for working capital. In addition to the increase in working capital, the use of cash from operating activities in the first quarter of 2022 reflects the net loss of $161, including purchase accounting adjustments of $55, and non-cash expenses totaling $938 for depreciation, amortization, stock-based compensation, and deferred taxes.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Cash used in investing activities for the three months ended March 31, 2022 was $371 for capital expenditures, reflecting investments in equipment for new products transitioning to high-volume manufacturing.</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Net cash provided by financing activities for the three months ended March 31, 2022 was $1,223, consisting of draws from our credit facility for the purchase of certain critical raw materials requiring cash-in-advance payment terms by the vendors, partially offset by $333 of principle payments against our term loan balance and $7 of tax withholdings for stock awards, partially offset by proceeds of $113 from stock options exercises.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8"/>
          <w:szCs w:val="18"/>
          <w:color w:val="auto"/>
        </w:rPr>
        <w:t>We continue to have significant U.S. net operating loss carryforwards available to utilize as an offset to future taxable income. See Note 7 to the Consolidated Financial Statements of this Form 10-Q for additional information.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Going forward, we expect positive operating cash flow and the availability under our Revolving Credit Facility will be sufficient to meet our general funding requirements for the foreseeable future.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March 31, 2022, the Company had $12,430 outstanding borrowings on the Revolving Credit Facility and $9,667 on the Term Loan Facility. The Company was in full compliance with all covenants under the Credit Facilities as of March 31,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we had made commitments to purchase approximately $953 of production machinery and equipment.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(“Summary of Operations and Significant Accounting Policies”) to the Consolidated Financial Statements in our 2021 Annual Report on Form 10-K should be reviewed for a greater understanding of how our financial performance is recorded and reported.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first quarter of 2022, there were no significant changes in the manner in which our significant accounting policies were applied or in which related assumptions and estimates were developed.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540" w:type="dxa"/>
            <w:vAlign w:val="bottom"/>
            <w:gridSpan w:val="6"/>
          </w:tcPr>
          <w:p>
            <w:pPr>
              <w:ind w:left="40"/>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27"/>
        </w:trPr>
        <w:tc>
          <w:tcPr>
            <w:tcW w:w="760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2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26"/>
        </w:trPr>
        <w:tc>
          <w:tcPr>
            <w:tcW w:w="180" w:type="dxa"/>
            <w:vAlign w:val="bottom"/>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Exhibit Description</w:t>
            </w:r>
          </w:p>
        </w:tc>
        <w:tc>
          <w:tcPr>
            <w:tcW w:w="220" w:type="dxa"/>
            <w:vAlign w:val="bottom"/>
          </w:tcPr>
          <w:p>
            <w:pPr>
              <w:spacing w:after="0"/>
              <w:rPr>
                <w:sz w:val="19"/>
                <w:szCs w:val="19"/>
                <w:color w:val="auto"/>
              </w:rPr>
            </w:pPr>
          </w:p>
        </w:tc>
        <w:tc>
          <w:tcPr>
            <w:tcW w:w="3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Incorporated by Reference from</w:t>
            </w:r>
          </w:p>
        </w:tc>
      </w:tr>
      <w:tr>
        <w:trPr>
          <w:trHeight w:val="168"/>
        </w:trPr>
        <w:tc>
          <w:tcPr>
            <w:tcW w:w="180" w:type="dxa"/>
            <w:vAlign w:val="bottom"/>
          </w:tcPr>
          <w:p>
            <w:pPr>
              <w:spacing w:after="0"/>
              <w:rPr>
                <w:sz w:val="14"/>
                <w:szCs w:val="14"/>
                <w:color w:val="auto"/>
              </w:rPr>
            </w:pPr>
          </w:p>
        </w:tc>
        <w:tc>
          <w:tcPr>
            <w:tcW w:w="880" w:type="dxa"/>
            <w:vAlign w:val="bottom"/>
          </w:tcPr>
          <w:p>
            <w:pPr>
              <w:ind w:left="160"/>
              <w:spacing w:after="0" w:line="168"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tcBorders>
              <w:bottom w:val="single" w:sz="8" w:color="0000EE"/>
            </w:tcBorders>
            <w:gridSpan w:val="3"/>
          </w:tcPr>
          <w:p>
            <w:pPr>
              <w:spacing w:after="0" w:line="168"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Rule 13a-14(a) / 15d-14(a) CEO Certifications</w:t>
              </w:r>
            </w:hyperlink>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tcPr>
          <w:p>
            <w:pPr>
              <w:ind w:left="160"/>
              <w:spacing w:after="0" w:line="168" w:lineRule="exact"/>
              <w:rPr>
                <w:sz w:val="20"/>
                <w:szCs w:val="20"/>
                <w:color w:val="auto"/>
              </w:rPr>
            </w:pPr>
            <w:r>
              <w:rPr>
                <w:rFonts w:ascii="Arial" w:cs="Arial" w:eastAsia="Arial" w:hAnsi="Arial"/>
                <w:sz w:val="18"/>
                <w:szCs w:val="18"/>
                <w:color w:val="auto"/>
              </w:rPr>
              <w:t>Filed herewith</w:t>
            </w:r>
          </w:p>
        </w:tc>
      </w:tr>
      <w:tr>
        <w:trPr>
          <w:trHeight w:val="193"/>
        </w:trPr>
        <w:tc>
          <w:tcPr>
            <w:tcW w:w="1060" w:type="dxa"/>
            <w:vAlign w:val="bottom"/>
            <w:gridSpan w:val="2"/>
          </w:tcPr>
          <w:p>
            <w:pPr>
              <w:ind w:left="340"/>
              <w:spacing w:after="0" w:line="194"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60" w:type="dxa"/>
            <w:vAlign w:val="bottom"/>
            <w:gridSpan w:val="4"/>
          </w:tcPr>
          <w:p>
            <w:pPr>
              <w:spacing w:after="0" w:line="194" w:lineRule="exact"/>
              <w:rPr>
                <w:rFonts w:ascii="Arial" w:cs="Arial" w:eastAsia="Arial" w:hAnsi="Arial"/>
                <w:sz w:val="18"/>
                <w:szCs w:val="18"/>
                <w:color w:val="0000EE"/>
              </w:rPr>
            </w:pPr>
            <w:hyperlink w:anchor="page30">
              <w:r>
                <w:rPr>
                  <w:rFonts w:ascii="Arial" w:cs="Arial" w:eastAsia="Arial" w:hAnsi="Arial"/>
                  <w:sz w:val="18"/>
                  <w:szCs w:val="18"/>
                  <w:color w:val="0000EE"/>
                </w:rPr>
                <w:t>Rule 13a-14(a) / 15d-14(a) CFO Certifications</w:t>
              </w:r>
            </w:hyperlink>
          </w:p>
        </w:tc>
        <w:tc>
          <w:tcPr>
            <w:tcW w:w="220" w:type="dxa"/>
            <w:vAlign w:val="bottom"/>
          </w:tcPr>
          <w:p>
            <w:pPr>
              <w:spacing w:after="0"/>
              <w:rPr>
                <w:sz w:val="16"/>
                <w:szCs w:val="16"/>
                <w:color w:val="auto"/>
              </w:rPr>
            </w:pPr>
          </w:p>
        </w:tc>
        <w:tc>
          <w:tcPr>
            <w:tcW w:w="3240" w:type="dxa"/>
            <w:vAlign w:val="bottom"/>
          </w:tcPr>
          <w:p>
            <w:pPr>
              <w:ind w:left="160"/>
              <w:spacing w:after="0" w:line="194" w:lineRule="exact"/>
              <w:rPr>
                <w:sz w:val="20"/>
                <w:szCs w:val="20"/>
                <w:color w:val="auto"/>
              </w:rPr>
            </w:pPr>
            <w:r>
              <w:rPr>
                <w:rFonts w:ascii="Arial" w:cs="Arial" w:eastAsia="Arial" w:hAnsi="Arial"/>
                <w:sz w:val="18"/>
                <w:szCs w:val="18"/>
                <w:color w:val="auto"/>
              </w:rPr>
              <w:t>Filed herewith</w:t>
            </w:r>
          </w:p>
        </w:tc>
      </w:tr>
      <w:tr>
        <w:trPr>
          <w:trHeight w:val="193"/>
        </w:trPr>
        <w:tc>
          <w:tcPr>
            <w:tcW w:w="1060" w:type="dxa"/>
            <w:vAlign w:val="bottom"/>
            <w:gridSpan w:val="2"/>
          </w:tcPr>
          <w:p>
            <w:pPr>
              <w:ind w:left="340"/>
              <w:spacing w:after="0" w:line="194"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Section 1350 Certifications</w:t>
              </w:r>
            </w:hyperlink>
          </w:p>
        </w:tc>
        <w:tc>
          <w:tcPr>
            <w:tcW w:w="1360" w:type="dxa"/>
            <w:vAlign w:val="bottom"/>
            <w:tcBorders>
              <w:top w:val="single" w:sz="8" w:color="0000EE"/>
            </w:tcBorders>
          </w:tcPr>
          <w:p>
            <w:pPr>
              <w:spacing w:after="0"/>
              <w:rPr>
                <w:sz w:val="16"/>
                <w:szCs w:val="16"/>
                <w:color w:val="auto"/>
              </w:rPr>
            </w:pPr>
          </w:p>
        </w:tc>
        <w:tc>
          <w:tcPr>
            <w:tcW w:w="28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ind w:left="160"/>
              <w:spacing w:after="0" w:line="194" w:lineRule="exact"/>
              <w:rPr>
                <w:sz w:val="20"/>
                <w:szCs w:val="20"/>
                <w:color w:val="auto"/>
              </w:rPr>
            </w:pPr>
            <w:r>
              <w:rPr>
                <w:rFonts w:ascii="Arial" w:cs="Arial" w:eastAsia="Arial" w:hAnsi="Arial"/>
                <w:sz w:val="18"/>
                <w:szCs w:val="18"/>
                <w:color w:val="auto"/>
              </w:rPr>
              <w:t>Furnished herewith</w:t>
            </w:r>
          </w:p>
        </w:tc>
      </w:tr>
      <w:tr>
        <w:trPr>
          <w:trHeight w:val="219"/>
        </w:trPr>
        <w:tc>
          <w:tcPr>
            <w:tcW w:w="18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c>
          <w:tcPr>
            <w:tcW w:w="22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3"/>
        </w:trPr>
        <w:tc>
          <w:tcPr>
            <w:tcW w:w="18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95"/>
              </w:rPr>
              <w:t>101.SCH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2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3"/>
        </w:trPr>
        <w:tc>
          <w:tcPr>
            <w:tcW w:w="18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99"/>
              </w:rPr>
              <w:t>101.CAL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3"/>
        </w:trPr>
        <w:tc>
          <w:tcPr>
            <w:tcW w:w="18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3"/>
        </w:trPr>
        <w:tc>
          <w:tcPr>
            <w:tcW w:w="18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97"/>
              </w:rPr>
              <w:t>101.PRE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3"/>
        </w:trPr>
        <w:tc>
          <w:tcPr>
            <w:tcW w:w="18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98"/>
              </w:rPr>
              <w:t>101.DEF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13"/>
        </w:trPr>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w w:val="92"/>
              </w:rPr>
              <w:t>Cover Page Interactive Data File (formatted as Inline XBRL and contained in Exhibit</w:t>
            </w:r>
          </w:p>
        </w:tc>
        <w:tc>
          <w:tcPr>
            <w:tcW w:w="2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226"/>
        </w:trPr>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gridSpan w:val="3"/>
          </w:tcPr>
          <w:p>
            <w:pPr>
              <w:ind w:left="380"/>
              <w:spacing w:after="0"/>
              <w:rPr>
                <w:sz w:val="20"/>
                <w:szCs w:val="20"/>
                <w:color w:val="auto"/>
              </w:rPr>
            </w:pPr>
            <w:r>
              <w:rPr>
                <w:rFonts w:ascii="Arial" w:cs="Arial" w:eastAsia="Arial" w:hAnsi="Arial"/>
                <w:sz w:val="18"/>
                <w:szCs w:val="18"/>
                <w:color w:val="auto"/>
              </w:rPr>
              <w:t>101)</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200"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Attached as Exhibit 101 to this report are the following formatted in iXBRL (Inline eXtensible Business Reporting Language): (i) Consolidated Balance Sheets as of March 31, 2022 and December 31, 2021, (ii) Consolidated Statements of Income and Comprehensive Income for the three months ended March 31, 2022 and 2021, (iii) Consolidated Statements of Cash Flows for the three months ended March 31, 2022 and 2021, (iv) Consolidated Statements of Changes in Shareholders’ Equity for the three months ended March 31, 2022 and 2021, and (v)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7" w:name="page28"/>
    <w:bookmarkEnd w:id="27"/>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9"/>
              </w:rPr>
              <w:t>ULTRALIFE CORPORATION</w:t>
            </w:r>
          </w:p>
        </w:tc>
      </w:tr>
      <w:tr>
        <w:trPr>
          <w:trHeight w:val="232"/>
        </w:trPr>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(Registrant)</w:t>
            </w:r>
          </w:p>
        </w:tc>
        <w:tc>
          <w:tcPr>
            <w:tcW w:w="600" w:type="dxa"/>
            <w:vAlign w:val="bottom"/>
          </w:tcPr>
          <w:p>
            <w:pPr>
              <w:spacing w:after="0"/>
              <w:rPr>
                <w:sz w:val="20"/>
                <w:szCs w:val="20"/>
                <w:color w:val="auto"/>
              </w:rPr>
            </w:pPr>
          </w:p>
        </w:tc>
      </w:tr>
      <w:tr>
        <w:trPr>
          <w:trHeight w:val="388"/>
        </w:trPr>
        <w:tc>
          <w:tcPr>
            <w:tcW w:w="2940" w:type="dxa"/>
            <w:vAlign w:val="bottom"/>
            <w:gridSpan w:val="3"/>
          </w:tcPr>
          <w:p>
            <w:pPr>
              <w:spacing w:after="0"/>
              <w:rPr>
                <w:sz w:val="20"/>
                <w:szCs w:val="20"/>
                <w:color w:val="auto"/>
              </w:rPr>
            </w:pPr>
            <w:r>
              <w:rPr>
                <w:rFonts w:ascii="Arial" w:cs="Arial" w:eastAsia="Arial" w:hAnsi="Arial"/>
                <w:sz w:val="18"/>
                <w:szCs w:val="18"/>
                <w:color w:val="auto"/>
              </w:rPr>
              <w:t>Date: April 28, 2022</w:t>
            </w:r>
          </w:p>
        </w:tc>
        <w:tc>
          <w:tcPr>
            <w:tcW w:w="5380" w:type="dxa"/>
            <w:vAlign w:val="bottom"/>
            <w:gridSpan w:val="4"/>
          </w:tcPr>
          <w:p>
            <w:pPr>
              <w:ind w:left="1460"/>
              <w:spacing w:after="0"/>
              <w:rPr>
                <w:sz w:val="20"/>
                <w:szCs w:val="20"/>
                <w:color w:val="auto"/>
              </w:rPr>
            </w:pPr>
            <w:r>
              <w:rPr>
                <w:rFonts w:ascii="Arial" w:cs="Arial" w:eastAsia="Arial" w:hAnsi="Arial"/>
                <w:sz w:val="18"/>
                <w:szCs w:val="18"/>
                <w:color w:val="auto"/>
              </w:rPr>
              <w:t>By: /s/ Michael D. Popielec</w:t>
            </w:r>
          </w:p>
        </w:tc>
      </w:tr>
      <w:tr>
        <w:trPr>
          <w:trHeight w:val="20"/>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gridSpan w:val="3"/>
          </w:tcPr>
          <w:p>
            <w:pPr>
              <w:ind w:left="160"/>
              <w:spacing w:after="0" w:line="193" w:lineRule="exact"/>
              <w:rPr>
                <w:sz w:val="20"/>
                <w:szCs w:val="20"/>
                <w:color w:val="auto"/>
              </w:rPr>
            </w:pPr>
            <w:r>
              <w:rPr>
                <w:rFonts w:ascii="Arial" w:cs="Arial" w:eastAsia="Arial" w:hAnsi="Arial"/>
                <w:sz w:val="18"/>
                <w:szCs w:val="18"/>
                <w:color w:val="auto"/>
              </w:rPr>
              <w:t>Michael D. Popielec</w:t>
            </w:r>
          </w:p>
        </w:tc>
      </w:tr>
      <w:tr>
        <w:trPr>
          <w:trHeight w:val="213"/>
        </w:trPr>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0" w:type="dxa"/>
            <w:vAlign w:val="bottom"/>
            <w:gridSpan w:val="3"/>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226"/>
        </w:trPr>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388"/>
        </w:trPr>
        <w:tc>
          <w:tcPr>
            <w:tcW w:w="2940" w:type="dxa"/>
            <w:vAlign w:val="bottom"/>
            <w:gridSpan w:val="3"/>
          </w:tcPr>
          <w:p>
            <w:pPr>
              <w:spacing w:after="0"/>
              <w:rPr>
                <w:sz w:val="20"/>
                <w:szCs w:val="20"/>
                <w:color w:val="auto"/>
              </w:rPr>
            </w:pPr>
            <w:r>
              <w:rPr>
                <w:rFonts w:ascii="Arial" w:cs="Arial" w:eastAsia="Arial" w:hAnsi="Arial"/>
                <w:sz w:val="18"/>
                <w:szCs w:val="18"/>
                <w:color w:val="auto"/>
              </w:rPr>
              <w:t>Date: April 28, 2022</w:t>
            </w:r>
          </w:p>
        </w:tc>
        <w:tc>
          <w:tcPr>
            <w:tcW w:w="5380" w:type="dxa"/>
            <w:vAlign w:val="bottom"/>
            <w:gridSpan w:val="4"/>
          </w:tcPr>
          <w:p>
            <w:pPr>
              <w:ind w:left="1460"/>
              <w:spacing w:after="0"/>
              <w:rPr>
                <w:sz w:val="20"/>
                <w:szCs w:val="20"/>
                <w:color w:val="auto"/>
              </w:rPr>
            </w:pPr>
            <w:r>
              <w:rPr>
                <w:rFonts w:ascii="Arial" w:cs="Arial" w:eastAsia="Arial" w:hAnsi="Arial"/>
                <w:sz w:val="18"/>
                <w:szCs w:val="18"/>
                <w:color w:val="auto"/>
              </w:rPr>
              <w:t>By: /s/ Philip A. Fain</w:t>
            </w:r>
          </w:p>
        </w:tc>
      </w:tr>
      <w:tr>
        <w:trPr>
          <w:trHeight w:val="20"/>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gridSpan w:val="3"/>
          </w:tcPr>
          <w:p>
            <w:pPr>
              <w:ind w:left="160"/>
              <w:spacing w:after="0" w:line="193" w:lineRule="exact"/>
              <w:rPr>
                <w:sz w:val="20"/>
                <w:szCs w:val="20"/>
                <w:color w:val="auto"/>
              </w:rPr>
            </w:pPr>
            <w:r>
              <w:rPr>
                <w:rFonts w:ascii="Arial" w:cs="Arial" w:eastAsia="Arial" w:hAnsi="Arial"/>
                <w:sz w:val="18"/>
                <w:szCs w:val="18"/>
                <w:color w:val="auto"/>
              </w:rPr>
              <w:t>Philip A. Fain</w:t>
            </w:r>
          </w:p>
        </w:tc>
      </w:tr>
      <w:tr>
        <w:trPr>
          <w:trHeight w:val="213"/>
        </w:trPr>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Treasurer</w:t>
            </w:r>
          </w:p>
        </w:tc>
      </w:tr>
      <w:tr>
        <w:trPr>
          <w:trHeight w:val="213"/>
        </w:trPr>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w:t>
            </w:r>
          </w:p>
        </w:tc>
      </w:tr>
      <w:tr>
        <w:trPr>
          <w:trHeight w:val="226"/>
        </w:trPr>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0" w:type="dxa"/>
            <w:vAlign w:val="bottom"/>
            <w:gridSpan w:val="3"/>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427"/>
        </w:trPr>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80" w:type="dxa"/>
            <w:vAlign w:val="bottom"/>
            <w:gridSpan w:val="2"/>
          </w:tcPr>
          <w:p>
            <w:pPr>
              <w:ind w:left="2140"/>
              <w:spacing w:after="0"/>
              <w:rPr>
                <w:sz w:val="20"/>
                <w:szCs w:val="20"/>
                <w:color w:val="auto"/>
              </w:rPr>
            </w:pPr>
            <w:r>
              <w:rPr>
                <w:rFonts w:ascii="Arial" w:cs="Arial" w:eastAsia="Arial" w:hAnsi="Arial"/>
                <w:sz w:val="18"/>
                <w:szCs w:val="18"/>
                <w:color w:val="auto"/>
              </w:rPr>
              <w:t>26</w:t>
            </w:r>
          </w:p>
        </w:tc>
        <w:tc>
          <w:tcPr>
            <w:tcW w:w="2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080"/>
          </w:cols>
          <w:pgMar w:left="320" w:top="575" w:right="4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0" w:lineRule="exact"/>
        <w:rPr>
          <w:sz w:val="20"/>
          <w:szCs w:val="20"/>
          <w:color w:val="auto"/>
        </w:rPr>
      </w:pPr>
    </w:p>
    <w:p>
      <w:pPr>
        <w:ind w:left="640" w:hanging="63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19" w:lineRule="exact"/>
        <w:rPr>
          <w:rFonts w:ascii="Arial" w:cs="Arial" w:eastAsia="Arial" w:hAnsi="Arial"/>
          <w:sz w:val="18"/>
          <w:szCs w:val="18"/>
          <w:color w:val="auto"/>
        </w:rPr>
      </w:pPr>
    </w:p>
    <w:p>
      <w:pPr>
        <w:jc w:val="both"/>
        <w:ind w:left="640" w:hanging="633"/>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640" w:hanging="633"/>
        <w:spacing w:after="0" w:line="300"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left="640" w:hanging="633"/>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280" w:hanging="313"/>
        <w:spacing w:after="0" w:line="333" w:lineRule="auto"/>
        <w:tabs>
          <w:tab w:leader="none" w:pos="12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280" w:hanging="313"/>
        <w:spacing w:after="0" w:line="258" w:lineRule="auto"/>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40" w:right="20" w:hanging="633"/>
        <w:spacing w:after="0" w:line="333"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6"/>
          <w:szCs w:val="16"/>
          <w:color w:val="auto"/>
        </w:rPr>
      </w:pPr>
    </w:p>
    <w:p>
      <w:pPr>
        <w:ind w:left="1280" w:hanging="313"/>
        <w:spacing w:after="0" w:line="300" w:lineRule="auto"/>
        <w:tabs>
          <w:tab w:leader="none" w:pos="12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1280" w:hanging="313"/>
        <w:spacing w:after="0" w:line="270" w:lineRule="auto"/>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color w:val="auto"/>
              </w:rPr>
              <w:t>Date: April 28, 2022</w:t>
            </w:r>
          </w:p>
        </w:tc>
        <w:tc>
          <w:tcPr>
            <w:tcW w:w="5100" w:type="dxa"/>
            <w:vAlign w:val="bottom"/>
            <w:gridSpan w:val="2"/>
          </w:tcPr>
          <w:p>
            <w:pPr>
              <w:ind w:left="1620"/>
              <w:spacing w:after="0"/>
              <w:rPr>
                <w:sz w:val="20"/>
                <w:szCs w:val="20"/>
                <w:color w:val="auto"/>
              </w:rPr>
            </w:pPr>
            <w:r>
              <w:rPr>
                <w:rFonts w:ascii="Arial" w:cs="Arial" w:eastAsia="Arial" w:hAnsi="Arial"/>
                <w:sz w:val="18"/>
                <w:szCs w:val="18"/>
                <w:color w:val="auto"/>
              </w:rPr>
              <w:t>By: /s/ Michael D. Popielec</w:t>
            </w:r>
          </w:p>
        </w:tc>
      </w:tr>
      <w:tr>
        <w:trPr>
          <w:trHeight w:val="20"/>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40" w:type="dxa"/>
            <w:vAlign w:val="bottom"/>
          </w:tcPr>
          <w:p>
            <w:pPr>
              <w:ind w:left="200"/>
              <w:spacing w:after="0" w:line="193" w:lineRule="exact"/>
              <w:rPr>
                <w:sz w:val="20"/>
                <w:szCs w:val="20"/>
                <w:color w:val="auto"/>
              </w:rPr>
            </w:pPr>
            <w:r>
              <w:rPr>
                <w:rFonts w:ascii="Arial" w:cs="Arial" w:eastAsia="Arial" w:hAnsi="Arial"/>
                <w:sz w:val="18"/>
                <w:szCs w:val="18"/>
                <w:color w:val="auto"/>
              </w:rPr>
              <w:t>Michael D. Popielec</w:t>
            </w:r>
          </w:p>
        </w:tc>
      </w:tr>
      <w:tr>
        <w:trPr>
          <w:trHeight w:val="226"/>
        </w:trPr>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w w:val="97"/>
              </w:rPr>
              <w:t>President and Chief Executive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0" w:lineRule="exact"/>
        <w:rPr>
          <w:sz w:val="20"/>
          <w:szCs w:val="20"/>
          <w:color w:val="auto"/>
        </w:rPr>
      </w:pPr>
    </w:p>
    <w:p>
      <w:pPr>
        <w:ind w:left="640" w:hanging="63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19" w:lineRule="exact"/>
        <w:rPr>
          <w:rFonts w:ascii="Arial" w:cs="Arial" w:eastAsia="Arial" w:hAnsi="Arial"/>
          <w:sz w:val="18"/>
          <w:szCs w:val="18"/>
          <w:color w:val="auto"/>
        </w:rPr>
      </w:pPr>
    </w:p>
    <w:p>
      <w:pPr>
        <w:jc w:val="both"/>
        <w:ind w:left="640" w:hanging="633"/>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640" w:hanging="633"/>
        <w:spacing w:after="0" w:line="300"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left="640" w:hanging="633"/>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280" w:hanging="313"/>
        <w:spacing w:after="0" w:line="333" w:lineRule="auto"/>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280" w:hanging="313"/>
        <w:spacing w:after="0" w:line="258"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40" w:right="20" w:hanging="633"/>
        <w:spacing w:after="0" w:line="333"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6"/>
          <w:szCs w:val="16"/>
          <w:color w:val="auto"/>
        </w:rPr>
      </w:pPr>
    </w:p>
    <w:p>
      <w:pPr>
        <w:ind w:left="1280" w:hanging="313"/>
        <w:spacing w:after="0" w:line="300" w:lineRule="auto"/>
        <w:tabs>
          <w:tab w:leader="none" w:pos="12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1280" w:hanging="313"/>
        <w:spacing w:after="0" w:line="270"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color w:val="auto"/>
              </w:rPr>
              <w:t>Date: April 28, 2022</w:t>
            </w:r>
          </w:p>
        </w:tc>
        <w:tc>
          <w:tcPr>
            <w:tcW w:w="5100" w:type="dxa"/>
            <w:vAlign w:val="bottom"/>
            <w:gridSpan w:val="2"/>
          </w:tcPr>
          <w:p>
            <w:pPr>
              <w:ind w:left="1620"/>
              <w:spacing w:after="0"/>
              <w:rPr>
                <w:sz w:val="20"/>
                <w:szCs w:val="20"/>
                <w:color w:val="auto"/>
              </w:rPr>
            </w:pPr>
            <w:r>
              <w:rPr>
                <w:rFonts w:ascii="Arial" w:cs="Arial" w:eastAsia="Arial" w:hAnsi="Arial"/>
                <w:sz w:val="18"/>
                <w:szCs w:val="18"/>
                <w:color w:val="auto"/>
              </w:rPr>
              <w:t>By: /s/ Philip A. Fain</w:t>
            </w:r>
          </w:p>
        </w:tc>
      </w:tr>
      <w:tr>
        <w:trPr>
          <w:trHeight w:val="20"/>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40" w:type="dxa"/>
            <w:vAlign w:val="bottom"/>
          </w:tcPr>
          <w:p>
            <w:pPr>
              <w:ind w:left="200"/>
              <w:spacing w:after="0" w:line="193" w:lineRule="exact"/>
              <w:rPr>
                <w:sz w:val="20"/>
                <w:szCs w:val="20"/>
                <w:color w:val="auto"/>
              </w:rPr>
            </w:pPr>
            <w:r>
              <w:rPr>
                <w:rFonts w:ascii="Arial" w:cs="Arial" w:eastAsia="Arial" w:hAnsi="Arial"/>
                <w:sz w:val="18"/>
                <w:szCs w:val="18"/>
                <w:color w:val="auto"/>
              </w:rPr>
              <w:t>Philip A. Fain</w:t>
            </w:r>
          </w:p>
        </w:tc>
      </w:tr>
      <w:tr>
        <w:trPr>
          <w:trHeight w:val="226"/>
        </w:trPr>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w w:val="98"/>
              </w:rPr>
              <w:t>Chief Financial Officer and Treasurer</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March 31, 2022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9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160" w:type="dxa"/>
            <w:vAlign w:val="bottom"/>
            <w:gridSpan w:val="3"/>
          </w:tcPr>
          <w:p>
            <w:pPr>
              <w:spacing w:after="0"/>
              <w:rPr>
                <w:sz w:val="20"/>
                <w:szCs w:val="20"/>
                <w:color w:val="auto"/>
              </w:rPr>
            </w:pPr>
            <w:r>
              <w:rPr>
                <w:rFonts w:ascii="Arial" w:cs="Arial" w:eastAsia="Arial" w:hAnsi="Arial"/>
                <w:sz w:val="18"/>
                <w:szCs w:val="18"/>
                <w:color w:val="auto"/>
              </w:rPr>
              <w:t>Date: April 28, 2022</w:t>
            </w:r>
          </w:p>
        </w:tc>
        <w:tc>
          <w:tcPr>
            <w:tcW w:w="5160" w:type="dxa"/>
            <w:vAlign w:val="bottom"/>
            <w:gridSpan w:val="2"/>
          </w:tcPr>
          <w:p>
            <w:pPr>
              <w:ind w:left="1680"/>
              <w:spacing w:after="0"/>
              <w:rPr>
                <w:sz w:val="20"/>
                <w:szCs w:val="20"/>
                <w:color w:val="auto"/>
              </w:rPr>
            </w:pPr>
            <w:r>
              <w:rPr>
                <w:rFonts w:ascii="Arial" w:cs="Arial" w:eastAsia="Arial" w:hAnsi="Arial"/>
                <w:sz w:val="18"/>
                <w:szCs w:val="18"/>
                <w:color w:val="auto"/>
              </w:rPr>
              <w:t>By: /s/ Michael D. Popielec</w:t>
            </w:r>
          </w:p>
        </w:tc>
      </w:tr>
      <w:tr>
        <w:trPr>
          <w:trHeight w:val="20"/>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140" w:type="dxa"/>
            <w:vAlign w:val="bottom"/>
          </w:tcPr>
          <w:p>
            <w:pPr>
              <w:ind w:left="200"/>
              <w:spacing w:after="0" w:line="193" w:lineRule="exact"/>
              <w:rPr>
                <w:sz w:val="20"/>
                <w:szCs w:val="20"/>
                <w:color w:val="auto"/>
              </w:rPr>
            </w:pPr>
            <w:r>
              <w:rPr>
                <w:rFonts w:ascii="Arial" w:cs="Arial" w:eastAsia="Arial" w:hAnsi="Arial"/>
                <w:sz w:val="18"/>
                <w:szCs w:val="18"/>
                <w:color w:val="auto"/>
              </w:rPr>
              <w:t>Michael D. Popielec</w:t>
            </w:r>
          </w:p>
        </w:tc>
      </w:tr>
      <w:tr>
        <w:trPr>
          <w:trHeight w:val="226"/>
        </w:trPr>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w w:val="97"/>
              </w:rPr>
              <w:t>President and Chief Executive Officer</w:t>
            </w:r>
          </w:p>
        </w:tc>
      </w:tr>
      <w:tr>
        <w:trPr>
          <w:trHeight w:val="388"/>
        </w:trPr>
        <w:tc>
          <w:tcPr>
            <w:tcW w:w="3160" w:type="dxa"/>
            <w:vAlign w:val="bottom"/>
            <w:gridSpan w:val="3"/>
          </w:tcPr>
          <w:p>
            <w:pPr>
              <w:spacing w:after="0"/>
              <w:rPr>
                <w:sz w:val="20"/>
                <w:szCs w:val="20"/>
                <w:color w:val="auto"/>
              </w:rPr>
            </w:pPr>
            <w:r>
              <w:rPr>
                <w:rFonts w:ascii="Arial" w:cs="Arial" w:eastAsia="Arial" w:hAnsi="Arial"/>
                <w:sz w:val="18"/>
                <w:szCs w:val="18"/>
                <w:color w:val="auto"/>
              </w:rPr>
              <w:t>Date: April 28, 2022</w:t>
            </w:r>
          </w:p>
        </w:tc>
        <w:tc>
          <w:tcPr>
            <w:tcW w:w="5160" w:type="dxa"/>
            <w:vAlign w:val="bottom"/>
            <w:gridSpan w:val="2"/>
          </w:tcPr>
          <w:p>
            <w:pPr>
              <w:ind w:left="1680"/>
              <w:spacing w:after="0"/>
              <w:rPr>
                <w:sz w:val="20"/>
                <w:szCs w:val="20"/>
                <w:color w:val="auto"/>
              </w:rPr>
            </w:pPr>
            <w:r>
              <w:rPr>
                <w:rFonts w:ascii="Arial" w:cs="Arial" w:eastAsia="Arial" w:hAnsi="Arial"/>
                <w:sz w:val="18"/>
                <w:szCs w:val="18"/>
                <w:color w:val="auto"/>
              </w:rPr>
              <w:t>By: /s/ Philip A. Fain</w:t>
            </w:r>
          </w:p>
        </w:tc>
      </w:tr>
      <w:tr>
        <w:trPr>
          <w:trHeight w:val="20"/>
        </w:trPr>
        <w:tc>
          <w:tcPr>
            <w:tcW w:w="4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140" w:type="dxa"/>
            <w:vAlign w:val="bottom"/>
          </w:tcPr>
          <w:p>
            <w:pPr>
              <w:ind w:left="200"/>
              <w:spacing w:after="0" w:line="193" w:lineRule="exact"/>
              <w:rPr>
                <w:sz w:val="20"/>
                <w:szCs w:val="20"/>
                <w:color w:val="auto"/>
              </w:rPr>
            </w:pPr>
            <w:r>
              <w:rPr>
                <w:rFonts w:ascii="Arial" w:cs="Arial" w:eastAsia="Arial" w:hAnsi="Arial"/>
                <w:sz w:val="18"/>
                <w:szCs w:val="18"/>
                <w:color w:val="auto"/>
              </w:rPr>
              <w:t>Philip A. Fain</w:t>
            </w:r>
          </w:p>
        </w:tc>
      </w:tr>
      <w:tr>
        <w:trPr>
          <w:trHeight w:val="226"/>
        </w:trPr>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w w:val="98"/>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1."/>
      <w:numFmt w:val="decimal"/>
      <w:start w:val="8"/>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2022-04-28T06:13:33Z</dcterms:created>
  <dcterms:modified xsi:type="dcterms:W3CDTF">2022-04-28T06:13:33Z</dcterms:modified>
</cp:coreProperties>
</file>